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88" w:lineRule="auto"/>
        <w:ind w:right="0"/>
        <w:jc w:val="center"/>
        <w:rPr>
          <w:rFonts w:hint="eastAsia" w:ascii="仿宋" w:hAnsi="仿宋" w:eastAsia="仿宋" w:cs="仿宋"/>
          <w:kern w:val="0"/>
          <w:sz w:val="24"/>
        </w:rPr>
      </w:pPr>
      <w:r>
        <w:rPr>
          <w:rFonts w:hint="eastAsia" w:ascii="仿宋" w:hAnsi="仿宋" w:eastAsia="仿宋" w:cs="仿宋"/>
          <w:b/>
          <w:sz w:val="32"/>
          <w:szCs w:val="32"/>
        </w:rPr>
        <w:t>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0" w:name="_Toc350938485"/>
      <w:bookmarkStart w:id="1" w:name="_Toc26391"/>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一</w:t>
      </w:r>
      <w:r>
        <w:rPr>
          <w:rFonts w:hint="eastAsia" w:ascii="仿宋" w:hAnsi="仿宋" w:eastAsia="仿宋" w:cs="仿宋"/>
          <w:b/>
          <w:bCs/>
          <w:kern w:val="0"/>
          <w:sz w:val="36"/>
          <w:szCs w:val="36"/>
        </w:rPr>
        <w:t xml:space="preserve">                 封面格式1</w:t>
      </w:r>
      <w:bookmarkEnd w:id="0"/>
      <w:bookmarkEnd w:id="1"/>
      <w:bookmarkStart w:id="16" w:name="_GoBack"/>
      <w:bookmarkEnd w:id="16"/>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2" w:name="_Toc8112"/>
      <w:r>
        <w:rPr>
          <w:rFonts w:hint="eastAsia" w:ascii="仿宋" w:hAnsi="仿宋" w:eastAsia="仿宋" w:cs="仿宋"/>
          <w:b/>
          <w:kern w:val="0"/>
          <w:sz w:val="44"/>
          <w:szCs w:val="44"/>
        </w:rPr>
        <w:t>投标文件</w:t>
      </w:r>
      <w:bookmarkEnd w:id="2"/>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hint="eastAsia" w:ascii="仿宋" w:hAnsi="仿宋" w:eastAsia="仿宋" w:cs="仿宋"/>
          <w:kern w:val="0"/>
        </w:rPr>
      </w:pP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3" w:name="_Toc350938486"/>
      <w:bookmarkStart w:id="4" w:name="_Toc25019"/>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二</w:t>
      </w:r>
      <w:r>
        <w:rPr>
          <w:rFonts w:hint="eastAsia" w:ascii="仿宋" w:hAnsi="仿宋" w:eastAsia="仿宋" w:cs="仿宋"/>
          <w:b/>
          <w:bCs/>
          <w:kern w:val="0"/>
          <w:sz w:val="36"/>
          <w:szCs w:val="36"/>
        </w:rPr>
        <w:t xml:space="preserve">                  封面格式2</w:t>
      </w:r>
      <w:bookmarkEnd w:id="3"/>
      <w:bookmarkEnd w:id="4"/>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5" w:name="_Toc16325"/>
      <w:r>
        <w:rPr>
          <w:rFonts w:hint="eastAsia" w:ascii="仿宋" w:hAnsi="仿宋" w:eastAsia="仿宋" w:cs="仿宋"/>
          <w:b/>
          <w:kern w:val="0"/>
          <w:sz w:val="44"/>
          <w:szCs w:val="44"/>
        </w:rPr>
        <w:t>投标文件</w:t>
      </w:r>
      <w:bookmarkEnd w:id="5"/>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spacing w:line="420" w:lineRule="atLeast"/>
        <w:rPr>
          <w:rFonts w:hint="eastAsia" w:ascii="仿宋" w:hAnsi="仿宋" w:eastAsia="仿宋" w:cs="仿宋"/>
          <w:kern w:val="0"/>
          <w:sz w:val="28"/>
          <w:szCs w:val="28"/>
        </w:rPr>
      </w:pPr>
      <w:r>
        <w:rPr>
          <w:rFonts w:hint="eastAsia" w:ascii="仿宋" w:hAnsi="仿宋" w:eastAsia="仿宋" w:cs="仿宋"/>
          <w:b/>
          <w:sz w:val="24"/>
        </w:rPr>
        <w:br w:type="page"/>
      </w:r>
      <w:r>
        <w:rPr>
          <w:rFonts w:hint="eastAsia" w:ascii="仿宋" w:hAnsi="仿宋" w:eastAsia="仿宋" w:cs="仿宋"/>
          <w:b/>
          <w:color w:val="auto"/>
          <w:sz w:val="24"/>
          <w:szCs w:val="24"/>
          <w:highlight w:val="none"/>
        </w:rPr>
        <w:t>附件三</w:t>
      </w:r>
      <w:r>
        <w:rPr>
          <w:rFonts w:hint="eastAsia" w:ascii="仿宋" w:hAnsi="仿宋" w:eastAsia="仿宋" w:cs="仿宋"/>
          <w:kern w:val="0"/>
          <w:sz w:val="28"/>
          <w:szCs w:val="28"/>
        </w:rPr>
        <w:t xml:space="preserve">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3"/>
        <w:spacing w:line="400" w:lineRule="exact"/>
        <w:rPr>
          <w:rFonts w:hint="eastAsia" w:ascii="仿宋" w:hAnsi="仿宋" w:eastAsia="仿宋" w:cs="仿宋"/>
          <w:kern w:val="0"/>
          <w:sz w:val="24"/>
          <w:szCs w:val="24"/>
        </w:rPr>
      </w:pPr>
    </w:p>
    <w:p>
      <w:pPr>
        <w:pStyle w:val="13"/>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3"/>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bidi w:val="0"/>
        <w:rPr>
          <w:rFonts w:hint="eastAsia"/>
        </w:rPr>
      </w:pPr>
    </w:p>
    <w:p>
      <w:pPr>
        <w:rPr>
          <w:rFonts w:hint="eastAsia" w:ascii="仿宋" w:hAnsi="仿宋" w:eastAsia="仿宋" w:cs="仿宋"/>
          <w:b/>
          <w:bCs/>
          <w:kern w:val="0"/>
          <w:sz w:val="28"/>
          <w:szCs w:val="28"/>
        </w:rPr>
      </w:pPr>
      <w:r>
        <w:rPr>
          <w:rFonts w:hint="eastAsia" w:ascii="仿宋" w:hAnsi="仿宋" w:eastAsia="仿宋" w:cs="仿宋"/>
          <w:kern w:val="0"/>
          <w:sz w:val="28"/>
          <w:szCs w:val="28"/>
        </w:rPr>
        <w:br w:type="page"/>
      </w:r>
      <w:r>
        <w:rPr>
          <w:rFonts w:hint="eastAsia" w:ascii="仿宋" w:hAnsi="仿宋" w:eastAsia="仿宋" w:cs="仿宋"/>
          <w:b/>
          <w:color w:val="auto"/>
          <w:sz w:val="24"/>
          <w:szCs w:val="24"/>
          <w:highlight w:val="none"/>
        </w:rPr>
        <w:t xml:space="preserve">附件四 </w:t>
      </w:r>
      <w:r>
        <w:rPr>
          <w:rFonts w:hint="eastAsia" w:ascii="仿宋" w:hAnsi="仿宋" w:eastAsia="仿宋" w:cs="仿宋"/>
          <w:b/>
          <w:bCs/>
          <w:kern w:val="0"/>
          <w:sz w:val="28"/>
          <w:szCs w:val="28"/>
        </w:rPr>
        <w:t xml:space="preserve">        </w:t>
      </w:r>
    </w:p>
    <w:p>
      <w:pPr>
        <w:jc w:val="center"/>
        <w:outlineLvl w:val="0"/>
        <w:rPr>
          <w:rFonts w:hint="eastAsia" w:ascii="仿宋" w:hAnsi="仿宋" w:eastAsia="仿宋" w:cs="仿宋"/>
          <w:b/>
          <w:bCs/>
          <w:kern w:val="0"/>
          <w:sz w:val="28"/>
          <w:szCs w:val="28"/>
        </w:rPr>
      </w:pPr>
      <w:bookmarkStart w:id="6" w:name="_Toc16911"/>
      <w:r>
        <w:rPr>
          <w:rFonts w:hint="eastAsia" w:ascii="仿宋" w:hAnsi="仿宋" w:eastAsia="仿宋" w:cs="仿宋"/>
          <w:b/>
          <w:bCs/>
          <w:kern w:val="0"/>
          <w:sz w:val="28"/>
          <w:szCs w:val="28"/>
        </w:rPr>
        <w:t>投标人法定代表人授权书（格式）</w:t>
      </w:r>
      <w:bookmarkEnd w:id="6"/>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pStyle w:val="17"/>
        <w:ind w:left="0" w:leftChars="0" w:firstLine="0" w:firstLineChars="0"/>
        <w:rPr>
          <w:rFonts w:hint="eastAsia"/>
          <w:lang w:val="zh-CN"/>
        </w:rPr>
      </w:pPr>
    </w:p>
    <w:p>
      <w:pPr>
        <w:shd w:val="clear" w:color="auto" w:fill="auto"/>
        <w:spacing w:line="360" w:lineRule="auto"/>
        <w:jc w:val="center"/>
        <w:outlineLvl w:val="9"/>
        <w:rPr>
          <w:rFonts w:hint="eastAsia" w:ascii="仿宋" w:hAnsi="仿宋" w:eastAsia="仿宋" w:cs="仿宋"/>
          <w:b/>
          <w:color w:val="auto"/>
          <w:spacing w:val="-6"/>
          <w:sz w:val="24"/>
          <w:highlight w:val="none"/>
        </w:rPr>
      </w:pPr>
    </w:p>
    <w:p>
      <w:pPr>
        <w:shd w:val="clear" w:color="auto" w:fill="auto"/>
        <w:spacing w:line="360" w:lineRule="auto"/>
        <w:jc w:val="left"/>
        <w:outlineLvl w:val="0"/>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五</w:t>
      </w:r>
      <w:bookmarkEnd w:id="7"/>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8" w:name="_Toc4186"/>
      <w:r>
        <w:rPr>
          <w:rFonts w:hint="eastAsia" w:ascii="仿宋" w:hAnsi="仿宋" w:eastAsia="仿宋" w:cs="仿宋"/>
          <w:b/>
          <w:color w:val="auto"/>
          <w:spacing w:val="-6"/>
          <w:sz w:val="28"/>
          <w:szCs w:val="28"/>
          <w:highlight w:val="none"/>
        </w:rPr>
        <w:t>中小企业声明函（格式）</w:t>
      </w:r>
      <w:bookmarkEnd w:id="8"/>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pPr>
        <w:widowControl/>
        <w:shd w:val="clear" w:color="auto" w:fill="auto"/>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六</w:t>
      </w:r>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9" w:name="_Toc11764"/>
      <w:r>
        <w:rPr>
          <w:rFonts w:hint="eastAsia" w:ascii="仿宋" w:hAnsi="仿宋" w:eastAsia="仿宋" w:cs="仿宋"/>
          <w:b/>
          <w:color w:val="auto"/>
          <w:spacing w:val="-6"/>
          <w:sz w:val="28"/>
          <w:szCs w:val="28"/>
          <w:highlight w:val="none"/>
        </w:rPr>
        <w:t>属于监狱企业的证明文件（格式）</w:t>
      </w:r>
      <w:bookmarkEnd w:id="9"/>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0" w:name="_Toc8617"/>
      <w:r>
        <w:rPr>
          <w:rFonts w:hint="eastAsia" w:ascii="仿宋" w:hAnsi="仿宋" w:eastAsia="仿宋" w:cs="仿宋"/>
          <w:b/>
          <w:color w:val="auto"/>
          <w:spacing w:val="-6"/>
          <w:sz w:val="21"/>
          <w:szCs w:val="21"/>
          <w:highlight w:val="none"/>
        </w:rPr>
        <w:t>（若属于监狱企业）</w:t>
      </w:r>
      <w:bookmarkEnd w:id="10"/>
    </w:p>
    <w:p>
      <w:pPr>
        <w:shd w:val="clear" w:color="auto" w:fill="auto"/>
        <w:adjustRightInd w:val="0"/>
        <w:snapToGrid w:val="0"/>
        <w:spacing w:line="360" w:lineRule="auto"/>
        <w:rPr>
          <w:rFonts w:hint="eastAsia" w:ascii="仿宋" w:hAnsi="仿宋" w:eastAsia="仿宋" w:cs="仿宋"/>
          <w:color w:val="auto"/>
          <w:szCs w:val="21"/>
          <w:highlight w:val="none"/>
        </w:rPr>
      </w:pPr>
    </w:p>
    <w:p>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shd w:val="clear" w:color="auto" w:fill="auto"/>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七</w:t>
      </w:r>
    </w:p>
    <w:p>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11" w:name="_Toc9518"/>
      <w:r>
        <w:rPr>
          <w:rFonts w:hint="eastAsia" w:ascii="仿宋" w:hAnsi="仿宋" w:eastAsia="仿宋" w:cs="仿宋"/>
          <w:b/>
          <w:color w:val="auto"/>
          <w:spacing w:val="-6"/>
          <w:sz w:val="28"/>
          <w:szCs w:val="28"/>
          <w:highlight w:val="none"/>
        </w:rPr>
        <w:t>残疾人福利性单位声明函（格式）</w:t>
      </w:r>
      <w:bookmarkEnd w:id="11"/>
    </w:p>
    <w:p>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2" w:name="_Toc29214"/>
      <w:r>
        <w:rPr>
          <w:rFonts w:hint="eastAsia" w:ascii="仿宋" w:hAnsi="仿宋" w:eastAsia="仿宋" w:cs="仿宋"/>
          <w:b/>
          <w:color w:val="auto"/>
          <w:spacing w:val="-6"/>
          <w:sz w:val="21"/>
          <w:szCs w:val="21"/>
          <w:highlight w:val="none"/>
        </w:rPr>
        <w:t>（若属于残疾人福利性单位）</w:t>
      </w:r>
      <w:bookmarkEnd w:id="12"/>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pPr>
        <w:pStyle w:val="15"/>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pPr>
        <w:pStyle w:val="15"/>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pPr>
        <w:pStyle w:val="15"/>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pPr>
        <w:pStyle w:val="15"/>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pPr>
        <w:pStyle w:val="15"/>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pPr>
        <w:pStyle w:val="15"/>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pPr>
        <w:pStyle w:val="15"/>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pPr>
        <w:snapToGrid w:val="0"/>
        <w:spacing w:before="50" w:after="50"/>
        <w:rPr>
          <w:rFonts w:hint="eastAsia" w:ascii="仿宋" w:hAnsi="仿宋" w:eastAsia="仿宋" w:cs="仿宋"/>
          <w:b/>
          <w:color w:val="auto"/>
          <w:sz w:val="24"/>
          <w:szCs w:val="24"/>
          <w:highlight w:val="none"/>
        </w:rPr>
      </w:pPr>
    </w:p>
    <w:p>
      <w:pPr>
        <w:snapToGrid w:val="0"/>
        <w:spacing w:before="50" w:after="50"/>
        <w:outlineLvl w:val="0"/>
        <w:rPr>
          <w:rFonts w:hint="eastAsia" w:ascii="仿宋" w:hAnsi="仿宋" w:eastAsia="仿宋" w:cs="仿宋"/>
          <w:b/>
          <w:color w:val="auto"/>
          <w:sz w:val="24"/>
          <w:szCs w:val="24"/>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八</w:t>
      </w:r>
      <w:bookmarkEnd w:id="13"/>
    </w:p>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报价一览表</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9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w:t>
            </w:r>
          </w:p>
        </w:tc>
        <w:tc>
          <w:tcPr>
            <w:tcW w:w="7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9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小写：_________________________</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大写：_________________________</w:t>
            </w:r>
          </w:p>
          <w:p>
            <w:pPr>
              <w:snapToGrid w:val="0"/>
              <w:spacing w:before="50" w:after="50"/>
              <w:jc w:val="center"/>
              <w:rPr>
                <w:rFonts w:hint="eastAsia" w:ascii="仿宋" w:hAnsi="仿宋" w:eastAsia="仿宋" w:cs="仿宋"/>
                <w:color w:val="auto"/>
                <w:sz w:val="24"/>
                <w:szCs w:val="24"/>
                <w:highlight w:val="none"/>
              </w:rPr>
            </w:pPr>
          </w:p>
        </w:tc>
      </w:tr>
    </w:tbl>
    <w:p>
      <w:pPr>
        <w:snapToGrid w:val="0"/>
        <w:spacing w:before="50" w:after="50" w:line="420" w:lineRule="exact"/>
        <w:jc w:val="left"/>
        <w:rPr>
          <w:rFonts w:hint="eastAsia" w:ascii="仿宋" w:hAnsi="仿宋" w:eastAsia="仿宋" w:cs="仿宋"/>
          <w:color w:val="auto"/>
          <w:sz w:val="24"/>
          <w:szCs w:val="24"/>
          <w:highlight w:val="none"/>
        </w:rPr>
      </w:pPr>
    </w:p>
    <w:p>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kern w:val="0"/>
          <w:sz w:val="24"/>
        </w:rPr>
        <w:t>应包含项目实施所需的一切费用，包括但不限于</w:t>
      </w:r>
      <w:r>
        <w:rPr>
          <w:rFonts w:hint="eastAsia" w:ascii="仿宋" w:hAnsi="仿宋" w:eastAsia="仿宋" w:cs="仿宋"/>
          <w:kern w:val="0"/>
          <w:sz w:val="24"/>
          <w:lang w:val="en-US" w:eastAsia="zh-CN"/>
        </w:rPr>
        <w:t>人员</w:t>
      </w:r>
      <w:r>
        <w:rPr>
          <w:rFonts w:hint="eastAsia" w:ascii="仿宋" w:hAnsi="仿宋" w:eastAsia="仿宋" w:cs="仿宋"/>
          <w:kern w:val="0"/>
          <w:sz w:val="24"/>
        </w:rPr>
        <w:t>服务费、</w:t>
      </w:r>
      <w:r>
        <w:rPr>
          <w:rFonts w:hint="eastAsia" w:ascii="仿宋" w:hAnsi="仿宋" w:eastAsia="仿宋" w:cs="仿宋"/>
          <w:kern w:val="0"/>
          <w:sz w:val="24"/>
          <w:lang w:val="en-US" w:eastAsia="zh-CN"/>
        </w:rPr>
        <w:t>设备使用费、交通费、运输费</w:t>
      </w:r>
      <w:r>
        <w:rPr>
          <w:rFonts w:hint="eastAsia" w:ascii="仿宋" w:hAnsi="仿宋" w:eastAsia="仿宋" w:cs="仿宋"/>
          <w:kern w:val="0"/>
          <w:sz w:val="24"/>
        </w:rPr>
        <w:t>、</w:t>
      </w:r>
      <w:r>
        <w:rPr>
          <w:rFonts w:hint="eastAsia" w:ascii="仿宋" w:hAnsi="仿宋" w:eastAsia="仿宋" w:cs="仿宋"/>
          <w:kern w:val="0"/>
          <w:sz w:val="24"/>
          <w:lang w:val="en-US" w:eastAsia="zh-CN"/>
        </w:rPr>
        <w:t>版权费、</w:t>
      </w:r>
      <w:r>
        <w:rPr>
          <w:rFonts w:hint="eastAsia" w:ascii="仿宋" w:hAnsi="仿宋" w:eastAsia="仿宋" w:cs="仿宋"/>
          <w:kern w:val="0"/>
          <w:sz w:val="24"/>
        </w:rPr>
        <w:t>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4、以上报价应与“投标报价明细表”中的“</w:t>
      </w:r>
      <w:r>
        <w:rPr>
          <w:rFonts w:hint="eastAsia" w:ascii="仿宋" w:hAnsi="仿宋" w:eastAsia="仿宋" w:cs="仿宋"/>
          <w:color w:val="auto"/>
          <w:sz w:val="24"/>
          <w:szCs w:val="24"/>
          <w:highlight w:val="none"/>
          <w:lang w:val="en-US" w:eastAsia="zh-CN"/>
        </w:rPr>
        <w:t>合计价格</w:t>
      </w:r>
      <w:r>
        <w:rPr>
          <w:rFonts w:hint="eastAsia" w:ascii="仿宋" w:hAnsi="仿宋" w:eastAsia="仿宋" w:cs="仿宋"/>
          <w:color w:val="auto"/>
          <w:sz w:val="24"/>
          <w:szCs w:val="24"/>
          <w:highlight w:val="none"/>
        </w:rPr>
        <w:t>”相一致。</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pPr>
        <w:pStyle w:val="13"/>
        <w:snapToGrid w:val="0"/>
        <w:spacing w:before="295" w:after="295"/>
        <w:rPr>
          <w:rFonts w:hint="eastAsia" w:ascii="仿宋" w:hAnsi="仿宋" w:eastAsia="仿宋" w:cs="仿宋"/>
          <w:b/>
          <w:color w:val="auto"/>
          <w:highlight w:val="none"/>
        </w:rPr>
      </w:pPr>
    </w:p>
    <w:p>
      <w:pPr>
        <w:pStyle w:val="13"/>
        <w:snapToGrid w:val="0"/>
        <w:spacing w:before="295" w:after="295"/>
        <w:rPr>
          <w:rFonts w:hint="eastAsia" w:ascii="仿宋" w:hAnsi="仿宋" w:eastAsia="仿宋" w:cs="仿宋"/>
          <w:b/>
          <w:color w:val="auto"/>
          <w:highlight w:val="none"/>
        </w:rPr>
      </w:pPr>
    </w:p>
    <w:p>
      <w:pPr>
        <w:pStyle w:val="16"/>
        <w:ind w:left="0" w:leftChars="0" w:firstLine="0" w:firstLineChars="0"/>
        <w:rPr>
          <w:rFonts w:hint="eastAsia" w:ascii="仿宋" w:hAnsi="仿宋" w:eastAsia="仿宋" w:cs="仿宋"/>
        </w:rPr>
      </w:pPr>
    </w:p>
    <w:p>
      <w:pPr>
        <w:pStyle w:val="16"/>
        <w:rPr>
          <w:rFonts w:hint="eastAsia" w:ascii="仿宋" w:hAnsi="仿宋" w:eastAsia="仿宋" w:cs="仿宋"/>
        </w:rPr>
      </w:pPr>
    </w:p>
    <w:p>
      <w:pPr>
        <w:pStyle w:val="13"/>
        <w:snapToGrid w:val="0"/>
        <w:spacing w:before="295" w:after="295"/>
        <w:outlineLvl w:val="0"/>
        <w:rPr>
          <w:rFonts w:hint="eastAsia" w:ascii="仿宋" w:hAnsi="仿宋" w:eastAsia="仿宋" w:cs="仿宋"/>
          <w:b/>
          <w:color w:val="auto"/>
          <w:sz w:val="24"/>
          <w:szCs w:val="24"/>
          <w:highlight w:val="none"/>
        </w:rPr>
      </w:pPr>
      <w:bookmarkStart w:id="14"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九</w:t>
      </w:r>
      <w:bookmarkEnd w:id="14"/>
      <w:r>
        <w:rPr>
          <w:rFonts w:hint="eastAsia" w:ascii="仿宋" w:hAnsi="仿宋" w:eastAsia="仿宋" w:cs="仿宋"/>
          <w:b/>
          <w:color w:val="auto"/>
          <w:sz w:val="24"/>
          <w:szCs w:val="24"/>
          <w:highlight w:val="none"/>
        </w:rPr>
        <w:t xml:space="preserve">        </w:t>
      </w:r>
    </w:p>
    <w:p>
      <w:pPr>
        <w:pStyle w:val="13"/>
        <w:snapToGrid w:val="0"/>
        <w:spacing w:before="295" w:after="295"/>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投标报价明细表</w:t>
      </w:r>
    </w:p>
    <w:p>
      <w:pPr>
        <w:pStyle w:val="13"/>
        <w:snapToGrid w:val="0"/>
        <w:spacing w:before="295" w:after="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金额单位：人民币（元）</w:t>
      </w:r>
    </w:p>
    <w:tbl>
      <w:tblPr>
        <w:tblStyle w:val="19"/>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68"/>
        <w:gridCol w:w="3518"/>
        <w:gridCol w:w="1953"/>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服务项目</w:t>
            </w: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服务规格</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摄影</w:t>
            </w: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活动现场拍摄</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1机位</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pPr>
          </w:p>
        </w:tc>
        <w:tc>
          <w:tcPr>
            <w:tcW w:w="12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pP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大合照拍摄（含精修）</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1次</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lang w:val="en-US" w:eastAsia="zh-CN"/>
              </w:rPr>
            </w:pPr>
          </w:p>
        </w:tc>
        <w:tc>
          <w:tcPr>
            <w:tcW w:w="12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lang w:val="en-US" w:eastAsia="zh-CN"/>
              </w:rPr>
            </w:pP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科室团队、个人宣传照拍摄（含化妆、精修）</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1人</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68"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摄像</w:t>
            </w: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r>
              <w:rPr>
                <w:rFonts w:hint="eastAsia" w:ascii="仿宋" w:hAnsi="仿宋" w:eastAsia="仿宋" w:cs="仿宋"/>
                <w:color w:val="auto"/>
                <w:sz w:val="24"/>
                <w:szCs w:val="24"/>
                <w:lang w:val="en-US" w:eastAsia="zh-CN"/>
              </w:rPr>
              <w:t>活动现场拍摄</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1机位</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8" w:type="dxa"/>
            <w:vMerge w:val="restar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68" w:type="dxa"/>
            <w:vMerge w:val="restart"/>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视频制作</w:t>
            </w: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lang w:val="en-US" w:eastAsia="zh-CN"/>
              </w:rPr>
            </w:pPr>
            <w:r>
              <w:rPr>
                <w:rFonts w:hint="eastAsia" w:ascii="仿宋" w:hAnsi="仿宋" w:eastAsia="仿宋" w:cs="仿宋"/>
                <w:color w:val="auto"/>
                <w:sz w:val="24"/>
                <w:szCs w:val="24"/>
                <w:highlight w:val="none"/>
                <w:lang w:val="en-US" w:eastAsia="zh-CN"/>
              </w:rPr>
              <w:t>活动视频剪辑</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1分钟</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pPr>
          </w:p>
        </w:tc>
        <w:tc>
          <w:tcPr>
            <w:tcW w:w="12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pP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宣传视频拍摄、剪辑</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1分钟</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lang w:val="en-US" w:eastAsia="zh-CN"/>
              </w:rPr>
            </w:pPr>
          </w:p>
        </w:tc>
        <w:tc>
          <w:tcPr>
            <w:tcW w:w="12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lang w:val="en-US" w:eastAsia="zh-CN"/>
              </w:rPr>
            </w:pP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科普类视频剪辑</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1条（5分钟内）</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sz w:val="24"/>
                <w:szCs w:val="24"/>
                <w:lang w:val="en-US" w:eastAsia="zh-CN"/>
              </w:rPr>
            </w:pPr>
          </w:p>
        </w:tc>
        <w:tc>
          <w:tcPr>
            <w:tcW w:w="12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sz w:val="24"/>
                <w:szCs w:val="24"/>
                <w:lang w:val="en-US" w:eastAsia="zh-CN"/>
              </w:rPr>
            </w:pP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形象宣传视频剪辑</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highlight w:val="yellow"/>
                <w:lang w:val="en-US" w:eastAsia="zh-CN"/>
              </w:rPr>
            </w:pPr>
            <w:r>
              <w:rPr>
                <w:rFonts w:hint="eastAsia" w:ascii="仿宋" w:hAnsi="仿宋" w:eastAsia="仿宋" w:cs="仿宋"/>
                <w:color w:val="auto"/>
                <w:sz w:val="24"/>
                <w:szCs w:val="24"/>
                <w:highlight w:val="none"/>
                <w:lang w:val="en-US" w:eastAsia="zh-CN"/>
              </w:rPr>
              <w:t>1分钟</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合影台阶</w:t>
            </w:r>
          </w:p>
        </w:tc>
        <w:tc>
          <w:tcPr>
            <w:tcW w:w="35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百人内合影台阶使用</w:t>
            </w:r>
          </w:p>
        </w:tc>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1次</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8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合计价格</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（说明：合计价格为各分项报价的单价合计值）</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sz w:val="24"/>
                <w:szCs w:val="24"/>
                <w:lang w:val="en-US" w:eastAsia="zh-CN"/>
              </w:rPr>
            </w:pPr>
          </w:p>
        </w:tc>
      </w:tr>
    </w:tbl>
    <w:p>
      <w:pPr>
        <w:rPr>
          <w:rFonts w:hint="eastAsia"/>
        </w:rPr>
      </w:pPr>
    </w:p>
    <w:p>
      <w:pPr>
        <w:tabs>
          <w:tab w:val="left" w:pos="1418"/>
        </w:tabs>
        <w:snapToGrid w:val="0"/>
        <w:spacing w:before="50" w:after="50"/>
        <w:ind w:left="1418" w:hanging="567"/>
        <w:jc w:val="center"/>
        <w:rPr>
          <w:rFonts w:hint="eastAsia" w:ascii="仿宋" w:hAnsi="仿宋" w:eastAsia="仿宋" w:cs="仿宋"/>
          <w:color w:val="auto"/>
          <w:spacing w:val="20"/>
          <w:sz w:val="24"/>
          <w:szCs w:val="24"/>
          <w:highlight w:val="none"/>
          <w:u w:val="single"/>
        </w:rPr>
      </w:pPr>
    </w:p>
    <w:p>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授权代表签名：</w:t>
      </w:r>
      <w:r>
        <w:rPr>
          <w:rFonts w:hint="eastAsia" w:ascii="仿宋" w:hAnsi="仿宋" w:eastAsia="仿宋" w:cs="仿宋"/>
          <w:color w:val="auto"/>
          <w:spacing w:val="20"/>
          <w:sz w:val="24"/>
          <w:szCs w:val="24"/>
          <w:highlight w:val="none"/>
          <w:u w:val="single"/>
        </w:rPr>
        <w:t xml:space="preserve">             </w:t>
      </w:r>
    </w:p>
    <w:p>
      <w:pPr>
        <w:snapToGrid w:val="0"/>
        <w:spacing w:before="50" w:after="50"/>
        <w:rPr>
          <w:rFonts w:hint="eastAsia" w:ascii="仿宋" w:hAnsi="仿宋" w:eastAsia="仿宋" w:cs="仿宋"/>
          <w:color w:val="auto"/>
          <w:spacing w:val="20"/>
          <w:sz w:val="24"/>
          <w:szCs w:val="24"/>
          <w:highlight w:val="none"/>
        </w:rPr>
      </w:pPr>
    </w:p>
    <w:p>
      <w:pPr>
        <w:snapToGrid w:val="0"/>
        <w:spacing w:before="50" w:after="50"/>
        <w:rPr>
          <w:rFonts w:hint="eastAsia" w:ascii="仿宋" w:hAnsi="仿宋" w:eastAsia="仿宋" w:cs="仿宋"/>
          <w:color w:val="auto"/>
          <w:spacing w:val="20"/>
          <w:sz w:val="24"/>
          <w:szCs w:val="24"/>
          <w:highlight w:val="none"/>
        </w:rPr>
      </w:pPr>
    </w:p>
    <w:p>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投标人盖章：</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日  期：</w:t>
      </w:r>
      <w:r>
        <w:rPr>
          <w:rFonts w:hint="eastAsia" w:ascii="仿宋" w:hAnsi="仿宋" w:eastAsia="仿宋" w:cs="仿宋"/>
          <w:color w:val="auto"/>
          <w:spacing w:val="20"/>
          <w:sz w:val="24"/>
          <w:szCs w:val="24"/>
          <w:highlight w:val="none"/>
          <w:u w:val="single"/>
        </w:rPr>
        <w:t xml:space="preserve">         </w:t>
      </w:r>
    </w:p>
    <w:p>
      <w:pPr>
        <w:pStyle w:val="13"/>
        <w:snapToGrid w:val="0"/>
        <w:spacing w:before="295" w:after="295"/>
        <w:ind w:firstLine="480" w:firstLineChars="200"/>
        <w:rPr>
          <w:rFonts w:hint="eastAsia" w:ascii="仿宋" w:hAnsi="仿宋" w:eastAsia="仿宋" w:cs="仿宋"/>
          <w:color w:val="auto"/>
          <w:sz w:val="24"/>
          <w:szCs w:val="24"/>
          <w:highlight w:val="none"/>
        </w:rPr>
      </w:pP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1、以上报价包括</w:t>
      </w:r>
      <w:r>
        <w:rPr>
          <w:rFonts w:hint="eastAsia" w:ascii="仿宋" w:hAnsi="仿宋" w:eastAsia="仿宋" w:cs="仿宋"/>
          <w:kern w:val="0"/>
          <w:sz w:val="24"/>
        </w:rPr>
        <w:t>履行合同的</w:t>
      </w:r>
      <w:r>
        <w:rPr>
          <w:rFonts w:hint="eastAsia" w:ascii="仿宋" w:hAnsi="仿宋" w:eastAsia="仿宋" w:cs="仿宋"/>
          <w:kern w:val="0"/>
          <w:sz w:val="24"/>
          <w:lang w:val="en-US" w:eastAsia="zh-CN"/>
        </w:rPr>
        <w:t>全部</w:t>
      </w:r>
      <w:r>
        <w:rPr>
          <w:rFonts w:hint="eastAsia" w:ascii="仿宋" w:hAnsi="仿宋" w:eastAsia="仿宋" w:cs="仿宋"/>
          <w:kern w:val="0"/>
          <w:sz w:val="24"/>
        </w:rPr>
        <w:t>价格，应包含项目实施所需的一切费用，包括但不限于</w:t>
      </w:r>
      <w:r>
        <w:rPr>
          <w:rFonts w:hint="eastAsia" w:ascii="仿宋" w:hAnsi="仿宋" w:eastAsia="仿宋" w:cs="仿宋"/>
          <w:kern w:val="0"/>
          <w:sz w:val="24"/>
          <w:lang w:val="en-US" w:eastAsia="zh-CN"/>
        </w:rPr>
        <w:t>人员</w:t>
      </w:r>
      <w:r>
        <w:rPr>
          <w:rFonts w:hint="eastAsia" w:ascii="仿宋" w:hAnsi="仿宋" w:eastAsia="仿宋" w:cs="仿宋"/>
          <w:kern w:val="0"/>
          <w:sz w:val="24"/>
        </w:rPr>
        <w:t>服务费、</w:t>
      </w:r>
      <w:r>
        <w:rPr>
          <w:rFonts w:hint="eastAsia" w:ascii="仿宋" w:hAnsi="仿宋" w:eastAsia="仿宋" w:cs="仿宋"/>
          <w:kern w:val="0"/>
          <w:sz w:val="24"/>
          <w:lang w:val="en-US" w:eastAsia="zh-CN"/>
        </w:rPr>
        <w:t>设备使用费、交通费、运输费</w:t>
      </w:r>
      <w:r>
        <w:rPr>
          <w:rFonts w:hint="eastAsia" w:ascii="仿宋" w:hAnsi="仿宋" w:eastAsia="仿宋" w:cs="仿宋"/>
          <w:kern w:val="0"/>
          <w:sz w:val="24"/>
        </w:rPr>
        <w:t>、</w:t>
      </w:r>
      <w:r>
        <w:rPr>
          <w:rFonts w:hint="eastAsia" w:ascii="仿宋" w:hAnsi="仿宋" w:eastAsia="仿宋" w:cs="仿宋"/>
          <w:kern w:val="0"/>
          <w:sz w:val="24"/>
          <w:lang w:val="en-US" w:eastAsia="zh-CN"/>
        </w:rPr>
        <w:t>版权费</w:t>
      </w:r>
      <w:r>
        <w:rPr>
          <w:rFonts w:hint="eastAsia" w:ascii="仿宋" w:hAnsi="仿宋" w:eastAsia="仿宋" w:cs="仿宋"/>
          <w:kern w:val="0"/>
          <w:sz w:val="24"/>
        </w:rPr>
        <w:t>、保险费、利润、税金、完成本项目的其他费用和政策性文件规定及合同包含的所有风险、责任和义务等一切费用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。投标人也可以使用自行制作设计的投标报价明细表。</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2、以上单价必须是最终报价，与投标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相对应，不允许在</w:t>
      </w:r>
      <w:r>
        <w:rPr>
          <w:rFonts w:hint="eastAsia" w:ascii="仿宋" w:hAnsi="仿宋" w:eastAsia="仿宋" w:cs="仿宋"/>
          <w:color w:val="auto"/>
          <w:sz w:val="24"/>
          <w:szCs w:val="24"/>
          <w:highlight w:val="none"/>
          <w:lang w:val="en-US" w:eastAsia="zh-CN"/>
        </w:rPr>
        <w:t>投标报价</w:t>
      </w:r>
      <w:r>
        <w:rPr>
          <w:rFonts w:hint="eastAsia" w:ascii="仿宋" w:hAnsi="仿宋" w:eastAsia="仿宋" w:cs="仿宋"/>
          <w:color w:val="auto"/>
          <w:sz w:val="24"/>
          <w:szCs w:val="24"/>
          <w:highlight w:val="none"/>
        </w:rPr>
        <w:t>基础上再报优惠价。</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color w:val="auto"/>
          <w:sz w:val="24"/>
          <w:szCs w:val="24"/>
          <w:highlight w:val="none"/>
        </w:rPr>
        <w:t xml:space="preserve"> </w:t>
      </w: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服务要求响应</w:t>
      </w:r>
      <w:r>
        <w:rPr>
          <w:rFonts w:hint="eastAsia" w:ascii="仿宋" w:hAnsi="仿宋" w:eastAsia="仿宋" w:cs="仿宋"/>
          <w:b/>
          <w:color w:val="auto"/>
          <w:sz w:val="24"/>
          <w:szCs w:val="24"/>
          <w:highlight w:val="none"/>
        </w:rPr>
        <w:t>偏离表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outlineLvl w:val="0"/>
        <w:rPr>
          <w:rFonts w:hint="eastAsia" w:ascii="仿宋" w:hAnsi="仿宋" w:eastAsia="仿宋" w:cs="仿宋"/>
          <w:color w:val="auto"/>
          <w:sz w:val="24"/>
          <w:szCs w:val="24"/>
          <w:highlight w:val="none"/>
        </w:rPr>
      </w:pPr>
      <w:bookmarkStart w:id="15" w:name="_Toc6567"/>
      <w:r>
        <w:rPr>
          <w:rFonts w:hint="eastAsia" w:ascii="仿宋" w:hAnsi="仿宋" w:eastAsia="仿宋" w:cs="仿宋"/>
          <w:color w:val="auto"/>
          <w:sz w:val="24"/>
          <w:szCs w:val="24"/>
          <w:highlight w:val="none"/>
        </w:rPr>
        <w:t>法定代表人或授权代表人：（签字或盖章）</w:t>
      </w:r>
      <w:bookmarkEnd w:id="15"/>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pacing w:line="360" w:lineRule="auto"/>
        <w:rPr>
          <w:rFonts w:hint="eastAsia" w:ascii="仿宋" w:hAnsi="仿宋" w:eastAsia="仿宋" w:cs="仿宋"/>
          <w:color w:val="auto"/>
          <w:sz w:val="24"/>
          <w:szCs w:val="24"/>
          <w:highlight w:val="none"/>
        </w:rPr>
      </w:pPr>
    </w:p>
    <w:p>
      <w:pPr>
        <w:pStyle w:val="16"/>
        <w:ind w:left="0" w:leftChars="0" w:firstLine="0" w:firstLineChars="0"/>
        <w:rPr>
          <w:rFonts w:hint="eastAsia" w:ascii="仿宋" w:hAnsi="仿宋" w:eastAsia="仿宋" w:cs="仿宋"/>
        </w:rPr>
      </w:pPr>
    </w:p>
    <w:p/>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3175605D"/>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175605D"/>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autoRedefine/>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6">
    <w:name w:val="heading 2"/>
    <w:basedOn w:val="1"/>
    <w:next w:val="1"/>
    <w:autoRedefine/>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7">
    <w:name w:val="heading 3"/>
    <w:basedOn w:val="1"/>
    <w:next w:val="1"/>
    <w:autoRedefine/>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8">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9">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20">
    <w:name w:val="Default Paragraph Font"/>
    <w:autoRedefine/>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0">
    <w:name w:val="toa heading"/>
    <w:basedOn w:val="1"/>
    <w:next w:val="1"/>
    <w:autoRedefine/>
    <w:qFormat/>
    <w:uiPriority w:val="0"/>
    <w:pPr>
      <w:spacing w:before="120" w:beforeLines="0" w:beforeAutospacing="0"/>
    </w:pPr>
    <w:rPr>
      <w:rFonts w:ascii="Arial" w:hAnsi="Arial"/>
      <w:sz w:val="24"/>
    </w:rPr>
  </w:style>
  <w:style w:type="paragraph" w:styleId="11">
    <w:name w:val="Body Text"/>
    <w:basedOn w:val="1"/>
    <w:next w:val="1"/>
    <w:autoRedefine/>
    <w:qFormat/>
    <w:uiPriority w:val="0"/>
    <w:pPr>
      <w:spacing w:after="120" w:afterLines="0" w:afterAutospacing="0"/>
    </w:pPr>
  </w:style>
  <w:style w:type="paragraph" w:styleId="12">
    <w:name w:val="Body Text Indent"/>
    <w:basedOn w:val="1"/>
    <w:qFormat/>
    <w:uiPriority w:val="0"/>
    <w:pPr>
      <w:spacing w:after="120" w:afterLines="0"/>
      <w:ind w:left="420" w:leftChars="200"/>
    </w:pPr>
  </w:style>
  <w:style w:type="paragraph" w:styleId="13">
    <w:name w:val="Plain Text"/>
    <w:basedOn w:val="1"/>
    <w:next w:val="1"/>
    <w:unhideWhenUsed/>
    <w:qFormat/>
    <w:uiPriority w:val="0"/>
    <w:rPr>
      <w:rFonts w:ascii="宋体" w:hAnsi="Courier New" w:cs="Courier New"/>
      <w:szCs w:val="21"/>
    </w:rPr>
  </w:style>
  <w:style w:type="paragraph" w:styleId="14">
    <w:name w:val="toc 2"/>
    <w:basedOn w:val="1"/>
    <w:next w:val="1"/>
    <w:autoRedefine/>
    <w:uiPriority w:val="0"/>
    <w:pPr>
      <w:ind w:left="280" w:leftChars="100" w:right="280" w:rightChars="100" w:firstLine="0" w:firstLineChars="0"/>
    </w:pPr>
    <w:rPr>
      <w:sz w:val="24"/>
    </w:rPr>
  </w:style>
  <w:style w:type="paragraph" w:styleId="15">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6">
    <w:name w:val="Body Text First Indent"/>
    <w:basedOn w:val="11"/>
    <w:unhideWhenUsed/>
    <w:qFormat/>
    <w:uiPriority w:val="99"/>
    <w:pPr>
      <w:ind w:firstLine="420" w:firstLineChars="100"/>
    </w:pPr>
  </w:style>
  <w:style w:type="paragraph" w:styleId="17">
    <w:name w:val="Body Text First Indent 2"/>
    <w:basedOn w:val="12"/>
    <w:unhideWhenUsed/>
    <w:qFormat/>
    <w:uiPriority w:val="99"/>
    <w:pPr>
      <w:ind w:firstLine="420" w:firstLineChars="200"/>
    </w:pPr>
  </w:style>
  <w:style w:type="table" w:styleId="19">
    <w:name w:val="Table Grid"/>
    <w:basedOn w:val="1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2024-05-08T02:06:00Z</dcterms:created>
  <dc:creator>wttttt---</dc:creator>
  <cp:lastModifiedBy>wttttt---</cp:lastModifiedBy>
  <dcterms:modified xsi:type="dcterms:W3CDTF">2024-05-08T02:07:19Z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03AFE612F66B4EDE8B017FAEE9C00EAC_11</vt:lpwstr>
  </property>
</Properties>
</file>