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仿宋" w:hAnsi="仿宋" w:eastAsia="仿宋" w:cs="仿宋"/>
          <w:kern w:val="0"/>
          <w:sz w:val="24"/>
        </w:rPr>
      </w:pPr>
      <w:bookmarkStart w:id="0" w:name="_Toc25166"/>
      <w:r>
        <w:rPr>
          <w:rFonts w:hint="eastAsia" w:ascii="仿宋" w:hAnsi="仿宋" w:eastAsia="仿宋" w:cs="仿宋"/>
          <w:b/>
          <w:sz w:val="32"/>
          <w:szCs w:val="32"/>
        </w:rPr>
        <w:t>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spacing w:before="260" w:after="260" w:line="270" w:lineRule="atLeast"/>
        <w:ind w:left="-141" w:leftChars="-67"/>
        <w:jc w:val="left"/>
        <w:outlineLvl w:val="2"/>
        <w:rPr>
          <w:rFonts w:hint="eastAsia" w:ascii="仿宋" w:hAnsi="仿宋" w:eastAsia="仿宋" w:cs="仿宋"/>
          <w:b/>
          <w:bCs/>
          <w:kern w:val="0"/>
          <w:szCs w:val="21"/>
        </w:rPr>
      </w:pPr>
      <w:bookmarkStart w:id="1" w:name="_Toc350938485"/>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一</w:t>
      </w:r>
      <w:r>
        <w:rPr>
          <w:rFonts w:hint="eastAsia" w:ascii="仿宋" w:hAnsi="仿宋" w:eastAsia="仿宋" w:cs="仿宋"/>
          <w:b/>
          <w:bCs/>
          <w:kern w:val="0"/>
          <w:sz w:val="36"/>
          <w:szCs w:val="36"/>
        </w:rPr>
        <w:t xml:space="preserve">                 封面格式1</w:t>
      </w:r>
      <w:bookmarkEnd w:id="1"/>
      <w:bookmarkStart w:id="30" w:name="_GoBack"/>
      <w:bookmarkEnd w:id="30"/>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2" w:name="_Toc8112"/>
      <w:bookmarkStart w:id="3" w:name="_Toc13722"/>
      <w:r>
        <w:rPr>
          <w:rFonts w:hint="eastAsia" w:ascii="仿宋" w:hAnsi="仿宋" w:eastAsia="仿宋" w:cs="仿宋"/>
          <w:b/>
          <w:kern w:val="0"/>
          <w:sz w:val="44"/>
          <w:szCs w:val="44"/>
        </w:rPr>
        <w:t>投标文件</w:t>
      </w:r>
      <w:bookmarkEnd w:id="2"/>
      <w:bookmarkEnd w:id="3"/>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spacing w:before="150" w:after="150" w:line="480" w:lineRule="atLeast"/>
        <w:ind w:left="-141" w:leftChars="-67" w:right="300" w:firstLine="480"/>
        <w:jc w:val="left"/>
        <w:rPr>
          <w:rFonts w:hint="eastAsia" w:ascii="仿宋" w:hAnsi="仿宋" w:eastAsia="仿宋" w:cs="仿宋"/>
          <w:kern w:val="0"/>
        </w:rPr>
      </w:pPr>
    </w:p>
    <w:p>
      <w:pPr>
        <w:widowControl/>
        <w:spacing w:before="260" w:after="260" w:line="270" w:lineRule="atLeast"/>
        <w:ind w:left="-141" w:leftChars="-67"/>
        <w:jc w:val="left"/>
        <w:outlineLvl w:val="0"/>
        <w:rPr>
          <w:rFonts w:hint="eastAsia" w:ascii="仿宋" w:hAnsi="仿宋" w:eastAsia="仿宋" w:cs="仿宋"/>
          <w:b/>
          <w:bCs/>
          <w:kern w:val="0"/>
          <w:szCs w:val="21"/>
        </w:rPr>
      </w:pPr>
      <w:bookmarkStart w:id="4" w:name="_Toc25019"/>
      <w:bookmarkStart w:id="5" w:name="_Toc350938486"/>
      <w:bookmarkStart w:id="6" w:name="_Toc30797"/>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二</w:t>
      </w:r>
      <w:r>
        <w:rPr>
          <w:rFonts w:hint="eastAsia" w:ascii="仿宋" w:hAnsi="仿宋" w:eastAsia="仿宋" w:cs="仿宋"/>
          <w:b/>
          <w:bCs/>
          <w:kern w:val="0"/>
          <w:sz w:val="36"/>
          <w:szCs w:val="36"/>
        </w:rPr>
        <w:t xml:space="preserve">                  封面格式2</w:t>
      </w:r>
      <w:bookmarkEnd w:id="4"/>
      <w:bookmarkEnd w:id="5"/>
      <w:bookmarkEnd w:id="6"/>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7" w:name="_Toc16325"/>
      <w:bookmarkStart w:id="8" w:name="_Toc9758"/>
      <w:r>
        <w:rPr>
          <w:rFonts w:hint="eastAsia" w:ascii="仿宋" w:hAnsi="仿宋" w:eastAsia="仿宋" w:cs="仿宋"/>
          <w:b/>
          <w:kern w:val="0"/>
          <w:sz w:val="44"/>
          <w:szCs w:val="44"/>
        </w:rPr>
        <w:t>投标文件</w:t>
      </w:r>
      <w:bookmarkEnd w:id="7"/>
      <w:bookmarkEnd w:id="8"/>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spacing w:line="420" w:lineRule="atLeast"/>
        <w:rPr>
          <w:rFonts w:hint="eastAsia" w:ascii="仿宋" w:hAnsi="仿宋" w:eastAsia="仿宋" w:cs="仿宋"/>
          <w:kern w:val="0"/>
          <w:sz w:val="28"/>
          <w:szCs w:val="28"/>
        </w:rPr>
      </w:pPr>
      <w:r>
        <w:rPr>
          <w:rFonts w:hint="eastAsia" w:ascii="仿宋" w:hAnsi="仿宋" w:eastAsia="仿宋" w:cs="仿宋"/>
          <w:b/>
          <w:sz w:val="24"/>
        </w:rPr>
        <w:br w:type="page"/>
      </w:r>
      <w:r>
        <w:rPr>
          <w:rFonts w:hint="eastAsia" w:ascii="仿宋" w:hAnsi="仿宋" w:eastAsia="仿宋" w:cs="仿宋"/>
          <w:b/>
          <w:color w:val="auto"/>
          <w:sz w:val="24"/>
          <w:szCs w:val="24"/>
          <w:highlight w:val="none"/>
        </w:rPr>
        <w:t>附件三</w:t>
      </w:r>
      <w:r>
        <w:rPr>
          <w:rFonts w:hint="eastAsia" w:ascii="仿宋" w:hAnsi="仿宋" w:eastAsia="仿宋" w:cs="仿宋"/>
          <w:kern w:val="0"/>
          <w:sz w:val="28"/>
          <w:szCs w:val="28"/>
        </w:rPr>
        <w:t xml:space="preserve">                 </w:t>
      </w:r>
    </w:p>
    <w:p>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pPr>
        <w:pStyle w:val="11"/>
        <w:spacing w:line="400" w:lineRule="exact"/>
        <w:rPr>
          <w:rFonts w:hint="eastAsia" w:ascii="仿宋" w:hAnsi="仿宋" w:eastAsia="仿宋" w:cs="仿宋"/>
          <w:kern w:val="0"/>
          <w:sz w:val="24"/>
          <w:szCs w:val="24"/>
        </w:rPr>
      </w:pPr>
    </w:p>
    <w:p>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bidi w:val="0"/>
        <w:rPr>
          <w:rFonts w:hint="eastAsia"/>
        </w:rPr>
      </w:pPr>
    </w:p>
    <w:p>
      <w:pPr>
        <w:rPr>
          <w:rFonts w:hint="eastAsia" w:ascii="仿宋" w:hAnsi="仿宋" w:eastAsia="仿宋" w:cs="仿宋"/>
          <w:b/>
          <w:bCs/>
          <w:kern w:val="0"/>
          <w:sz w:val="28"/>
          <w:szCs w:val="28"/>
        </w:rPr>
      </w:pPr>
      <w:r>
        <w:rPr>
          <w:rFonts w:hint="eastAsia" w:ascii="仿宋" w:hAnsi="仿宋" w:eastAsia="仿宋" w:cs="仿宋"/>
          <w:kern w:val="0"/>
          <w:sz w:val="28"/>
          <w:szCs w:val="28"/>
        </w:rPr>
        <w:br w:type="page"/>
      </w:r>
      <w:r>
        <w:rPr>
          <w:rFonts w:hint="eastAsia" w:ascii="仿宋" w:hAnsi="仿宋" w:eastAsia="仿宋" w:cs="仿宋"/>
          <w:b/>
          <w:color w:val="auto"/>
          <w:sz w:val="24"/>
          <w:szCs w:val="24"/>
          <w:highlight w:val="none"/>
        </w:rPr>
        <w:t xml:space="preserve">附件四 </w:t>
      </w:r>
      <w:r>
        <w:rPr>
          <w:rFonts w:hint="eastAsia" w:ascii="仿宋" w:hAnsi="仿宋" w:eastAsia="仿宋" w:cs="仿宋"/>
          <w:b/>
          <w:bCs/>
          <w:kern w:val="0"/>
          <w:sz w:val="28"/>
          <w:szCs w:val="28"/>
        </w:rPr>
        <w:t xml:space="preserve">        </w:t>
      </w:r>
    </w:p>
    <w:p>
      <w:pPr>
        <w:jc w:val="center"/>
        <w:outlineLvl w:val="0"/>
        <w:rPr>
          <w:rFonts w:hint="eastAsia" w:ascii="仿宋" w:hAnsi="仿宋" w:eastAsia="仿宋" w:cs="仿宋"/>
          <w:b/>
          <w:bCs/>
          <w:kern w:val="0"/>
          <w:sz w:val="28"/>
          <w:szCs w:val="28"/>
        </w:rPr>
      </w:pPr>
      <w:bookmarkStart w:id="9" w:name="_Toc16911"/>
      <w:bookmarkStart w:id="10" w:name="_Toc30683"/>
      <w:r>
        <w:rPr>
          <w:rFonts w:hint="eastAsia" w:ascii="仿宋" w:hAnsi="仿宋" w:eastAsia="仿宋" w:cs="仿宋"/>
          <w:b/>
          <w:bCs/>
          <w:kern w:val="0"/>
          <w:sz w:val="28"/>
          <w:szCs w:val="28"/>
        </w:rPr>
        <w:t>投标人法定代表人授权书（格式）</w:t>
      </w:r>
      <w:bookmarkEnd w:id="9"/>
      <w:bookmarkEnd w:id="10"/>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pStyle w:val="16"/>
        <w:ind w:left="0" w:leftChars="0" w:firstLine="0" w:firstLineChars="0"/>
        <w:rPr>
          <w:rFonts w:hint="eastAsia"/>
          <w:lang w:val="zh-CN"/>
        </w:rPr>
      </w:pPr>
    </w:p>
    <w:p>
      <w:pPr>
        <w:shd w:val="clear" w:color="auto" w:fill="auto"/>
        <w:spacing w:line="360" w:lineRule="auto"/>
        <w:jc w:val="center"/>
        <w:outlineLvl w:val="9"/>
        <w:rPr>
          <w:rFonts w:hint="eastAsia" w:ascii="仿宋" w:hAnsi="仿宋" w:eastAsia="仿宋" w:cs="仿宋"/>
          <w:b/>
          <w:color w:val="auto"/>
          <w:spacing w:val="-6"/>
          <w:sz w:val="24"/>
          <w:highlight w:val="none"/>
        </w:rPr>
      </w:pPr>
    </w:p>
    <w:p>
      <w:pPr>
        <w:shd w:val="clear" w:color="auto" w:fill="auto"/>
        <w:spacing w:line="360" w:lineRule="auto"/>
        <w:jc w:val="left"/>
        <w:outlineLvl w:val="0"/>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11" w:name="_Toc2860"/>
      <w:bookmarkStart w:id="12" w:name="_Toc31298"/>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五</w:t>
      </w:r>
      <w:bookmarkEnd w:id="11"/>
      <w:bookmarkEnd w:id="12"/>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13" w:name="_Toc4186"/>
      <w:bookmarkStart w:id="14" w:name="_Toc12451"/>
      <w:r>
        <w:rPr>
          <w:rFonts w:hint="eastAsia" w:ascii="仿宋" w:hAnsi="仿宋" w:eastAsia="仿宋" w:cs="仿宋"/>
          <w:b/>
          <w:color w:val="auto"/>
          <w:spacing w:val="-6"/>
          <w:sz w:val="28"/>
          <w:szCs w:val="28"/>
          <w:highlight w:val="none"/>
        </w:rPr>
        <w:t>中小企业声明函（格式）</w:t>
      </w:r>
      <w:bookmarkEnd w:id="13"/>
      <w:bookmarkEnd w:id="14"/>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pPr>
        <w:widowControl/>
        <w:shd w:val="clear" w:color="auto" w:fill="auto"/>
        <w:adjustRightInd w:val="0"/>
        <w:snapToGrid w:val="0"/>
        <w:spacing w:line="288"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六</w:t>
      </w:r>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15" w:name="_Toc11764"/>
      <w:bookmarkStart w:id="16" w:name="_Toc10097"/>
      <w:r>
        <w:rPr>
          <w:rFonts w:hint="eastAsia" w:ascii="仿宋" w:hAnsi="仿宋" w:eastAsia="仿宋" w:cs="仿宋"/>
          <w:b/>
          <w:color w:val="auto"/>
          <w:spacing w:val="-6"/>
          <w:sz w:val="28"/>
          <w:szCs w:val="28"/>
          <w:highlight w:val="none"/>
        </w:rPr>
        <w:t>属于监狱企业的证明文件（格式）</w:t>
      </w:r>
      <w:bookmarkEnd w:id="15"/>
      <w:bookmarkEnd w:id="16"/>
    </w:p>
    <w:p>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17" w:name="_Toc8617"/>
      <w:bookmarkStart w:id="18" w:name="_Toc15651"/>
      <w:r>
        <w:rPr>
          <w:rFonts w:hint="eastAsia" w:ascii="仿宋" w:hAnsi="仿宋" w:eastAsia="仿宋" w:cs="仿宋"/>
          <w:b/>
          <w:color w:val="auto"/>
          <w:spacing w:val="-6"/>
          <w:sz w:val="21"/>
          <w:szCs w:val="21"/>
          <w:highlight w:val="none"/>
        </w:rPr>
        <w:t>（若属于监狱企业）</w:t>
      </w:r>
      <w:bookmarkEnd w:id="17"/>
      <w:bookmarkEnd w:id="18"/>
    </w:p>
    <w:p>
      <w:pPr>
        <w:shd w:val="clear" w:color="auto" w:fill="auto"/>
        <w:adjustRightInd w:val="0"/>
        <w:snapToGrid w:val="0"/>
        <w:spacing w:line="360" w:lineRule="auto"/>
        <w:rPr>
          <w:rFonts w:hint="eastAsia" w:ascii="仿宋" w:hAnsi="仿宋" w:eastAsia="仿宋" w:cs="仿宋"/>
          <w:color w:val="auto"/>
          <w:szCs w:val="21"/>
          <w:highlight w:val="none"/>
        </w:rPr>
      </w:pPr>
    </w:p>
    <w:p>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shd w:val="clear" w:color="auto" w:fill="auto"/>
        <w:adjustRightInd w:val="0"/>
        <w:snapToGrid w:val="0"/>
        <w:spacing w:line="288" w:lineRule="auto"/>
        <w:jc w:val="left"/>
        <w:outlineLvl w:val="0"/>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bookmarkStart w:id="19" w:name="_Toc30186"/>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七</w:t>
      </w:r>
      <w:bookmarkEnd w:id="19"/>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20" w:name="_Toc25970"/>
      <w:bookmarkStart w:id="21" w:name="_Toc9518"/>
      <w:r>
        <w:rPr>
          <w:rFonts w:hint="eastAsia" w:ascii="仿宋" w:hAnsi="仿宋" w:eastAsia="仿宋" w:cs="仿宋"/>
          <w:b/>
          <w:color w:val="auto"/>
          <w:spacing w:val="-6"/>
          <w:sz w:val="28"/>
          <w:szCs w:val="28"/>
          <w:highlight w:val="none"/>
        </w:rPr>
        <w:t>残疾人福利性单位声明函（格式）</w:t>
      </w:r>
      <w:bookmarkEnd w:id="20"/>
      <w:bookmarkEnd w:id="21"/>
    </w:p>
    <w:p>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22" w:name="_Toc29214"/>
      <w:bookmarkStart w:id="23" w:name="_Toc29423"/>
      <w:r>
        <w:rPr>
          <w:rFonts w:hint="eastAsia" w:ascii="仿宋" w:hAnsi="仿宋" w:eastAsia="仿宋" w:cs="仿宋"/>
          <w:b/>
          <w:color w:val="auto"/>
          <w:spacing w:val="-6"/>
          <w:sz w:val="21"/>
          <w:szCs w:val="21"/>
          <w:highlight w:val="none"/>
        </w:rPr>
        <w:t>（若属于残疾人福利性单位）</w:t>
      </w:r>
      <w:bookmarkEnd w:id="22"/>
      <w:bookmarkEnd w:id="23"/>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pPr>
        <w:snapToGrid w:val="0"/>
        <w:spacing w:before="50" w:after="50"/>
        <w:rPr>
          <w:rFonts w:hint="eastAsia" w:ascii="仿宋" w:hAnsi="仿宋" w:eastAsia="仿宋" w:cs="仿宋"/>
          <w:b/>
          <w:color w:val="auto"/>
          <w:sz w:val="24"/>
          <w:szCs w:val="24"/>
          <w:highlight w:val="none"/>
        </w:rPr>
      </w:pPr>
    </w:p>
    <w:p>
      <w:pPr>
        <w:snapToGrid w:val="0"/>
        <w:spacing w:before="50" w:after="50"/>
        <w:outlineLvl w:val="0"/>
        <w:rPr>
          <w:rFonts w:hint="eastAsia" w:ascii="仿宋" w:hAnsi="仿宋" w:eastAsia="仿宋" w:cs="仿宋"/>
          <w:b/>
          <w:color w:val="auto"/>
          <w:sz w:val="24"/>
          <w:szCs w:val="24"/>
          <w:highlight w:val="none"/>
        </w:rPr>
      </w:pPr>
      <w:bookmarkStart w:id="24" w:name="_Toc27269"/>
      <w:r>
        <w:rPr>
          <w:rFonts w:hint="eastAsia" w:ascii="仿宋" w:hAnsi="仿宋" w:eastAsia="仿宋" w:cs="仿宋"/>
          <w:b/>
          <w:color w:val="auto"/>
          <w:sz w:val="24"/>
          <w:szCs w:val="24"/>
          <w:highlight w:val="none"/>
        </w:rPr>
        <w:br w:type="page"/>
      </w:r>
      <w:bookmarkStart w:id="25" w:name="_Toc31020"/>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八</w:t>
      </w:r>
      <w:bookmarkEnd w:id="24"/>
      <w:bookmarkEnd w:id="25"/>
    </w:p>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报价一览表</w:t>
      </w:r>
    </w:p>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8号楼标识标牌设计服务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98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                                     ￥</w:t>
            </w:r>
            <w:r>
              <w:rPr>
                <w:rFonts w:hint="eastAsia" w:ascii="仿宋" w:hAnsi="仿宋" w:eastAsia="仿宋" w:cs="仿宋"/>
                <w:color w:val="auto"/>
                <w:sz w:val="24"/>
                <w:szCs w:val="24"/>
                <w:highlight w:val="none"/>
                <w:u w:val="single"/>
              </w:rPr>
              <w:t xml:space="preserve">            </w:t>
            </w:r>
          </w:p>
          <w:p>
            <w:pPr>
              <w:snapToGrid w:val="0"/>
              <w:spacing w:before="50" w:after="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tc>
      </w:tr>
    </w:tbl>
    <w:p>
      <w:pPr>
        <w:snapToGrid w:val="0"/>
        <w:spacing w:before="50" w:after="50" w:line="420" w:lineRule="exact"/>
        <w:jc w:val="left"/>
        <w:rPr>
          <w:rFonts w:hint="eastAsia" w:ascii="仿宋" w:hAnsi="仿宋" w:eastAsia="仿宋" w:cs="仿宋"/>
          <w:color w:val="auto"/>
          <w:sz w:val="24"/>
          <w:szCs w:val="24"/>
          <w:highlight w:val="none"/>
        </w:rPr>
      </w:pPr>
    </w:p>
    <w:p>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pPr>
        <w:snapToGrid w:val="0"/>
        <w:spacing w:before="50" w:after="50" w:line="420" w:lineRule="exact"/>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、以上报价应与“投标报价明细表”中的“投标总价”相一致。</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pPr>
        <w:pStyle w:val="11"/>
        <w:snapToGrid w:val="0"/>
        <w:spacing w:before="295" w:after="295"/>
        <w:rPr>
          <w:rFonts w:hint="eastAsia" w:ascii="仿宋" w:hAnsi="仿宋" w:eastAsia="仿宋" w:cs="仿宋"/>
          <w:b/>
          <w:color w:val="auto"/>
          <w:highlight w:val="none"/>
        </w:rPr>
      </w:pPr>
    </w:p>
    <w:p>
      <w:pPr>
        <w:pStyle w:val="11"/>
        <w:snapToGrid w:val="0"/>
        <w:spacing w:before="295" w:after="295"/>
        <w:rPr>
          <w:rFonts w:hint="eastAsia" w:ascii="仿宋" w:hAnsi="仿宋" w:eastAsia="仿宋" w:cs="仿宋"/>
          <w:b/>
          <w:color w:val="auto"/>
          <w:highlight w:val="none"/>
        </w:rPr>
      </w:pPr>
    </w:p>
    <w:p>
      <w:pPr>
        <w:pStyle w:val="15"/>
        <w:ind w:left="0" w:leftChars="0" w:firstLine="0" w:firstLineChars="0"/>
        <w:rPr>
          <w:rFonts w:hint="eastAsia" w:ascii="仿宋" w:hAnsi="仿宋" w:eastAsia="仿宋" w:cs="仿宋"/>
        </w:rPr>
      </w:pPr>
    </w:p>
    <w:p>
      <w:pPr>
        <w:pStyle w:val="15"/>
        <w:rPr>
          <w:rFonts w:hint="eastAsia" w:ascii="仿宋" w:hAnsi="仿宋" w:eastAsia="仿宋" w:cs="仿宋"/>
        </w:rPr>
      </w:pPr>
    </w:p>
    <w:p>
      <w:pPr>
        <w:pStyle w:val="11"/>
        <w:snapToGrid w:val="0"/>
        <w:spacing w:before="295" w:after="295"/>
        <w:outlineLvl w:val="0"/>
        <w:rPr>
          <w:rFonts w:hint="eastAsia" w:ascii="仿宋" w:hAnsi="仿宋" w:eastAsia="仿宋" w:cs="仿宋"/>
          <w:b/>
          <w:color w:val="auto"/>
          <w:sz w:val="24"/>
          <w:szCs w:val="24"/>
          <w:highlight w:val="none"/>
        </w:rPr>
      </w:pPr>
      <w:bookmarkStart w:id="26" w:name="_Toc29339"/>
      <w:r>
        <w:rPr>
          <w:rFonts w:hint="eastAsia" w:ascii="仿宋" w:hAnsi="仿宋" w:eastAsia="仿宋" w:cs="仿宋"/>
          <w:b/>
          <w:color w:val="auto"/>
          <w:sz w:val="24"/>
          <w:szCs w:val="24"/>
          <w:highlight w:val="none"/>
        </w:rPr>
        <w:br w:type="page"/>
      </w:r>
      <w:bookmarkStart w:id="27" w:name="_Toc20874"/>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九</w:t>
      </w:r>
      <w:bookmarkEnd w:id="26"/>
      <w:bookmarkEnd w:id="27"/>
      <w:r>
        <w:rPr>
          <w:rFonts w:hint="eastAsia" w:ascii="仿宋" w:hAnsi="仿宋" w:eastAsia="仿宋" w:cs="仿宋"/>
          <w:b/>
          <w:color w:val="auto"/>
          <w:sz w:val="24"/>
          <w:szCs w:val="24"/>
          <w:highlight w:val="none"/>
        </w:rPr>
        <w:t xml:space="preserve">        </w:t>
      </w:r>
    </w:p>
    <w:p>
      <w:pPr>
        <w:pStyle w:val="11"/>
        <w:snapToGrid w:val="0"/>
        <w:spacing w:before="295" w:after="295"/>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投标报价明细表</w:t>
      </w:r>
    </w:p>
    <w:p>
      <w:pPr>
        <w:pStyle w:val="11"/>
        <w:snapToGrid w:val="0"/>
        <w:spacing w:before="295" w:after="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金额单位：人民币（元）</w:t>
      </w:r>
    </w:p>
    <w:tbl>
      <w:tblPr>
        <w:tblStyle w:val="17"/>
        <w:tblW w:w="7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9"/>
              <w:snapToGrid w:val="0"/>
              <w:spacing w:before="50" w:after="5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12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default" w:ascii="仿宋" w:hAnsi="仿宋" w:eastAsia="仿宋" w:cs="仿宋"/>
                <w:color w:val="auto"/>
                <w:spacing w:val="20"/>
                <w:szCs w:val="21"/>
                <w:highlight w:val="none"/>
                <w:lang w:val="en-US" w:eastAsia="zh-CN"/>
              </w:rPr>
            </w:pPr>
            <w:r>
              <w:rPr>
                <w:rFonts w:hint="eastAsia" w:ascii="仿宋" w:hAnsi="仿宋" w:eastAsia="仿宋" w:cs="仿宋"/>
                <w:color w:val="auto"/>
                <w:spacing w:val="20"/>
                <w:szCs w:val="21"/>
                <w:highlight w:val="none"/>
                <w:lang w:val="en-US" w:eastAsia="zh-CN"/>
              </w:rPr>
              <w:t>投标总价</w:t>
            </w: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color w:val="auto"/>
                <w:spacing w:val="20"/>
                <w:szCs w:val="21"/>
                <w:highlight w:val="none"/>
              </w:rPr>
            </w:pPr>
          </w:p>
        </w:tc>
      </w:tr>
    </w:tbl>
    <w:p>
      <w:pPr>
        <w:tabs>
          <w:tab w:val="left" w:pos="1418"/>
        </w:tabs>
        <w:snapToGrid w:val="0"/>
        <w:spacing w:before="50" w:after="50"/>
        <w:ind w:left="1418" w:hanging="567"/>
        <w:jc w:val="center"/>
        <w:rPr>
          <w:rFonts w:hint="eastAsia" w:ascii="仿宋" w:hAnsi="仿宋" w:eastAsia="仿宋" w:cs="仿宋"/>
          <w:color w:val="auto"/>
          <w:spacing w:val="20"/>
          <w:sz w:val="24"/>
          <w:szCs w:val="24"/>
          <w:highlight w:val="none"/>
          <w:u w:val="single"/>
        </w:rPr>
      </w:pPr>
    </w:p>
    <w:p>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授权代表签名：</w:t>
      </w:r>
      <w:r>
        <w:rPr>
          <w:rFonts w:hint="eastAsia" w:ascii="仿宋" w:hAnsi="仿宋" w:eastAsia="仿宋" w:cs="仿宋"/>
          <w:color w:val="auto"/>
          <w:spacing w:val="20"/>
          <w:sz w:val="24"/>
          <w:szCs w:val="24"/>
          <w:highlight w:val="none"/>
          <w:u w:val="single"/>
        </w:rPr>
        <w:t xml:space="preserve">             </w:t>
      </w:r>
    </w:p>
    <w:p>
      <w:pPr>
        <w:snapToGrid w:val="0"/>
        <w:spacing w:before="50" w:after="50"/>
        <w:rPr>
          <w:rFonts w:hint="eastAsia" w:ascii="仿宋" w:hAnsi="仿宋" w:eastAsia="仿宋" w:cs="仿宋"/>
          <w:color w:val="auto"/>
          <w:spacing w:val="20"/>
          <w:sz w:val="24"/>
          <w:szCs w:val="24"/>
          <w:highlight w:val="none"/>
        </w:rPr>
      </w:pPr>
    </w:p>
    <w:p>
      <w:pPr>
        <w:snapToGrid w:val="0"/>
        <w:spacing w:before="50" w:after="50"/>
        <w:rPr>
          <w:rFonts w:hint="eastAsia" w:ascii="仿宋" w:hAnsi="仿宋" w:eastAsia="仿宋" w:cs="仿宋"/>
          <w:color w:val="auto"/>
          <w:spacing w:val="20"/>
          <w:sz w:val="24"/>
          <w:szCs w:val="24"/>
          <w:highlight w:val="none"/>
        </w:rPr>
      </w:pPr>
    </w:p>
    <w:p>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投标人盖章：</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日  期：</w:t>
      </w:r>
      <w:r>
        <w:rPr>
          <w:rFonts w:hint="eastAsia" w:ascii="仿宋" w:hAnsi="仿宋" w:eastAsia="仿宋" w:cs="仿宋"/>
          <w:color w:val="auto"/>
          <w:spacing w:val="20"/>
          <w:sz w:val="24"/>
          <w:szCs w:val="24"/>
          <w:highlight w:val="none"/>
          <w:u w:val="single"/>
        </w:rPr>
        <w:t xml:space="preserve">         </w:t>
      </w:r>
    </w:p>
    <w:p>
      <w:pPr>
        <w:pStyle w:val="11"/>
        <w:snapToGrid w:val="0"/>
        <w:spacing w:before="295" w:after="295"/>
        <w:ind w:firstLine="480" w:firstLineChars="200"/>
        <w:rPr>
          <w:rFonts w:hint="eastAsia" w:ascii="仿宋" w:hAnsi="仿宋" w:eastAsia="仿宋" w:cs="仿宋"/>
          <w:color w:val="auto"/>
          <w:sz w:val="24"/>
          <w:szCs w:val="24"/>
          <w:highlight w:val="none"/>
        </w:rPr>
      </w:pP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1、以上报价包括</w:t>
      </w:r>
      <w:r>
        <w:rPr>
          <w:rFonts w:hint="eastAsia" w:ascii="仿宋" w:hAnsi="仿宋" w:eastAsia="仿宋" w:cs="仿宋"/>
          <w:kern w:val="0"/>
          <w:sz w:val="24"/>
        </w:rPr>
        <w:t>履行合同的</w:t>
      </w:r>
      <w:r>
        <w:rPr>
          <w:rFonts w:hint="eastAsia" w:ascii="仿宋" w:hAnsi="仿宋" w:eastAsia="仿宋" w:cs="仿宋"/>
          <w:kern w:val="0"/>
          <w:sz w:val="24"/>
          <w:lang w:val="en-US" w:eastAsia="zh-CN"/>
        </w:rPr>
        <w:t>全部</w:t>
      </w:r>
      <w:r>
        <w:rPr>
          <w:rFonts w:hint="eastAsia" w:ascii="仿宋" w:hAnsi="仿宋" w:eastAsia="仿宋" w:cs="仿宋"/>
          <w:kern w:val="0"/>
          <w:sz w:val="24"/>
        </w:rPr>
        <w:t>价格，应包含项目实施所需的一切费用，包括但不限于服务费、培训费、技术资料费、保险费、利润、税金、完成本项目的其他费用和政策性文</w:t>
      </w:r>
      <w:r>
        <w:rPr>
          <w:rFonts w:hint="eastAsia" w:ascii="仿宋" w:hAnsi="仿宋" w:eastAsia="仿宋" w:cs="仿宋"/>
          <w:kern w:val="0"/>
          <w:sz w:val="24"/>
          <w:highlight w:val="none"/>
        </w:rPr>
        <w:t>件规定及合同包含的所有风险、责任和义务等一切费用</w:t>
      </w:r>
      <w:r>
        <w:rPr>
          <w:rFonts w:hint="eastAsia" w:ascii="仿宋" w:hAnsi="仿宋" w:eastAsia="仿宋" w:cs="仿宋"/>
          <w:color w:val="auto"/>
          <w:sz w:val="24"/>
          <w:szCs w:val="24"/>
          <w:highlight w:val="none"/>
        </w:rPr>
        <w:t>。投标人也可以使用自行制作设计的投标报价明细表。</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2、以上单价必须是最终报价，与投标总价相对应，不允许在总价基础上再报优惠价。</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color w:val="auto"/>
          <w:sz w:val="24"/>
          <w:szCs w:val="24"/>
          <w:highlight w:val="none"/>
        </w:rPr>
        <w:t xml:space="preserve"> </w:t>
      </w: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采购需求响应</w:t>
      </w:r>
      <w:r>
        <w:rPr>
          <w:rFonts w:hint="eastAsia" w:ascii="仿宋" w:hAnsi="仿宋" w:eastAsia="仿宋" w:cs="仿宋"/>
          <w:b/>
          <w:color w:val="auto"/>
          <w:sz w:val="24"/>
          <w:szCs w:val="24"/>
          <w:highlight w:val="none"/>
        </w:rPr>
        <w:t>偏离表</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144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招标要求</w:t>
            </w:r>
          </w:p>
        </w:tc>
        <w:tc>
          <w:tcPr>
            <w:tcW w:w="198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投标响应情况</w:t>
            </w:r>
          </w:p>
        </w:tc>
        <w:tc>
          <w:tcPr>
            <w:tcW w:w="88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16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ind w:firstLine="240" w:firstLineChars="100"/>
        <w:rPr>
          <w:rFonts w:hint="eastAsia" w:ascii="仿宋" w:hAnsi="仿宋" w:eastAsia="仿宋" w:cs="仿宋"/>
          <w:color w:val="auto"/>
          <w:sz w:val="24"/>
          <w:szCs w:val="24"/>
          <w:highlight w:val="none"/>
        </w:rPr>
      </w:pPr>
      <w:bookmarkStart w:id="28" w:name="_Toc6567"/>
      <w:bookmarkStart w:id="29" w:name="_Toc24996"/>
      <w:r>
        <w:rPr>
          <w:rFonts w:hint="eastAsia" w:ascii="仿宋" w:hAnsi="仿宋" w:eastAsia="仿宋" w:cs="仿宋"/>
          <w:color w:val="auto"/>
          <w:sz w:val="24"/>
          <w:szCs w:val="24"/>
          <w:highlight w:val="none"/>
        </w:rPr>
        <w:t>法定代表人或授权代表人：（签字或盖章）</w:t>
      </w:r>
      <w:bookmarkEnd w:id="28"/>
      <w:bookmarkEnd w:id="29"/>
    </w:p>
    <w:p>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rPr>
          <w:rFonts w:hint="eastAsia" w:ascii="仿宋" w:hAnsi="仿宋" w:eastAsia="仿宋" w:cs="仿宋"/>
          <w:color w:val="auto"/>
          <w:sz w:val="24"/>
          <w:szCs w:val="24"/>
          <w:highlight w:val="none"/>
        </w:rPr>
      </w:pPr>
    </w:p>
    <w:p>
      <w:pPr>
        <w:pStyle w:val="15"/>
        <w:ind w:left="0" w:leftChars="0" w:firstLine="0" w:firstLineChars="0"/>
        <w:rPr>
          <w:rFonts w:hint="eastAsia" w:ascii="仿宋" w:hAnsi="仿宋" w:eastAsia="仿宋" w:cs="仿宋"/>
        </w:rPr>
      </w:pPr>
    </w:p>
    <w:p/>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249C4ACD"/>
    <w:rsid w:val="006B3EBE"/>
    <w:rsid w:val="06B75E22"/>
    <w:rsid w:val="06F300F9"/>
    <w:rsid w:val="0BDC4F75"/>
    <w:rsid w:val="0F0E45F1"/>
    <w:rsid w:val="10D44610"/>
    <w:rsid w:val="137742F2"/>
    <w:rsid w:val="174D4F1E"/>
    <w:rsid w:val="17B42F96"/>
    <w:rsid w:val="1BCA67EA"/>
    <w:rsid w:val="1C5A1B35"/>
    <w:rsid w:val="20000DDB"/>
    <w:rsid w:val="21A36C67"/>
    <w:rsid w:val="249C4ACD"/>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4">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5">
    <w:name w:val="heading 3"/>
    <w:basedOn w:val="1"/>
    <w:next w:val="1"/>
    <w:autoRedefine/>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2">
    <w:name w:val="heading 4"/>
    <w:basedOn w:val="1"/>
    <w:next w:val="1"/>
    <w:autoRedefine/>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6">
    <w:name w:val="heading 5"/>
    <w:basedOn w:val="1"/>
    <w:next w:val="1"/>
    <w:autoRedefine/>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8">
    <w:name w:val="Default Paragraph Font"/>
    <w:autoRedefine/>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7"/>
    <w:uiPriority w:val="0"/>
    <w:pPr>
      <w:spacing w:after="120" w:afterLines="0"/>
      <w:ind w:left="420" w:leftChars="200"/>
    </w:pPr>
  </w:style>
  <w:style w:type="paragraph" w:styleId="9">
    <w:name w:val="toa heading"/>
    <w:basedOn w:val="1"/>
    <w:next w:val="1"/>
    <w:uiPriority w:val="0"/>
    <w:pPr>
      <w:spacing w:before="120" w:beforeLines="0" w:beforeAutospacing="0"/>
    </w:pPr>
    <w:rPr>
      <w:rFonts w:ascii="Arial" w:hAnsi="Arial"/>
      <w:sz w:val="24"/>
    </w:rPr>
  </w:style>
  <w:style w:type="paragraph" w:styleId="10">
    <w:name w:val="Body Text"/>
    <w:basedOn w:val="1"/>
    <w:qFormat/>
    <w:uiPriority w:val="0"/>
    <w:pPr>
      <w:spacing w:after="120" w:afterLines="0" w:afterAutospacing="0"/>
    </w:pPr>
  </w:style>
  <w:style w:type="paragraph" w:styleId="11">
    <w:name w:val="Plain Text"/>
    <w:basedOn w:val="1"/>
    <w:unhideWhenUsed/>
    <w:qFormat/>
    <w:uiPriority w:val="0"/>
    <w:rPr>
      <w:rFonts w:ascii="宋体" w:hAnsi="Courier New" w:cs="Courier New"/>
      <w:szCs w:val="21"/>
    </w:rPr>
  </w:style>
  <w:style w:type="paragraph" w:styleId="12">
    <w:name w:val="toc 2"/>
    <w:basedOn w:val="1"/>
    <w:next w:val="1"/>
    <w:uiPriority w:val="0"/>
    <w:pPr>
      <w:ind w:left="280" w:leftChars="100" w:right="280" w:rightChars="100" w:firstLine="0" w:firstLineChars="0"/>
    </w:pPr>
    <w:rPr>
      <w:sz w:val="24"/>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4">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w:basedOn w:val="10"/>
    <w:unhideWhenUsed/>
    <w:qFormat/>
    <w:uiPriority w:val="99"/>
    <w:pPr>
      <w:ind w:firstLine="420" w:firstLineChars="100"/>
    </w:pPr>
  </w:style>
  <w:style w:type="paragraph" w:styleId="16">
    <w:name w:val="Body Text First Indent 2"/>
    <w:basedOn w:val="8"/>
    <w:next w:val="1"/>
    <w:unhideWhenUsed/>
    <w:qFormat/>
    <w:uiPriority w:val="99"/>
    <w:pPr>
      <w:ind w:firstLine="420" w:firstLineChars="200"/>
    </w:pPr>
  </w:style>
  <w:style w:type="paragraph" w:customStyle="1" w:styleId="1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2024-04-26T08:18:00Z</dcterms:created>
  <dc:creator>wttttt---</dc:creator>
  <cp:lastModifiedBy>wttttt---</cp:lastModifiedBy>
  <dcterms:modified xsi:type="dcterms:W3CDTF">2024-04-26T08:18:55Z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BC3FC2D50B7D4BEC93F5F234835C0EDA_11</vt:lpwstr>
  </property>
</Properties>
</file>