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cs="仿宋"/>
          <w:kern w:val="0"/>
          <w:sz w:val="24"/>
        </w:rPr>
      </w:pPr>
      <w:r>
        <w:rPr>
          <w:rFonts w:hint="eastAsia"/>
        </w:rPr>
        <w:t>投标相关文件格式</w:t>
      </w:r>
      <w:bookmarkStart w:id="15" w:name="_GoBack"/>
      <w:bookmarkEnd w:id="15"/>
      <w:r>
        <w:rPr>
          <w:rFonts w:hint="eastAsia" w:ascii="仿宋" w:hAnsi="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pStyle w:val="5"/>
        <w:rPr>
          <w:rFonts w:hint="eastAsia"/>
        </w:rPr>
      </w:pPr>
      <w:bookmarkStart w:id="0" w:name="_Toc350938485"/>
      <w:r>
        <w:rPr>
          <w:rFonts w:hint="eastAsia"/>
        </w:rPr>
        <w:t>附件一              封面格式1</w:t>
      </w:r>
      <w:bookmarkEnd w:id="0"/>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jc w:val="center"/>
        <w:rPr>
          <w:rFonts w:hint="eastAsia" w:ascii="仿宋" w:hAnsi="仿宋" w:eastAsia="仿宋" w:cs="仿宋"/>
          <w:b/>
          <w:bCs/>
          <w:sz w:val="44"/>
          <w:szCs w:val="44"/>
        </w:rPr>
      </w:pPr>
      <w:bookmarkStart w:id="1" w:name="_Toc13542"/>
      <w:r>
        <w:rPr>
          <w:rFonts w:hint="eastAsia" w:ascii="仿宋" w:hAnsi="仿宋" w:eastAsia="仿宋" w:cs="仿宋"/>
          <w:b/>
          <w:bCs/>
          <w:sz w:val="44"/>
          <w:szCs w:val="44"/>
        </w:rPr>
        <w:t>投标文件</w:t>
      </w:r>
      <w:bookmarkEnd w:id="1"/>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footerReference r:id="rId3" w:type="default"/>
          <w:pgSz w:w="11906" w:h="16838"/>
          <w:pgMar w:top="1134" w:right="1247" w:bottom="1134" w:left="1247" w:header="567" w:footer="737" w:gutter="0"/>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pStyle w:val="5"/>
        <w:rPr>
          <w:rFonts w:hint="eastAsia"/>
        </w:rPr>
      </w:pPr>
      <w:bookmarkStart w:id="2" w:name="_Toc1345"/>
      <w:bookmarkStart w:id="3" w:name="_Toc350938486"/>
      <w:r>
        <w:rPr>
          <w:rFonts w:hint="eastAsia"/>
        </w:rPr>
        <w:t>附件二              封面格式2</w:t>
      </w:r>
      <w:bookmarkEnd w:id="2"/>
      <w:bookmarkEnd w:id="3"/>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jc w:val="center"/>
        <w:rPr>
          <w:rFonts w:hint="eastAsia" w:ascii="仿宋" w:hAnsi="仿宋" w:eastAsia="仿宋" w:cs="仿宋"/>
          <w:b/>
          <w:bCs/>
          <w:sz w:val="44"/>
          <w:szCs w:val="44"/>
        </w:rPr>
      </w:pPr>
      <w:bookmarkStart w:id="4" w:name="_Toc14070"/>
      <w:r>
        <w:rPr>
          <w:rFonts w:hint="eastAsia" w:ascii="仿宋" w:hAnsi="仿宋" w:eastAsia="仿宋" w:cs="仿宋"/>
          <w:b/>
          <w:bCs/>
          <w:sz w:val="44"/>
          <w:szCs w:val="44"/>
        </w:rPr>
        <w:t>投标文件</w:t>
      </w:r>
      <w:bookmarkEnd w:id="4"/>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pStyle w:val="5"/>
        <w:rPr>
          <w:rFonts w:hint="eastAsia" w:cs="仿宋"/>
          <w:kern w:val="0"/>
          <w:szCs w:val="28"/>
        </w:rPr>
      </w:pPr>
      <w:r>
        <w:rPr>
          <w:rFonts w:hint="eastAsia" w:cs="仿宋"/>
          <w:b w:val="0"/>
          <w:sz w:val="24"/>
        </w:rPr>
        <w:br w:type="page"/>
      </w:r>
      <w:r>
        <w:rPr>
          <w:rFonts w:hint="eastAsia" w:cs="仿宋"/>
          <w:kern w:val="0"/>
          <w:szCs w:val="28"/>
        </w:rPr>
        <w:t xml:space="preserve">附件三                 </w:t>
      </w:r>
    </w:p>
    <w:p>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pPr>
        <w:pStyle w:val="11"/>
        <w:spacing w:line="400" w:lineRule="exact"/>
        <w:rPr>
          <w:rFonts w:hint="eastAsia" w:ascii="仿宋" w:hAnsi="仿宋" w:eastAsia="仿宋" w:cs="仿宋"/>
          <w:kern w:val="0"/>
          <w:sz w:val="24"/>
          <w:szCs w:val="24"/>
        </w:rPr>
      </w:pPr>
    </w:p>
    <w:p>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 xml:space="preserve">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p>
    <w:p>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widowControl/>
        <w:spacing w:line="420" w:lineRule="atLeast"/>
        <w:rPr>
          <w:rFonts w:hint="eastAsia" w:ascii="仿宋" w:hAnsi="仿宋" w:eastAsia="仿宋" w:cs="仿宋"/>
          <w:kern w:val="0"/>
          <w:sz w:val="24"/>
        </w:rPr>
      </w:pPr>
    </w:p>
    <w:p>
      <w:pPr>
        <w:rPr>
          <w:rFonts w:hint="eastAsia"/>
        </w:rPr>
      </w:pPr>
    </w:p>
    <w:p>
      <w:pPr>
        <w:pStyle w:val="5"/>
        <w:rPr>
          <w:rFonts w:hint="eastAsia" w:cs="仿宋"/>
          <w:b w:val="0"/>
          <w:bCs w:val="0"/>
          <w:kern w:val="0"/>
          <w:szCs w:val="28"/>
        </w:rPr>
      </w:pPr>
      <w:r>
        <w:rPr>
          <w:rFonts w:hint="eastAsia" w:cs="仿宋"/>
          <w:kern w:val="0"/>
          <w:szCs w:val="28"/>
        </w:rPr>
        <w:br w:type="page"/>
      </w:r>
      <w:r>
        <w:rPr>
          <w:rFonts w:hint="eastAsia" w:cs="仿宋"/>
          <w:kern w:val="0"/>
          <w:szCs w:val="28"/>
        </w:rPr>
        <w:t xml:space="preserve">附件四 </w:t>
      </w:r>
      <w:r>
        <w:rPr>
          <w:rFonts w:hint="eastAsia" w:cs="仿宋"/>
          <w:b w:val="0"/>
          <w:bCs w:val="0"/>
          <w:kern w:val="0"/>
          <w:szCs w:val="28"/>
        </w:rPr>
        <w:t xml:space="preserve">        </w:t>
      </w:r>
    </w:p>
    <w:p>
      <w:pPr>
        <w:jc w:val="center"/>
        <w:rPr>
          <w:rFonts w:hint="eastAsia" w:ascii="仿宋" w:hAnsi="仿宋" w:eastAsia="仿宋" w:cs="仿宋"/>
          <w:b/>
          <w:bCs/>
          <w:sz w:val="28"/>
          <w:szCs w:val="28"/>
        </w:rPr>
      </w:pPr>
      <w:bookmarkStart w:id="5" w:name="_Toc5493"/>
      <w:r>
        <w:rPr>
          <w:rFonts w:hint="eastAsia" w:ascii="仿宋" w:hAnsi="仿宋" w:eastAsia="仿宋" w:cs="仿宋"/>
          <w:b/>
          <w:bCs/>
          <w:sz w:val="28"/>
          <w:szCs w:val="28"/>
        </w:rPr>
        <w:t>投标人法定代表人授权书（格式）</w:t>
      </w:r>
      <w:bookmarkEnd w:id="5"/>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ind w:left="-141" w:leftChars="-67"/>
        <w:jc w:val="center"/>
        <w:rPr>
          <w:rFonts w:hint="eastAsia" w:ascii="仿宋" w:hAnsi="仿宋" w:eastAsia="仿宋" w:cs="仿宋"/>
          <w:kern w:val="0"/>
          <w:sz w:val="24"/>
          <w:lang w:val="zh-CN"/>
        </w:rPr>
      </w:pPr>
    </w:p>
    <w:p>
      <w:pPr>
        <w:rPr>
          <w:rFonts w:hint="eastAsia"/>
          <w:lang w:val="zh-CN"/>
        </w:rPr>
      </w:pPr>
    </w:p>
    <w:p>
      <w:pPr>
        <w:rPr>
          <w:rFonts w:hint="eastAsia" w:ascii="仿宋" w:hAnsi="仿宋" w:eastAsia="仿宋" w:cs="仿宋"/>
          <w:kern w:val="0"/>
          <w:sz w:val="24"/>
          <w:lang w:val="zh-CN"/>
        </w:rPr>
      </w:pPr>
    </w:p>
    <w:p>
      <w:pPr>
        <w:spacing w:line="360" w:lineRule="auto"/>
        <w:jc w:val="center"/>
        <w:rPr>
          <w:rFonts w:hint="eastAsia" w:ascii="仿宋" w:hAnsi="仿宋" w:eastAsia="仿宋" w:cs="仿宋"/>
          <w:b/>
          <w:spacing w:val="-6"/>
          <w:sz w:val="24"/>
        </w:rPr>
      </w:pPr>
    </w:p>
    <w:p>
      <w:pPr>
        <w:pStyle w:val="5"/>
        <w:rPr>
          <w:rFonts w:hint="eastAsia" w:cs="仿宋"/>
          <w:kern w:val="0"/>
          <w:szCs w:val="28"/>
        </w:rPr>
      </w:pPr>
      <w:r>
        <w:rPr>
          <w:rFonts w:hint="eastAsia" w:cs="仿宋"/>
          <w:b w:val="0"/>
          <w:spacing w:val="-6"/>
          <w:sz w:val="24"/>
        </w:rPr>
        <w:br w:type="page"/>
      </w:r>
      <w:bookmarkStart w:id="6" w:name="_Toc19281"/>
      <w:r>
        <w:rPr>
          <w:rFonts w:hint="eastAsia"/>
        </w:rPr>
        <w:t>附件五</w:t>
      </w:r>
      <w:bookmarkEnd w:id="6"/>
    </w:p>
    <w:p>
      <w:pPr>
        <w:jc w:val="center"/>
        <w:rPr>
          <w:rFonts w:hint="eastAsia" w:ascii="仿宋" w:hAnsi="仿宋" w:eastAsia="仿宋" w:cs="仿宋"/>
          <w:b/>
          <w:bCs/>
          <w:sz w:val="28"/>
          <w:szCs w:val="28"/>
        </w:rPr>
      </w:pPr>
      <w:bookmarkStart w:id="7" w:name="_Toc28966"/>
      <w:r>
        <w:rPr>
          <w:rFonts w:hint="eastAsia" w:ascii="仿宋" w:hAnsi="仿宋" w:eastAsia="仿宋" w:cs="仿宋"/>
          <w:b/>
          <w:bCs/>
          <w:sz w:val="28"/>
          <w:szCs w:val="28"/>
        </w:rPr>
        <w:t>中小企业声明函（格式）</w:t>
      </w:r>
      <w:bookmarkEnd w:id="7"/>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pPr>
        <w:adjustRightInd w:val="0"/>
        <w:snapToGrid w:val="0"/>
        <w:spacing w:line="360" w:lineRule="auto"/>
        <w:ind w:firstLine="480" w:firstLineChars="200"/>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sz w:val="24"/>
          <w:u w:val="single"/>
        </w:rPr>
        <w:t>1.（标的名称）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3.（标的名称）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pPr>
        <w:spacing w:line="360" w:lineRule="auto"/>
        <w:rPr>
          <w:rFonts w:hint="eastAsia" w:ascii="仿宋" w:hAnsi="仿宋" w:eastAsia="仿宋" w:cs="仿宋"/>
          <w:b/>
          <w:bCs/>
          <w:sz w:val="24"/>
        </w:rPr>
      </w:pPr>
      <w:bookmarkStart w:id="8" w:name="_Toc14111"/>
      <w:r>
        <w:rPr>
          <w:rFonts w:hint="eastAsia" w:ascii="仿宋" w:hAnsi="仿宋" w:eastAsia="仿宋" w:cs="仿宋"/>
          <w:b/>
          <w:bCs/>
          <w:sz w:val="24"/>
        </w:rPr>
        <w:t>.....（根据采购内容逐项填写，共</w:t>
      </w:r>
      <w:r>
        <w:rPr>
          <w:rFonts w:hint="eastAsia" w:ascii="仿宋" w:hAnsi="仿宋" w:eastAsia="仿宋" w:cs="仿宋"/>
          <w:b/>
          <w:bCs/>
          <w:sz w:val="24"/>
          <w:highlight w:val="yellow"/>
        </w:rPr>
        <w:t xml:space="preserve">   </w:t>
      </w:r>
      <w:r>
        <w:rPr>
          <w:rFonts w:hint="eastAsia" w:ascii="仿宋" w:hAnsi="仿宋" w:eastAsia="仿宋" w:cs="仿宋"/>
          <w:b/>
          <w:bCs/>
          <w:sz w:val="24"/>
        </w:rPr>
        <w:t>项）</w:t>
      </w:r>
      <w:bookmarkEnd w:id="8"/>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1.中小企业参加采购活动，应当出具财库[2020]46号文件规定的《中小企业声明函》，否则不得享受相关中小企业扶持政策；</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2.从业人员、营业收入、资产总额填报上一年度数据，无上一年度数据的新成立企业可不填报；</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3.《中小企业声明函》填写不全的，视为未提供《中小企业声明函》（从业人员、营业收入、资产总额在中小企业划型标准规定中不涉及的除外），不得享受相关中小企业扶持政策；</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4.投标人提供《中小企业声明函》内容不实的，属于提供虚假材料谋取中标，参照《中华人民共和国政府采购法》等国家有关规定追究相应责任；</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5.本项目仅以《中小企业声明函》作为评判投标人是否属于中小企业的唯一依据。</w:t>
      </w:r>
    </w:p>
    <w:p>
      <w:pPr>
        <w:pStyle w:val="5"/>
        <w:rPr>
          <w:rFonts w:hint="eastAsia" w:cs="仿宋"/>
          <w:szCs w:val="21"/>
        </w:rPr>
      </w:pPr>
      <w:r>
        <w:rPr>
          <w:rFonts w:hint="eastAsia"/>
        </w:rPr>
        <w:br w:type="page"/>
      </w:r>
      <w:r>
        <w:rPr>
          <w:rFonts w:hint="eastAsia"/>
        </w:rPr>
        <w:t>附件六</w:t>
      </w:r>
    </w:p>
    <w:p>
      <w:pPr>
        <w:jc w:val="center"/>
        <w:rPr>
          <w:rFonts w:hint="eastAsia" w:ascii="仿宋" w:hAnsi="仿宋" w:eastAsia="仿宋" w:cs="仿宋"/>
          <w:b/>
          <w:bCs/>
          <w:sz w:val="28"/>
          <w:szCs w:val="28"/>
        </w:rPr>
      </w:pPr>
      <w:bookmarkStart w:id="9" w:name="_Toc21944"/>
      <w:r>
        <w:rPr>
          <w:rFonts w:hint="eastAsia" w:ascii="仿宋" w:hAnsi="仿宋" w:eastAsia="仿宋" w:cs="仿宋"/>
          <w:b/>
          <w:bCs/>
          <w:sz w:val="28"/>
          <w:szCs w:val="28"/>
        </w:rPr>
        <w:t>属于监狱企业的证明文件（格式）</w:t>
      </w:r>
      <w:bookmarkEnd w:id="9"/>
    </w:p>
    <w:p>
      <w:pPr>
        <w:jc w:val="center"/>
        <w:rPr>
          <w:rFonts w:hint="eastAsia" w:ascii="仿宋" w:hAnsi="仿宋" w:eastAsia="仿宋" w:cs="仿宋"/>
          <w:b/>
          <w:bCs/>
        </w:rPr>
      </w:pPr>
      <w:bookmarkStart w:id="10" w:name="_Toc9102"/>
      <w:r>
        <w:rPr>
          <w:rFonts w:hint="eastAsia" w:ascii="仿宋" w:hAnsi="仿宋" w:eastAsia="仿宋" w:cs="仿宋"/>
          <w:b/>
          <w:bCs/>
        </w:rPr>
        <w:t>（若属于监狱企业）</w:t>
      </w:r>
      <w:bookmarkEnd w:id="10"/>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价格扣除等政府采购促进中小企业发展的政府采购政策。</w:t>
      </w:r>
    </w:p>
    <w:p>
      <w:pPr>
        <w:pStyle w:val="5"/>
        <w:rPr>
          <w:rFonts w:hint="eastAsia" w:cs="仿宋"/>
          <w:b w:val="0"/>
          <w:spacing w:val="-6"/>
          <w:szCs w:val="21"/>
        </w:rPr>
      </w:pPr>
      <w:r>
        <w:rPr>
          <w:rFonts w:hint="eastAsia" w:cs="仿宋"/>
          <w:b w:val="0"/>
          <w:spacing w:val="-6"/>
          <w:szCs w:val="21"/>
        </w:rPr>
        <w:br w:type="page"/>
      </w:r>
      <w:r>
        <w:rPr>
          <w:rFonts w:hint="eastAsia"/>
        </w:rPr>
        <w:t>附件七</w:t>
      </w:r>
    </w:p>
    <w:p>
      <w:pPr>
        <w:jc w:val="center"/>
        <w:rPr>
          <w:rFonts w:hint="eastAsia" w:ascii="仿宋" w:hAnsi="仿宋" w:eastAsia="仿宋" w:cs="仿宋"/>
          <w:b/>
          <w:bCs/>
          <w:sz w:val="28"/>
          <w:szCs w:val="28"/>
        </w:rPr>
      </w:pPr>
      <w:bookmarkStart w:id="11" w:name="_Toc2969"/>
      <w:r>
        <w:rPr>
          <w:rFonts w:hint="eastAsia" w:ascii="仿宋" w:hAnsi="仿宋" w:eastAsia="仿宋" w:cs="仿宋"/>
          <w:b/>
          <w:bCs/>
          <w:sz w:val="28"/>
          <w:szCs w:val="28"/>
        </w:rPr>
        <w:t>残疾人福利性单位声明函（格式）</w:t>
      </w:r>
      <w:bookmarkEnd w:id="11"/>
    </w:p>
    <w:p>
      <w:pPr>
        <w:jc w:val="center"/>
        <w:rPr>
          <w:rFonts w:hint="eastAsia" w:ascii="仿宋" w:hAnsi="仿宋" w:eastAsia="仿宋" w:cs="仿宋"/>
          <w:b/>
          <w:bCs/>
        </w:rPr>
      </w:pPr>
      <w:bookmarkStart w:id="12" w:name="_Toc13185"/>
      <w:r>
        <w:rPr>
          <w:rFonts w:hint="eastAsia" w:ascii="仿宋" w:hAnsi="仿宋" w:eastAsia="仿宋" w:cs="仿宋"/>
          <w:b/>
          <w:bCs/>
        </w:rPr>
        <w:t>（若属于残疾人福利性单位）</w:t>
      </w:r>
      <w:bookmarkEnd w:id="12"/>
    </w:p>
    <w:p>
      <w:pPr>
        <w:rPr>
          <w:rFonts w:hint="eastAsia"/>
        </w:rPr>
      </w:pPr>
    </w:p>
    <w:p>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tabs>
          <w:tab w:val="left" w:pos="4860"/>
        </w:tabs>
        <w:adjustRightInd w:val="0"/>
        <w:snapToGrid w:val="0"/>
        <w:spacing w:line="360" w:lineRule="auto"/>
        <w:rPr>
          <w:rFonts w:hint="eastAsia" w:ascii="仿宋" w:hAnsi="仿宋" w:eastAsia="仿宋" w:cs="仿宋"/>
          <w:spacing w:val="6"/>
          <w:sz w:val="24"/>
        </w:rPr>
      </w:pPr>
    </w:p>
    <w:p>
      <w:pPr>
        <w:tabs>
          <w:tab w:val="left" w:pos="4860"/>
        </w:tabs>
        <w:adjustRightInd w:val="0"/>
        <w:snapToGrid w:val="0"/>
        <w:spacing w:line="360" w:lineRule="auto"/>
        <w:ind w:firstLine="504" w:firstLineChars="200"/>
        <w:rPr>
          <w:rFonts w:hint="eastAsia" w:ascii="仿宋" w:hAnsi="仿宋" w:eastAsia="仿宋" w:cs="仿宋"/>
          <w:spacing w:val="6"/>
          <w:sz w:val="24"/>
        </w:rPr>
      </w:pPr>
    </w:p>
    <w:p>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p>
    <w:p>
      <w:pPr>
        <w:pStyle w:val="13"/>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pPr>
        <w:pStyle w:val="5"/>
        <w:rPr>
          <w:rFonts w:hint="eastAsia"/>
        </w:rPr>
      </w:pPr>
      <w:r>
        <w:rPr>
          <w:rFonts w:hint="eastAsia" w:cs="仿宋"/>
          <w:b w:val="0"/>
          <w:bCs w:val="0"/>
          <w:sz w:val="21"/>
          <w:szCs w:val="21"/>
        </w:rPr>
        <w:br w:type="page"/>
      </w:r>
      <w:bookmarkStart w:id="13" w:name="_Toc23969"/>
      <w:r>
        <w:rPr>
          <w:rFonts w:hint="eastAsia"/>
        </w:rPr>
        <w:t>附件八</w:t>
      </w:r>
      <w:bookmarkEnd w:id="13"/>
    </w:p>
    <w:p>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6"/>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s="仿宋"/>
                <w:sz w:val="24"/>
              </w:rPr>
            </w:pPr>
            <w:r>
              <w:rPr>
                <w:rFonts w:hint="eastAsia" w:ascii="仿宋" w:hAnsi="仿宋" w:eastAsia="仿宋" w:cs="仿宋"/>
                <w:sz w:val="24"/>
              </w:rPr>
              <w:t>年度零星窗帘采购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s="仿宋"/>
                <w:sz w:val="24"/>
              </w:rPr>
            </w:pPr>
            <w:r>
              <w:rPr>
                <w:rFonts w:hint="eastAsia" w:ascii="仿宋" w:hAnsi="仿宋" w:eastAsia="仿宋" w:cs="仿宋"/>
                <w:sz w:val="24"/>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pPr>
        <w:snapToGrid w:val="0"/>
        <w:spacing w:before="50" w:after="50" w:line="420" w:lineRule="exact"/>
        <w:jc w:val="left"/>
        <w:rPr>
          <w:rFonts w:hint="eastAsia" w:ascii="仿宋" w:hAnsi="仿宋" w:eastAsia="仿宋" w:cs="仿宋"/>
          <w:sz w:val="24"/>
        </w:rPr>
      </w:pPr>
    </w:p>
    <w:p>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注：1、报价一经涂改，应在涂改处加盖单位公章或者由法定代表人或授权委托人签字或盖章，否则其投标作无效标处理。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包括货物价款、途中运输费、装卸费、保险费、利润、税金、完成本项目的其他费用和政策性文件规定及合同包含的所有风险、责任等</w:t>
      </w:r>
      <w:r>
        <w:rPr>
          <w:rFonts w:hint="eastAsia" w:ascii="仿宋" w:hAnsi="仿宋" w:eastAsia="仿宋" w:cs="仿宋"/>
          <w:sz w:val="24"/>
        </w:rPr>
        <w:t>一切费用</w:t>
      </w:r>
      <w:r>
        <w:rPr>
          <w:rFonts w:hint="eastAsia" w:ascii="仿宋" w:hAnsi="仿宋" w:eastAsia="仿宋" w:cs="仿宋"/>
          <w:kern w:val="0"/>
          <w:sz w:val="24"/>
        </w:rPr>
        <w:t>，如有漏项，视同已包含在其总项目中，合同总价不予调整。</w:t>
      </w:r>
    </w:p>
    <w:p>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3、以上报价应与“投标报价明细表”中的“投标总价”相一致。</w:t>
      </w: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pPr>
        <w:pStyle w:val="11"/>
        <w:snapToGrid w:val="0"/>
        <w:spacing w:before="295" w:after="295"/>
        <w:rPr>
          <w:rFonts w:hint="eastAsia" w:ascii="仿宋" w:hAnsi="仿宋" w:eastAsia="仿宋" w:cs="仿宋"/>
          <w:b/>
        </w:rPr>
      </w:pPr>
    </w:p>
    <w:p>
      <w:pPr>
        <w:pStyle w:val="11"/>
        <w:snapToGrid w:val="0"/>
        <w:spacing w:before="295" w:after="295"/>
        <w:rPr>
          <w:rFonts w:hint="eastAsia" w:ascii="仿宋" w:hAnsi="仿宋" w:eastAsia="仿宋" w:cs="仿宋"/>
          <w:b/>
        </w:rPr>
      </w:pPr>
    </w:p>
    <w:p>
      <w:pPr>
        <w:rPr>
          <w:rFonts w:hint="eastAsia"/>
        </w:rPr>
      </w:pPr>
    </w:p>
    <w:p>
      <w:pPr>
        <w:pStyle w:val="15"/>
        <w:ind w:firstLine="210"/>
        <w:rPr>
          <w:rFonts w:hint="eastAsia" w:ascii="仿宋" w:hAnsi="仿宋" w:eastAsia="仿宋" w:cs="仿宋"/>
        </w:rPr>
      </w:pPr>
    </w:p>
    <w:p>
      <w:pPr>
        <w:pStyle w:val="15"/>
        <w:ind w:firstLine="0" w:firstLineChars="0"/>
        <w:rPr>
          <w:rFonts w:hint="eastAsia" w:ascii="仿宋" w:hAnsi="仿宋" w:eastAsia="仿宋" w:cs="仿宋"/>
        </w:rPr>
      </w:pPr>
    </w:p>
    <w:p>
      <w:pPr>
        <w:pStyle w:val="5"/>
        <w:rPr>
          <w:rFonts w:hint="eastAsia" w:cs="仿宋"/>
          <w:b w:val="0"/>
          <w:sz w:val="24"/>
          <w:szCs w:val="24"/>
        </w:rPr>
      </w:pPr>
      <w:r>
        <w:rPr>
          <w:rFonts w:hint="eastAsia" w:cs="仿宋"/>
          <w:b w:val="0"/>
          <w:sz w:val="24"/>
          <w:szCs w:val="24"/>
        </w:rPr>
        <w:br w:type="page"/>
      </w:r>
      <w:r>
        <w:rPr>
          <w:rFonts w:hint="eastAsia"/>
        </w:rPr>
        <w:t>附件九</w:t>
      </w:r>
      <w:r>
        <w:rPr>
          <w:rFonts w:hint="eastAsia" w:cs="仿宋"/>
          <w:b w:val="0"/>
          <w:sz w:val="24"/>
          <w:szCs w:val="24"/>
        </w:rPr>
        <w:t xml:space="preserve">        </w:t>
      </w:r>
    </w:p>
    <w:p>
      <w:pPr>
        <w:pStyle w:val="11"/>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pPr>
        <w:pStyle w:val="11"/>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6"/>
        <w:tblW w:w="9240" w:type="dxa"/>
        <w:tblInd w:w="-2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3"/>
        <w:gridCol w:w="2812"/>
        <w:gridCol w:w="1675"/>
        <w:gridCol w:w="1363"/>
        <w:gridCol w:w="1375"/>
        <w:gridCol w:w="13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单位</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数量</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直轨</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遮光卷帘</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平方米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医用隔帘</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平方米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手动透景卷帘</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平方米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手动珠拉式铝百叶</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平方米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6</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手动隔光卷帘</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平方米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7</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手动布帘轨道</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8</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手动布帘（专家公寓）</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平方米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9</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手动遮光布帘</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平方米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布帘</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平方米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11</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金刚网纱窗</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平方米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12</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纱窗轨道</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米</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37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78"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36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Cs w:val="21"/>
              </w:rPr>
            </w:pPr>
          </w:p>
        </w:tc>
      </w:tr>
    </w:tbl>
    <w:p>
      <w:pPr>
        <w:tabs>
          <w:tab w:val="left" w:pos="1418"/>
        </w:tabs>
        <w:snapToGrid w:val="0"/>
        <w:spacing w:before="50" w:after="50"/>
        <w:ind w:left="1418" w:hanging="567"/>
        <w:jc w:val="center"/>
        <w:rPr>
          <w:rFonts w:hint="eastAsia" w:ascii="仿宋" w:hAnsi="仿宋" w:eastAsia="仿宋" w:cs="仿宋"/>
          <w:spacing w:val="20"/>
          <w:sz w:val="24"/>
          <w:u w:val="single"/>
        </w:rPr>
      </w:pPr>
    </w:p>
    <w:p>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pPr>
        <w:snapToGrid w:val="0"/>
        <w:spacing w:before="50" w:after="50"/>
        <w:rPr>
          <w:rFonts w:hint="eastAsia" w:ascii="仿宋" w:hAnsi="仿宋" w:eastAsia="仿宋" w:cs="仿宋"/>
          <w:spacing w:val="20"/>
          <w:sz w:val="24"/>
        </w:rPr>
      </w:pPr>
    </w:p>
    <w:p>
      <w:pPr>
        <w:snapToGrid w:val="0"/>
        <w:spacing w:before="50" w:after="50"/>
        <w:rPr>
          <w:rFonts w:hint="eastAsia" w:ascii="仿宋" w:hAnsi="仿宋" w:eastAsia="仿宋" w:cs="仿宋"/>
          <w:spacing w:val="20"/>
          <w:sz w:val="24"/>
        </w:rPr>
      </w:pPr>
    </w:p>
    <w:p>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pPr>
        <w:pStyle w:val="11"/>
        <w:snapToGrid w:val="0"/>
        <w:spacing w:before="295" w:after="295"/>
        <w:ind w:firstLine="480" w:firstLineChars="200"/>
        <w:rPr>
          <w:rFonts w:hint="eastAsia" w:ascii="仿宋" w:hAnsi="仿宋" w:eastAsia="仿宋" w:cs="仿宋"/>
          <w:sz w:val="24"/>
          <w:szCs w:val="24"/>
        </w:rPr>
      </w:pPr>
    </w:p>
    <w:p>
      <w:pPr>
        <w:spacing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pPr>
        <w:rPr>
          <w:rFonts w:hint="eastAsia" w:ascii="仿宋" w:hAnsi="仿宋" w:eastAsia="仿宋" w:cs="仿宋"/>
        </w:rPr>
      </w:pPr>
    </w:p>
    <w:p>
      <w:pPr>
        <w:rPr>
          <w:rFonts w:hint="eastAsia" w:ascii="仿宋" w:hAnsi="仿宋" w:eastAsia="仿宋" w:cs="仿宋"/>
        </w:rPr>
      </w:pPr>
    </w:p>
    <w:p>
      <w:pPr>
        <w:pStyle w:val="5"/>
        <w:rPr>
          <w:rFonts w:hint="eastAsia" w:cs="仿宋"/>
          <w:sz w:val="24"/>
        </w:rPr>
      </w:pPr>
      <w:r>
        <w:rPr>
          <w:rFonts w:hint="eastAsia" w:cs="仿宋"/>
        </w:rPr>
        <w:br w:type="page"/>
      </w:r>
      <w:r>
        <w:rPr>
          <w:rFonts w:hint="eastAsia"/>
        </w:rPr>
        <w:t>附件十</w:t>
      </w:r>
      <w:r>
        <w:rPr>
          <w:rFonts w:hint="eastAsia" w:cs="仿宋"/>
          <w:sz w:val="24"/>
        </w:rPr>
        <w:t xml:space="preserve"> </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144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招标要求</w:t>
            </w:r>
          </w:p>
        </w:tc>
        <w:tc>
          <w:tcPr>
            <w:tcW w:w="198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投标响应情况</w:t>
            </w:r>
          </w:p>
        </w:tc>
        <w:tc>
          <w:tcPr>
            <w:tcW w:w="88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63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bl>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pPr>
        <w:adjustRightInd w:val="0"/>
        <w:snapToGrid w:val="0"/>
        <w:spacing w:line="360" w:lineRule="auto"/>
        <w:ind w:firstLine="240" w:firstLineChars="100"/>
        <w:rPr>
          <w:rFonts w:hint="eastAsia" w:ascii="仿宋" w:hAnsi="仿宋" w:eastAsia="仿宋" w:cs="仿宋"/>
          <w:sz w:val="24"/>
        </w:rPr>
      </w:pPr>
      <w:bookmarkStart w:id="14" w:name="_Toc29670"/>
      <w:r>
        <w:rPr>
          <w:rFonts w:hint="eastAsia" w:ascii="仿宋" w:hAnsi="仿宋" w:eastAsia="仿宋" w:cs="仿宋"/>
          <w:sz w:val="24"/>
        </w:rPr>
        <w:t>法定代表人或授权代表人：（签字或盖章）</w:t>
      </w:r>
      <w:bookmarkEnd w:id="14"/>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258"/>
      <w:rPr>
        <w:rFonts w:ascii="Times New Roman" w:hAnsi="Times New Roman" w:eastAsia="Times New Roman"/>
        <w:sz w:val="18"/>
        <w:szCs w:val="18"/>
      </w:rPr>
    </w:pPr>
    <w:r>
      <w:rPr>
        <w:rFonts w:ascii="Times New Roman" w:hAnsi="Times New Roman" w:eastAsia="Times New Roman"/>
        <w:sz w:val="18"/>
        <w:szCs w:val="18"/>
      </w:rPr>
      <w:t>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203A3679"/>
    <w:rsid w:val="006B3EBE"/>
    <w:rsid w:val="06B75E22"/>
    <w:rsid w:val="06F300F9"/>
    <w:rsid w:val="0BDC4F75"/>
    <w:rsid w:val="0F0E45F1"/>
    <w:rsid w:val="10D44610"/>
    <w:rsid w:val="137742F2"/>
    <w:rsid w:val="174D4F1E"/>
    <w:rsid w:val="17B42F96"/>
    <w:rsid w:val="1BCA67EA"/>
    <w:rsid w:val="1C5A1B35"/>
    <w:rsid w:val="20000DDB"/>
    <w:rsid w:val="203A3679"/>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5">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6">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7">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8">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iPriority w:val="0"/>
    <w:pPr>
      <w:spacing w:after="120" w:afterLines="0"/>
      <w:ind w:left="420" w:leftChars="200"/>
    </w:pPr>
  </w:style>
  <w:style w:type="paragraph" w:styleId="9">
    <w:name w:val="toa heading"/>
    <w:basedOn w:val="1"/>
    <w:next w:val="1"/>
    <w:qFormat/>
    <w:uiPriority w:val="0"/>
    <w:pPr>
      <w:spacing w:before="120" w:beforeLines="0" w:beforeAutospacing="0"/>
    </w:pPr>
    <w:rPr>
      <w:rFonts w:ascii="Arial" w:hAnsi="Arial"/>
      <w:sz w:val="24"/>
    </w:rPr>
  </w:style>
  <w:style w:type="paragraph" w:styleId="10">
    <w:name w:val="Body Text"/>
    <w:basedOn w:val="1"/>
    <w:uiPriority w:val="0"/>
    <w:pPr>
      <w:spacing w:after="120" w:afterLines="0" w:afterAutospacing="0"/>
    </w:pPr>
  </w:style>
  <w:style w:type="paragraph" w:styleId="11">
    <w:name w:val="Plain Text"/>
    <w:basedOn w:val="1"/>
    <w:unhideWhenUsed/>
    <w:qFormat/>
    <w:uiPriority w:val="0"/>
    <w:rPr>
      <w:rFonts w:ascii="宋体" w:hAnsi="Courier New" w:cs="Courier New"/>
      <w:szCs w:val="21"/>
    </w:rPr>
  </w:style>
  <w:style w:type="paragraph" w:styleId="12">
    <w:name w:val="toc 2"/>
    <w:basedOn w:val="1"/>
    <w:next w:val="1"/>
    <w:uiPriority w:val="0"/>
    <w:pPr>
      <w:ind w:left="280" w:leftChars="100" w:right="280" w:rightChars="100" w:firstLine="0" w:firstLineChars="0"/>
    </w:pPr>
    <w:rPr>
      <w:sz w:val="24"/>
    </w:r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w:basedOn w:val="10"/>
    <w:unhideWhenUsed/>
    <w:qFormat/>
    <w:uiPriority w:val="99"/>
    <w:pPr>
      <w:ind w:firstLine="420" w:firstLineChars="100"/>
    </w:pPr>
  </w:style>
  <w:style w:type="paragraph" w:customStyle="1" w:styleId="18">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2024-06-20T08:57:00Z</dcterms:created>
  <dc:creator>wttttt---</dc:creator>
  <cp:lastModifiedBy>wttttt---</cp:lastModifiedBy>
  <dcterms:modified xsi:type="dcterms:W3CDTF">2024-06-20T08:57:48Z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1135FD30B8B14B6FBB0164BD76654EEF_11</vt:lpwstr>
  </property>
</Properties>
</file>