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仿宋" w:hAnsi="仿宋" w:eastAsia="仿宋" w:cs="仿宋"/>
          <w:kern w:val="0"/>
          <w:sz w:val="24"/>
        </w:rPr>
      </w:pPr>
      <w:r>
        <w:rPr>
          <w:rFonts w:hint="eastAsia" w:ascii="仿宋" w:hAnsi="仿宋" w:eastAsia="仿宋" w:cs="仿宋"/>
          <w:b/>
          <w:sz w:val="32"/>
          <w:szCs w:val="32"/>
        </w:rPr>
        <w:t>投标相关文件格式</w:t>
      </w:r>
      <w:bookmarkStart w:id="8" w:name="_GoBack"/>
      <w:bookmarkEnd w:id="8"/>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bidi w:val="0"/>
        <w:rPr>
          <w:rStyle w:val="19"/>
          <w:rFonts w:hint="eastAsia"/>
        </w:rPr>
      </w:pPr>
      <w:bookmarkStart w:id="0" w:name="_Toc350938485"/>
    </w:p>
    <w:p>
      <w:pPr>
        <w:pStyle w:val="4"/>
        <w:bidi w:val="0"/>
        <w:jc w:val="left"/>
        <w:rPr>
          <w:rFonts w:hint="eastAsia" w:ascii="仿宋" w:hAnsi="仿宋" w:eastAsia="仿宋" w:cs="仿宋"/>
          <w:b/>
          <w:bCs/>
          <w:kern w:val="0"/>
          <w:sz w:val="36"/>
          <w:szCs w:val="36"/>
        </w:rPr>
      </w:pPr>
      <w:r>
        <w:rPr>
          <w:rStyle w:val="19"/>
          <w:rFonts w:hint="eastAsia" w:ascii="仿宋" w:hAnsi="仿宋" w:eastAsia="仿宋" w:cs="仿宋"/>
          <w:b/>
          <w:sz w:val="36"/>
          <w:szCs w:val="36"/>
        </w:rPr>
        <w:t>附件</w:t>
      </w:r>
      <w:r>
        <w:rPr>
          <w:rStyle w:val="19"/>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0"/>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rPr>
      </w:pPr>
      <w:bookmarkStart w:id="1" w:name="_Toc8112"/>
      <w:r>
        <w:rPr>
          <w:rFonts w:hint="eastAsia" w:ascii="仿宋" w:hAnsi="仿宋" w:eastAsia="仿宋" w:cs="仿宋"/>
          <w:b/>
          <w:bCs/>
          <w:sz w:val="44"/>
          <w:szCs w:val="44"/>
        </w:rPr>
        <w:t>投标文件</w:t>
      </w:r>
      <w:bookmarkEnd w:id="1"/>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2"/>
          <w:szCs w:val="32"/>
          <w:lang w:val="en-US" w:eastAsia="zh-CN"/>
        </w:rPr>
      </w:pP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lang w:val="en-US" w:eastAsia="zh-CN"/>
        </w:rPr>
        <w:t>投标人代表</w:t>
      </w:r>
      <w:r>
        <w:rPr>
          <w:rFonts w:hint="eastAsia" w:ascii="仿宋" w:hAnsi="仿宋" w:eastAsia="仿宋" w:cs="仿宋"/>
          <w:b/>
          <w:kern w:val="0"/>
          <w:sz w:val="32"/>
          <w:szCs w:val="32"/>
        </w:rPr>
        <w:t>（签字）：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p>
    <w:p>
      <w:pPr>
        <w:pStyle w:val="4"/>
        <w:bidi w:val="0"/>
        <w:jc w:val="left"/>
        <w:rPr>
          <w:rFonts w:hint="eastAsia" w:ascii="仿宋" w:hAnsi="仿宋" w:eastAsia="仿宋" w:cs="仿宋"/>
          <w:sz w:val="36"/>
          <w:szCs w:val="36"/>
        </w:rPr>
      </w:pPr>
      <w:bookmarkStart w:id="2" w:name="_Toc25019"/>
      <w:bookmarkStart w:id="3"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ascii="仿宋" w:hAnsi="仿宋" w:eastAsia="仿宋" w:cs="仿宋"/>
          <w:b/>
          <w:bCs/>
          <w:sz w:val="44"/>
          <w:szCs w:val="44"/>
        </w:rPr>
      </w:pPr>
      <w:bookmarkStart w:id="4" w:name="_Toc16325"/>
      <w:r>
        <w:rPr>
          <w:rFonts w:hint="eastAsia" w:ascii="仿宋" w:hAnsi="仿宋" w:eastAsia="仿宋" w:cs="仿宋"/>
          <w:b/>
          <w:bCs/>
          <w:sz w:val="44"/>
          <w:szCs w:val="44"/>
        </w:rPr>
        <w:t>投标文件</w:t>
      </w:r>
      <w:bookmarkEnd w:id="4"/>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lang w:val="en-US" w:eastAsia="zh-CN"/>
        </w:rPr>
        <w:t>投标人代表</w:t>
      </w:r>
      <w:r>
        <w:rPr>
          <w:rFonts w:hint="eastAsia" w:ascii="仿宋" w:hAnsi="仿宋" w:eastAsia="仿宋" w:cs="仿宋"/>
          <w:b/>
          <w:kern w:val="0"/>
          <w:sz w:val="32"/>
          <w:szCs w:val="32"/>
        </w:rPr>
        <w:t>（签字）：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pStyle w:val="4"/>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9"/>
          <w:rFonts w:hint="eastAsia" w:ascii="仿宋" w:hAnsi="仿宋" w:eastAsia="仿宋" w:cs="仿宋"/>
          <w:b/>
          <w:sz w:val="28"/>
          <w:szCs w:val="28"/>
        </w:rPr>
        <w:t>附件三</w:t>
      </w:r>
      <w:r>
        <w:rPr>
          <w:rStyle w:val="19"/>
          <w:rFonts w:hint="eastAsia" w:ascii="仿宋" w:hAnsi="仿宋" w:eastAsia="仿宋" w:cs="仿宋"/>
          <w:b/>
          <w:sz w:val="28"/>
          <w:szCs w:val="28"/>
          <w:lang w:val="en-US" w:eastAsia="zh-CN"/>
        </w:rPr>
        <w:t xml:space="preserve"> </w:t>
      </w:r>
    </w:p>
    <w:p>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pPr>
        <w:pStyle w:val="11"/>
        <w:spacing w:line="400" w:lineRule="exact"/>
        <w:rPr>
          <w:rFonts w:hint="eastAsia" w:ascii="仿宋" w:hAnsi="仿宋" w:eastAsia="仿宋" w:cs="仿宋"/>
          <w:kern w:val="0"/>
          <w:sz w:val="24"/>
          <w:szCs w:val="24"/>
        </w:rPr>
      </w:pP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bidi w:val="0"/>
        <w:rPr>
          <w:rFonts w:hint="eastAsia"/>
        </w:rPr>
      </w:pPr>
    </w:p>
    <w:p>
      <w:pPr>
        <w:pStyle w:val="4"/>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5" w:name="_Toc16911"/>
    </w:p>
    <w:p>
      <w:pPr>
        <w:bidi w:val="0"/>
        <w:jc w:val="center"/>
        <w:rPr>
          <w:rFonts w:hint="eastAsia"/>
          <w:b/>
          <w:bCs/>
        </w:rPr>
      </w:pPr>
      <w:r>
        <w:rPr>
          <w:rFonts w:hint="eastAsia" w:ascii="仿宋" w:hAnsi="仿宋" w:eastAsia="仿宋" w:cs="仿宋"/>
          <w:b/>
          <w:bCs/>
          <w:sz w:val="28"/>
          <w:szCs w:val="28"/>
        </w:rPr>
        <w:t>投标人授权书（格式）</w:t>
      </w:r>
      <w:bookmarkEnd w:id="5"/>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w:t>
      </w:r>
      <w:r>
        <w:rPr>
          <w:rFonts w:hint="eastAsia" w:ascii="仿宋" w:hAnsi="仿宋" w:eastAsia="仿宋" w:cs="仿宋"/>
          <w:kern w:val="0"/>
          <w:sz w:val="24"/>
          <w:lang w:val="en-US" w:eastAsia="zh-CN"/>
        </w:rPr>
        <w:t>组织</w:t>
      </w:r>
      <w:r>
        <w:rPr>
          <w:rFonts w:hint="eastAsia" w:ascii="仿宋" w:hAnsi="仿宋" w:eastAsia="仿宋" w:cs="仿宋"/>
          <w:kern w:val="0"/>
          <w:sz w:val="24"/>
          <w:lang w:val="zh-CN"/>
        </w:rPr>
        <w:t>）；本人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w:t>
      </w:r>
      <w:r>
        <w:rPr>
          <w:rFonts w:hint="eastAsia" w:ascii="仿宋" w:hAnsi="仿宋" w:eastAsia="仿宋" w:cs="仿宋"/>
          <w:kern w:val="0"/>
          <w:sz w:val="24"/>
          <w:lang w:val="en-US" w:eastAsia="zh-CN"/>
        </w:rPr>
        <w:t>单位</w:t>
      </w:r>
      <w:r>
        <w:rPr>
          <w:rFonts w:hint="eastAsia" w:ascii="仿宋" w:hAnsi="仿宋" w:eastAsia="仿宋" w:cs="仿宋"/>
          <w:kern w:val="0"/>
          <w:sz w:val="24"/>
          <w:lang w:val="zh-CN"/>
        </w:rPr>
        <w:t>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w:t>
      </w:r>
      <w:r>
        <w:rPr>
          <w:rFonts w:hint="eastAsia" w:ascii="仿宋" w:hAnsi="仿宋" w:eastAsia="仿宋" w:cs="仿宋"/>
          <w:kern w:val="0"/>
          <w:sz w:val="24"/>
          <w:lang w:val="en-US" w:eastAsia="zh-CN"/>
        </w:rPr>
        <w:t>单位负责人</w:t>
      </w:r>
      <w:r>
        <w:rPr>
          <w:rFonts w:hint="eastAsia" w:ascii="仿宋" w:hAnsi="仿宋" w:eastAsia="仿宋" w:cs="仿宋"/>
          <w:kern w:val="0"/>
          <w:sz w:val="24"/>
          <w:lang w:val="zh-CN"/>
        </w:rPr>
        <w:t>）参加投标的，提供法定代表人（</w:t>
      </w:r>
      <w:r>
        <w:rPr>
          <w:rFonts w:hint="eastAsia" w:ascii="仿宋" w:hAnsi="仿宋" w:eastAsia="仿宋" w:cs="仿宋"/>
          <w:kern w:val="0"/>
          <w:sz w:val="24"/>
          <w:lang w:val="en-US" w:eastAsia="zh-CN"/>
        </w:rPr>
        <w:t>单位负责人</w:t>
      </w:r>
      <w:r>
        <w:rPr>
          <w:rFonts w:hint="eastAsia" w:ascii="仿宋" w:hAnsi="仿宋" w:eastAsia="仿宋" w:cs="仿宋"/>
          <w:kern w:val="0"/>
          <w:sz w:val="24"/>
          <w:lang w:val="zh-CN"/>
        </w:rPr>
        <w:t>）证明书和身份证明即可。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pStyle w:val="16"/>
        <w:ind w:left="0" w:leftChars="0" w:firstLine="0" w:firstLineChars="0"/>
        <w:rPr>
          <w:rFonts w:hint="eastAsia"/>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pStyle w:val="13"/>
        <w:shd w:val="clear" w:color="auto" w:fill="auto"/>
        <w:adjustRightInd w:val="0"/>
        <w:snapToGrid w:val="0"/>
        <w:spacing w:before="0" w:beforeAutospacing="0" w:after="0" w:afterAutospacing="0" w:line="360" w:lineRule="auto"/>
        <w:rPr>
          <w:rFonts w:hint="eastAsia" w:ascii="仿宋" w:hAnsi="仿宋" w:eastAsia="仿宋" w:cs="仿宋"/>
          <w:b/>
          <w:bCs/>
          <w:color w:val="auto"/>
          <w:sz w:val="21"/>
          <w:szCs w:val="21"/>
          <w:highlight w:val="none"/>
        </w:rPr>
      </w:pPr>
    </w:p>
    <w:p>
      <w:pPr>
        <w:pStyle w:val="4"/>
        <w:bidi w:val="0"/>
        <w:jc w:val="left"/>
        <w:rPr>
          <w:rFonts w:hint="eastAsia" w:ascii="仿宋" w:hAnsi="仿宋" w:eastAsia="仿宋" w:cs="仿宋"/>
          <w:b/>
          <w:color w:val="auto"/>
          <w:sz w:val="28"/>
          <w:szCs w:val="28"/>
          <w:highlight w:val="none"/>
          <w:lang w:val="en-US" w:eastAsia="zh-CN"/>
        </w:rPr>
      </w:pPr>
      <w:bookmarkStart w:id="6"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bookmarkEnd w:id="6"/>
      <w:r>
        <w:rPr>
          <w:rFonts w:hint="eastAsia" w:ascii="仿宋" w:hAnsi="仿宋" w:eastAsia="仿宋" w:cs="仿宋"/>
          <w:b/>
          <w:color w:val="auto"/>
          <w:sz w:val="28"/>
          <w:szCs w:val="28"/>
          <w:highlight w:val="none"/>
          <w:lang w:val="en-US" w:eastAsia="zh-CN"/>
        </w:rPr>
        <w:t>五</w:t>
      </w:r>
    </w:p>
    <w:p>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sz w:val="24"/>
                <w:szCs w:val="20"/>
                <w:highlight w:val="none"/>
                <w:lang w:val="en-US" w:eastAsia="zh-CN"/>
              </w:rPr>
              <w:t>非医疗废品回收服务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大写：</w:t>
            </w:r>
          </w:p>
          <w:p>
            <w:pPr>
              <w:snapToGrid w:val="0"/>
              <w:spacing w:before="50" w:after="50"/>
              <w:jc w:val="both"/>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合计金额大写：</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single"/>
              </w:rPr>
              <w:t xml:space="preserve">  </w:t>
            </w:r>
          </w:p>
          <w:p>
            <w:pPr>
              <w:snapToGrid w:val="0"/>
              <w:spacing w:before="50" w:after="50"/>
              <w:ind w:firstLine="960" w:firstLineChars="40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none"/>
                <w:lang w:val="en-US" w:eastAsia="zh-CN"/>
              </w:rPr>
              <w:t>小写：</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                                                         </w:t>
            </w:r>
          </w:p>
        </w:tc>
      </w:tr>
    </w:tbl>
    <w:p>
      <w:pPr>
        <w:snapToGrid w:val="0"/>
        <w:spacing w:before="50" w:after="50" w:line="420" w:lineRule="exact"/>
        <w:jc w:val="left"/>
        <w:rPr>
          <w:rFonts w:hint="eastAsia" w:ascii="仿宋" w:hAnsi="仿宋" w:eastAsia="仿宋" w:cs="仿宋"/>
          <w:color w:val="auto"/>
          <w:sz w:val="24"/>
          <w:szCs w:val="24"/>
          <w:highlight w:val="none"/>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w:t>
      </w:r>
      <w:r>
        <w:rPr>
          <w:rFonts w:hint="eastAsia" w:ascii="仿宋" w:hAnsi="仿宋" w:eastAsia="仿宋" w:cs="仿宋"/>
          <w:color w:val="auto"/>
          <w:sz w:val="24"/>
          <w:szCs w:val="24"/>
          <w:highlight w:val="none"/>
          <w:lang w:eastAsia="zh-CN"/>
        </w:rPr>
        <w:t>使用量</w:t>
      </w:r>
      <w:r>
        <w:rPr>
          <w:rFonts w:hint="eastAsia" w:ascii="仿宋" w:hAnsi="仿宋" w:eastAsia="仿宋" w:cs="仿宋"/>
          <w:color w:val="auto"/>
          <w:sz w:val="24"/>
          <w:szCs w:val="24"/>
          <w:highlight w:val="none"/>
        </w:rPr>
        <w:t>提供报价。</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3、废品回收人员的劳务支出、安全保险、劳保福利、住宿、税收、管理费、社会保险等一切费用由</w:t>
      </w:r>
      <w:r>
        <w:rPr>
          <w:rFonts w:hint="eastAsia" w:ascii="仿宋" w:hAnsi="仿宋" w:eastAsia="仿宋" w:cs="仿宋"/>
          <w:color w:val="auto"/>
          <w:sz w:val="24"/>
          <w:szCs w:val="24"/>
          <w:highlight w:val="none"/>
          <w:lang w:val="en-US" w:eastAsia="zh-CN"/>
        </w:rPr>
        <w:t>中标人承担，不包含在投标报价中</w:t>
      </w:r>
      <w:r>
        <w:rPr>
          <w:rFonts w:hint="eastAsia" w:ascii="仿宋" w:hAnsi="仿宋" w:eastAsia="仿宋" w:cs="仿宋"/>
          <w:color w:val="auto"/>
          <w:sz w:val="24"/>
          <w:szCs w:val="24"/>
          <w:highlight w:val="none"/>
        </w:rPr>
        <w:t>。</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 xml:space="preserve">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pStyle w:val="11"/>
        <w:snapToGrid w:val="0"/>
        <w:spacing w:before="295" w:after="295"/>
        <w:rPr>
          <w:rFonts w:hint="eastAsia" w:ascii="仿宋" w:hAnsi="仿宋" w:eastAsia="仿宋" w:cs="仿宋"/>
          <w:b/>
          <w:color w:val="auto"/>
          <w:highlight w:val="none"/>
        </w:rPr>
      </w:pPr>
    </w:p>
    <w:p>
      <w:pPr>
        <w:pStyle w:val="11"/>
        <w:snapToGrid w:val="0"/>
        <w:spacing w:before="295" w:after="295"/>
        <w:rPr>
          <w:rFonts w:hint="eastAsia" w:ascii="仿宋" w:hAnsi="仿宋" w:eastAsia="仿宋" w:cs="仿宋"/>
          <w:b/>
          <w:color w:val="auto"/>
          <w:highlight w:val="none"/>
        </w:rPr>
      </w:pPr>
    </w:p>
    <w:p>
      <w:pPr>
        <w:pStyle w:val="15"/>
        <w:ind w:left="0" w:leftChars="0" w:firstLine="0" w:firstLineChars="0"/>
        <w:rPr>
          <w:rFonts w:hint="eastAsia" w:ascii="仿宋" w:hAnsi="仿宋" w:eastAsia="仿宋" w:cs="仿宋"/>
        </w:rPr>
      </w:pPr>
    </w:p>
    <w:p>
      <w:pPr>
        <w:pStyle w:val="15"/>
        <w:rPr>
          <w:rFonts w:hint="eastAsia" w:ascii="仿宋" w:hAnsi="仿宋" w:eastAsia="仿宋" w:cs="仿宋"/>
        </w:rPr>
      </w:pPr>
    </w:p>
    <w:p>
      <w:pPr>
        <w:snapToGrid w:val="0"/>
        <w:spacing w:before="50" w:after="50" w:line="420" w:lineRule="exact"/>
        <w:jc w:val="left"/>
        <w:rPr>
          <w:rFonts w:hint="eastAsia" w:ascii="仿宋" w:hAnsi="仿宋" w:eastAsia="仿宋" w:cs="仿宋"/>
          <w:color w:val="auto"/>
          <w:highlight w:val="none"/>
        </w:rPr>
      </w:pPr>
    </w:p>
    <w:p>
      <w:pPr>
        <w:pStyle w:val="4"/>
        <w:bidi w:val="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color w:val="auto"/>
          <w:sz w:val="28"/>
          <w:szCs w:val="28"/>
          <w:highlight w:val="none"/>
        </w:rPr>
        <w:t xml:space="preserve"> </w:t>
      </w:r>
    </w:p>
    <w:p>
      <w:pPr>
        <w:spacing w:line="360" w:lineRule="auto"/>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采购需求偏离表</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ind w:firstLine="240" w:firstLineChars="100"/>
        <w:rPr>
          <w:rFonts w:hint="eastAsia" w:ascii="仿宋" w:hAnsi="仿宋" w:eastAsia="仿宋" w:cs="仿宋"/>
          <w:color w:val="auto"/>
          <w:sz w:val="24"/>
          <w:szCs w:val="24"/>
          <w:highlight w:val="none"/>
        </w:rPr>
      </w:pPr>
      <w:bookmarkStart w:id="7" w:name="_Toc6567"/>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代表：（签字或盖章）</w:t>
      </w:r>
      <w:bookmarkEnd w:id="7"/>
    </w:p>
    <w:p>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DcyNWJiYWY0Y2QwZDliYjQ5OWM5NTM0MzljZDcifQ=="/>
  </w:docVars>
  <w:rsids>
    <w:rsidRoot w:val="00F4585F"/>
    <w:rsid w:val="006B3EBE"/>
    <w:rsid w:val="00F4585F"/>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4">
    <w:name w:val="heading 2"/>
    <w:basedOn w:val="1"/>
    <w:next w:val="1"/>
    <w:link w:val="19"/>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5">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6">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8">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8">
    <w:name w:val="Normal Indent"/>
    <w:basedOn w:val="1"/>
    <w:next w:val="9"/>
    <w:qFormat/>
    <w:uiPriority w:val="0"/>
    <w:pPr>
      <w:ind w:firstLine="420"/>
    </w:pPr>
    <w:rPr>
      <w:szCs w:val="20"/>
    </w:rPr>
  </w:style>
  <w:style w:type="paragraph" w:styleId="9">
    <w:name w:val="Body Text Indent"/>
    <w:basedOn w:val="1"/>
    <w:next w:val="8"/>
    <w:uiPriority w:val="0"/>
    <w:pPr>
      <w:spacing w:after="120" w:afterLines="0"/>
      <w:ind w:left="420" w:leftChars="200"/>
    </w:pPr>
  </w:style>
  <w:style w:type="paragraph" w:styleId="10">
    <w:name w:val="toa heading"/>
    <w:basedOn w:val="1"/>
    <w:next w:val="1"/>
    <w:uiPriority w:val="0"/>
    <w:pPr>
      <w:spacing w:before="120" w:beforeLines="0" w:beforeAutospacing="0"/>
    </w:pPr>
    <w:rPr>
      <w:rFonts w:ascii="Arial" w:hAnsi="Arial"/>
      <w:sz w:val="24"/>
    </w:rPr>
  </w:style>
  <w:style w:type="paragraph" w:styleId="11">
    <w:name w:val="Plain Text"/>
    <w:basedOn w:val="1"/>
    <w:unhideWhenUsed/>
    <w:qFormat/>
    <w:uiPriority w:val="0"/>
    <w:rPr>
      <w:rFonts w:ascii="宋体" w:hAnsi="Courier New" w:cs="Courier New"/>
      <w:szCs w:val="21"/>
    </w:rPr>
  </w:style>
  <w:style w:type="paragraph" w:styleId="12">
    <w:name w:val="toc 2"/>
    <w:basedOn w:val="1"/>
    <w:next w:val="1"/>
    <w:uiPriority w:val="0"/>
    <w:pPr>
      <w:ind w:left="280" w:leftChars="100" w:right="280" w:rightChars="100" w:firstLine="0" w:firstLineChars="0"/>
    </w:pPr>
    <w:rPr>
      <w:sz w:val="24"/>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w:basedOn w:val="2"/>
    <w:unhideWhenUsed/>
    <w:qFormat/>
    <w:uiPriority w:val="99"/>
    <w:pPr>
      <w:ind w:firstLine="420" w:firstLineChars="100"/>
    </w:pPr>
  </w:style>
  <w:style w:type="paragraph" w:styleId="16">
    <w:name w:val="Body Text First Indent 2"/>
    <w:basedOn w:val="9"/>
    <w:next w:val="1"/>
    <w:unhideWhenUsed/>
    <w:qFormat/>
    <w:uiPriority w:val="99"/>
    <w:pPr>
      <w:ind w:firstLine="420" w:firstLineChars="200"/>
    </w:pPr>
  </w:style>
  <w:style w:type="character" w:customStyle="1" w:styleId="19">
    <w:name w:val="标题 2 Char"/>
    <w:link w:val="4"/>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2024-06-13T01:00:00Z</dcterms:created>
  <dc:creator>wttttt---</dc:creator>
  <cp:lastModifiedBy>wttttt---</cp:lastModifiedBy>
  <dcterms:modified xsi:type="dcterms:W3CDTF">2024-06-13T01:01:16Z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EC8733FD54C141D186649B900E82762F_11</vt:lpwstr>
  </property>
</Properties>
</file>