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32"/>
          <w:szCs w:val="32"/>
          <w:highlight w:val="none"/>
        </w:rPr>
      </w:pP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浙江大学医学院附属第四医院</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IG-541 、七氟丙烷气体灭火系统气瓶检测及气体充装招标文件</w:t>
      </w:r>
    </w:p>
    <w:p>
      <w:pPr>
        <w:autoSpaceDE w:val="0"/>
        <w:autoSpaceDN w:val="0"/>
        <w:adjustRightInd w:val="0"/>
        <w:spacing w:line="360" w:lineRule="auto"/>
        <w:jc w:val="center"/>
        <w:rPr>
          <w:rFonts w:ascii="宋体" w:hAnsi="宋体" w:cs="宋体"/>
          <w:b/>
          <w:bCs/>
          <w:color w:val="auto"/>
          <w:sz w:val="30"/>
          <w:szCs w:val="30"/>
          <w:highlight w:val="none"/>
          <w:lang w:val="zh-CN"/>
        </w:rPr>
      </w:pPr>
      <w:r>
        <w:rPr>
          <w:rFonts w:hint="eastAsia" w:ascii="宋体" w:hAnsi="宋体" w:cs="宋体"/>
          <w:b/>
          <w:bCs/>
          <w:color w:val="auto"/>
          <w:sz w:val="30"/>
          <w:szCs w:val="30"/>
          <w:highlight w:val="none"/>
          <w:lang w:val="zh-CN"/>
        </w:rPr>
        <w:t>第一章 招标公告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根据浙江大学医学院附属第四医院采购要求, 对我院IG-541 、七氟丙烷气体灭火系统气瓶检测及气体充装进行公开的招标采购。投标单位在投标之前必须认真阅读本招标文件的说明、表格、条件及规范等所有内容，投标方因未能遵循此要求而造成</w:t>
      </w:r>
      <w:bookmarkStart w:id="2" w:name="_GoBack"/>
      <w:bookmarkEnd w:id="2"/>
      <w:r>
        <w:rPr>
          <w:rFonts w:hint="eastAsia" w:ascii="宋体" w:hAnsi="宋体" w:cs="宋体"/>
          <w:color w:val="auto"/>
          <w:sz w:val="24"/>
          <w:highlight w:val="none"/>
        </w:rPr>
        <w:t>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项目编号: ZSHQ-2021W</w:t>
      </w:r>
      <w:r>
        <w:rPr>
          <w:rFonts w:hint="eastAsia" w:ascii="宋体" w:hAnsi="宋体" w:cs="宋体"/>
          <w:color w:val="auto"/>
          <w:sz w:val="24"/>
          <w:highlight w:val="none"/>
          <w:lang w:val="en-US" w:eastAsia="zh-CN"/>
        </w:rPr>
        <w:t>25</w:t>
      </w:r>
    </w:p>
    <w:p>
      <w:pPr>
        <w:numPr>
          <w:ilvl w:val="0"/>
          <w:numId w:val="1"/>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采购组织类型：自行采购</w:t>
      </w:r>
    </w:p>
    <w:p>
      <w:pPr>
        <w:numPr>
          <w:ilvl w:val="0"/>
          <w:numId w:val="1"/>
        </w:numPr>
        <w:spacing w:line="360" w:lineRule="auto"/>
        <w:rPr>
          <w:rFonts w:ascii="宋体" w:hAnsi="宋体" w:cs="宋体"/>
          <w:color w:val="auto"/>
          <w:sz w:val="24"/>
          <w:highlight w:val="none"/>
        </w:rPr>
      </w:pPr>
      <w:r>
        <w:rPr>
          <w:rFonts w:hint="eastAsia" w:ascii="宋体" w:hAnsi="宋体" w:cs="宋体"/>
          <w:color w:val="auto"/>
          <w:sz w:val="24"/>
          <w:highlight w:val="none"/>
        </w:rPr>
        <w:t>采购方式：公开招标</w:t>
      </w:r>
    </w:p>
    <w:p>
      <w:pPr>
        <w:numPr>
          <w:ilvl w:val="0"/>
          <w:numId w:val="1"/>
        </w:numPr>
        <w:spacing w:line="360" w:lineRule="auto"/>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kern w:val="0"/>
          <w:sz w:val="24"/>
          <w:szCs w:val="24"/>
          <w:highlight w:val="none"/>
        </w:rPr>
        <w:t>浙江大学医学院附属第四医院</w:t>
      </w:r>
    </w:p>
    <w:p>
      <w:pPr>
        <w:numPr>
          <w:ilvl w:val="0"/>
          <w:numId w:val="1"/>
        </w:numPr>
        <w:spacing w:line="360" w:lineRule="auto"/>
        <w:rPr>
          <w:rFonts w:ascii="宋体" w:hAnsi="宋体" w:cs="宋体"/>
          <w:color w:val="auto"/>
          <w:sz w:val="24"/>
          <w:highlight w:val="none"/>
        </w:rPr>
      </w:pPr>
      <w:r>
        <w:rPr>
          <w:rFonts w:hint="eastAsia" w:ascii="宋体" w:hAnsi="宋体" w:cs="宋体"/>
          <w:color w:val="auto"/>
          <w:sz w:val="24"/>
          <w:highlight w:val="none"/>
        </w:rPr>
        <w:t>采购内容：IG-541 、七氟丙烷气体灭火系统气瓶检测及气体充装。</w:t>
      </w:r>
    </w:p>
    <w:p>
      <w:pPr>
        <w:numPr>
          <w:ilvl w:val="0"/>
          <w:numId w:val="1"/>
        </w:numPr>
        <w:spacing w:line="360" w:lineRule="auto"/>
        <w:rPr>
          <w:rFonts w:ascii="宋体" w:hAnsi="宋体" w:cs="宋体"/>
          <w:color w:val="auto"/>
          <w:sz w:val="24"/>
          <w:highlight w:val="none"/>
        </w:rPr>
      </w:pPr>
      <w:r>
        <w:rPr>
          <w:rFonts w:hint="eastAsia" w:ascii="宋体" w:hAnsi="宋体" w:cs="宋体"/>
          <w:color w:val="auto"/>
          <w:sz w:val="24"/>
          <w:highlight w:val="none"/>
        </w:rPr>
        <w:t>采购预算及最高限价：</w:t>
      </w:r>
      <w:r>
        <w:rPr>
          <w:rFonts w:hint="eastAsia" w:ascii="宋体" w:hAnsi="宋体" w:cs="宋体"/>
          <w:b/>
          <w:color w:val="auto"/>
          <w:sz w:val="24"/>
          <w:szCs w:val="24"/>
          <w:highlight w:val="none"/>
        </w:rPr>
        <w:t>本项目设最高限价19.9万，投标报价高于最高限价的，其投标均为无效标</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s="宋体"/>
          <w:color w:val="auto"/>
          <w:sz w:val="24"/>
          <w:highlight w:val="none"/>
        </w:rPr>
      </w:pPr>
      <w:r>
        <w:rPr>
          <w:rFonts w:hint="eastAsia" w:ascii="宋体" w:hAnsi="宋体" w:cs="宋体"/>
          <w:color w:val="auto"/>
          <w:kern w:val="0"/>
          <w:sz w:val="24"/>
          <w:szCs w:val="24"/>
          <w:highlight w:val="none"/>
        </w:rPr>
        <w:t>评标</w:t>
      </w:r>
      <w:r>
        <w:rPr>
          <w:rFonts w:hint="eastAsia" w:ascii="宋体" w:hAnsi="宋体" w:cs="宋体"/>
          <w:color w:val="auto"/>
          <w:sz w:val="24"/>
          <w:highlight w:val="none"/>
        </w:rPr>
        <w:t>方法</w:t>
      </w:r>
      <w:r>
        <w:rPr>
          <w:rFonts w:hint="eastAsia" w:ascii="宋体" w:hAnsi="宋体" w:cs="宋体"/>
          <w:color w:val="auto"/>
          <w:kern w:val="0"/>
          <w:sz w:val="24"/>
          <w:szCs w:val="24"/>
          <w:highlight w:val="none"/>
        </w:rPr>
        <w:t>：综合评分法。</w:t>
      </w:r>
    </w:p>
    <w:p>
      <w:pPr>
        <w:numPr>
          <w:ilvl w:val="0"/>
          <w:numId w:val="1"/>
        </w:numPr>
        <w:spacing w:line="360" w:lineRule="auto"/>
        <w:rPr>
          <w:rFonts w:ascii="宋体" w:hAnsi="宋体" w:cs="宋体"/>
          <w:color w:val="auto"/>
          <w:sz w:val="24"/>
          <w:highlight w:val="none"/>
        </w:rPr>
      </w:pPr>
      <w:r>
        <w:rPr>
          <w:rFonts w:hint="eastAsia" w:ascii="宋体" w:hAnsi="宋体" w:cs="宋体"/>
          <w:color w:val="auto"/>
          <w:sz w:val="24"/>
          <w:highlight w:val="none"/>
        </w:rPr>
        <w:t>合作期限：合同签订至检测完成并验收合格。</w:t>
      </w:r>
    </w:p>
    <w:p>
      <w:pPr>
        <w:numPr>
          <w:ilvl w:val="0"/>
          <w:numId w:val="1"/>
        </w:numPr>
        <w:spacing w:line="360" w:lineRule="auto"/>
        <w:rPr>
          <w:rFonts w:ascii="宋体" w:hAnsi="宋体" w:cs="宋体"/>
          <w:color w:val="auto"/>
          <w:sz w:val="24"/>
          <w:highlight w:val="none"/>
        </w:rPr>
      </w:pPr>
      <w:r>
        <w:rPr>
          <w:rFonts w:hint="eastAsia" w:ascii="宋体" w:hAnsi="宋体" w:cs="宋体"/>
          <w:color w:val="auto"/>
          <w:sz w:val="24"/>
          <w:highlight w:val="none"/>
        </w:rPr>
        <w:t>投标单位的资格要求：</w:t>
      </w:r>
    </w:p>
    <w:p>
      <w:pPr>
        <w:pStyle w:val="29"/>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1、国内具有独立法人资格。</w:t>
      </w:r>
    </w:p>
    <w:p>
      <w:pPr>
        <w:pStyle w:val="29"/>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2、符合《中华人民共和国政府采购法》第二十二条对供应商的要求。</w:t>
      </w:r>
    </w:p>
    <w:p>
      <w:pPr>
        <w:pStyle w:val="29"/>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3、本项目不接受联合体投标。</w:t>
      </w:r>
    </w:p>
    <w:p>
      <w:pPr>
        <w:pStyle w:val="29"/>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参加政府采购活动前三年内，在经营活动中没有重大违法记录。供应商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案件当事人名单、政府采购严重违法失信行为记录名单的。</w:t>
      </w:r>
    </w:p>
    <w:p>
      <w:pPr>
        <w:spacing w:line="360" w:lineRule="auto"/>
        <w:ind w:firstLine="480"/>
        <w:rPr>
          <w:rFonts w:ascii="宋体" w:hAnsi="宋体" w:cs="宋体"/>
          <w:color w:val="auto"/>
          <w:sz w:val="24"/>
          <w:szCs w:val="24"/>
          <w:highlight w:val="none"/>
        </w:rPr>
      </w:pPr>
      <w:r>
        <w:rPr>
          <w:rFonts w:hint="eastAsia" w:ascii="宋体" w:hAnsi="宋体" w:cs="宋体"/>
          <w:color w:val="auto"/>
          <w:kern w:val="0"/>
          <w:sz w:val="24"/>
          <w:szCs w:val="24"/>
          <w:highlight w:val="none"/>
        </w:rPr>
        <w:t>5、</w:t>
      </w:r>
      <w:r>
        <w:rPr>
          <w:rFonts w:ascii="宋体" w:hAnsi="宋体" w:cs="宋体"/>
          <w:color w:val="auto"/>
          <w:sz w:val="24"/>
          <w:szCs w:val="24"/>
          <w:highlight w:val="none"/>
        </w:rPr>
        <w:t>投标单位必须取得消防设施工程专业承包二级或以上资质。</w:t>
      </w:r>
    </w:p>
    <w:p>
      <w:pPr>
        <w:pStyle w:val="29"/>
        <w:numPr>
          <w:ilvl w:val="0"/>
          <w:numId w:val="1"/>
        </w:numPr>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招标文件发放方式：浙江大学医学院附属第四医院网站免费下载</w:t>
      </w:r>
    </w:p>
    <w:p>
      <w:pPr>
        <w:pStyle w:val="29"/>
        <w:numPr>
          <w:ilvl w:val="0"/>
          <w:numId w:val="1"/>
        </w:numPr>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报名方式：投标单位必须于2021年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日17:00之前将</w:t>
      </w:r>
      <w:r>
        <w:rPr>
          <w:rFonts w:hint="eastAsia" w:ascii="宋体" w:hAnsi="宋体" w:cs="宋体"/>
          <w:b/>
          <w:color w:val="auto"/>
          <w:sz w:val="24"/>
          <w:highlight w:val="none"/>
        </w:rPr>
        <w:t>以下报名资料</w:t>
      </w:r>
      <w:r>
        <w:rPr>
          <w:color w:val="auto"/>
          <w:highlight w:val="none"/>
        </w:rPr>
        <w:fldChar w:fldCharType="begin"/>
      </w:r>
      <w:r>
        <w:rPr>
          <w:color w:val="auto"/>
          <w:highlight w:val="none"/>
        </w:rPr>
        <w:instrText xml:space="preserve"> HYPERLINK "mailto:发送至邮箱zshqzb@163.com" </w:instrText>
      </w:r>
      <w:r>
        <w:rPr>
          <w:color w:val="auto"/>
          <w:highlight w:val="none"/>
        </w:rPr>
        <w:fldChar w:fldCharType="separate"/>
      </w:r>
      <w:r>
        <w:rPr>
          <w:rStyle w:val="21"/>
          <w:rFonts w:hint="eastAsia" w:ascii="宋体" w:hAnsi="宋体" w:cs="宋体"/>
          <w:color w:val="auto"/>
          <w:sz w:val="24"/>
          <w:highlight w:val="none"/>
        </w:rPr>
        <w:t>发送至邮箱</w:t>
      </w:r>
      <w:r>
        <w:rPr>
          <w:rStyle w:val="21"/>
          <w:rFonts w:hint="eastAsia" w:ascii="宋体" w:hAnsi="宋体" w:cs="宋体"/>
          <w:b/>
          <w:color w:val="auto"/>
          <w:sz w:val="24"/>
          <w:highlight w:val="none"/>
        </w:rPr>
        <w:t>zshqzb@163.com</w:t>
      </w:r>
      <w:r>
        <w:rPr>
          <w:rStyle w:val="21"/>
          <w:rFonts w:hint="eastAsia" w:ascii="宋体" w:hAnsi="宋体" w:cs="宋体"/>
          <w:b/>
          <w:color w:val="auto"/>
          <w:sz w:val="24"/>
          <w:highlight w:val="none"/>
        </w:rPr>
        <w:fldChar w:fldCharType="end"/>
      </w:r>
      <w:r>
        <w:rPr>
          <w:rFonts w:hint="eastAsia" w:ascii="宋体" w:hAnsi="宋体" w:cs="宋体"/>
          <w:b/>
          <w:color w:val="auto"/>
          <w:sz w:val="24"/>
          <w:highlight w:val="none"/>
        </w:rPr>
        <w:t>（邮件标题以“投标项目+投标单位”格式命名），</w:t>
      </w:r>
      <w:r>
        <w:rPr>
          <w:rFonts w:hint="eastAsia" w:ascii="宋体" w:hAnsi="宋体" w:cs="宋体"/>
          <w:color w:val="auto"/>
          <w:sz w:val="24"/>
          <w:highlight w:val="none"/>
        </w:rPr>
        <w:t>复印件加盖公章的原件在开标当天补交。</w:t>
      </w:r>
    </w:p>
    <w:p>
      <w:pPr>
        <w:pStyle w:val="29"/>
        <w:numPr>
          <w:ilvl w:val="0"/>
          <w:numId w:val="2"/>
        </w:numPr>
        <w:spacing w:line="360" w:lineRule="auto"/>
        <w:ind w:firstLineChars="0"/>
        <w:rPr>
          <w:rFonts w:ascii="宋体" w:hAnsi="宋体" w:cs="宋体"/>
          <w:color w:val="auto"/>
          <w:sz w:val="24"/>
          <w:highlight w:val="none"/>
        </w:rPr>
      </w:pPr>
      <w:r>
        <w:rPr>
          <w:rFonts w:hint="eastAsia" w:ascii="宋体" w:hAnsi="宋体" w:cs="宋体"/>
          <w:b/>
          <w:color w:val="auto"/>
          <w:sz w:val="24"/>
          <w:highlight w:val="none"/>
        </w:rPr>
        <w:t>单位营业执照</w:t>
      </w:r>
      <w:r>
        <w:rPr>
          <w:rFonts w:hint="eastAsia" w:ascii="宋体" w:hAnsi="宋体" w:cs="宋体"/>
          <w:color w:val="auto"/>
          <w:sz w:val="24"/>
          <w:highlight w:val="none"/>
        </w:rPr>
        <w:t>（加盖单位公章 红章）；</w:t>
      </w:r>
    </w:p>
    <w:p>
      <w:pPr>
        <w:pStyle w:val="29"/>
        <w:numPr>
          <w:ilvl w:val="0"/>
          <w:numId w:val="2"/>
        </w:numPr>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企业法定代表人或授权委托书及被委托人身份证复印件（加盖单位公章）；</w:t>
      </w:r>
    </w:p>
    <w:p>
      <w:pPr>
        <w:pStyle w:val="29"/>
        <w:numPr>
          <w:ilvl w:val="0"/>
          <w:numId w:val="2"/>
        </w:numPr>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投标人联系单（含电话、邮箱等）。</w:t>
      </w:r>
    </w:p>
    <w:p>
      <w:pPr>
        <w:pStyle w:val="29"/>
        <w:numPr>
          <w:ilvl w:val="0"/>
          <w:numId w:val="1"/>
        </w:numPr>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 xml:space="preserve">投标时间和地点： </w:t>
      </w:r>
    </w:p>
    <w:p>
      <w:pPr>
        <w:spacing w:line="360" w:lineRule="auto"/>
        <w:ind w:left="480"/>
        <w:rPr>
          <w:rFonts w:ascii="宋体" w:hAnsi="宋体" w:cs="宋体"/>
          <w:color w:val="auto"/>
          <w:sz w:val="24"/>
          <w:highlight w:val="none"/>
        </w:rPr>
      </w:pPr>
      <w:r>
        <w:rPr>
          <w:rFonts w:hint="eastAsia" w:ascii="宋体" w:hAnsi="宋体" w:cs="宋体"/>
          <w:color w:val="auto"/>
          <w:sz w:val="24"/>
          <w:highlight w:val="none"/>
        </w:rPr>
        <w:t>投标单位应于</w:t>
      </w:r>
      <w:r>
        <w:rPr>
          <w:rFonts w:hint="eastAsia" w:ascii="宋体" w:hAnsi="宋体" w:cs="宋体"/>
          <w:color w:val="auto"/>
          <w:sz w:val="24"/>
          <w:highlight w:val="none"/>
          <w:u w:val="single"/>
        </w:rPr>
        <w:t>2021年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9:00前</w:t>
      </w:r>
      <w:r>
        <w:rPr>
          <w:rFonts w:hint="eastAsia" w:ascii="宋体" w:hAnsi="宋体" w:cs="宋体"/>
          <w:color w:val="auto"/>
          <w:sz w:val="24"/>
          <w:highlight w:val="none"/>
        </w:rPr>
        <w:t>将投标文件密封交到投标地点。</w:t>
      </w:r>
    </w:p>
    <w:p>
      <w:pPr>
        <w:spacing w:line="360" w:lineRule="auto"/>
        <w:ind w:left="480"/>
        <w:rPr>
          <w:rFonts w:ascii="宋体" w:hAnsi="宋体" w:cs="宋体"/>
          <w:color w:val="auto"/>
          <w:sz w:val="24"/>
          <w:highlight w:val="none"/>
        </w:rPr>
      </w:pPr>
      <w:r>
        <w:rPr>
          <w:rFonts w:hint="eastAsia" w:ascii="宋体" w:hAnsi="宋体" w:cs="宋体"/>
          <w:color w:val="auto"/>
          <w:sz w:val="24"/>
          <w:highlight w:val="none"/>
        </w:rPr>
        <w:t>投标地点：快递邮寄或开标当天投标至浙江大学医学院附属第四医院行政楼104室。</w:t>
      </w:r>
    </w:p>
    <w:p>
      <w:pPr>
        <w:numPr>
          <w:ilvl w:val="0"/>
          <w:numId w:val="1"/>
        </w:numPr>
        <w:tabs>
          <w:tab w:val="left" w:pos="426"/>
          <w:tab w:val="clear" w:pos="480"/>
        </w:tabs>
        <w:spacing w:line="360" w:lineRule="auto"/>
        <w:rPr>
          <w:rFonts w:ascii="宋体" w:hAnsi="宋体" w:cs="宋体"/>
          <w:color w:val="auto"/>
          <w:sz w:val="24"/>
          <w:highlight w:val="none"/>
        </w:rPr>
      </w:pPr>
      <w:r>
        <w:rPr>
          <w:rFonts w:hint="eastAsia" w:ascii="宋体" w:hAnsi="宋体" w:cs="宋体"/>
          <w:color w:val="auto"/>
          <w:sz w:val="24"/>
          <w:highlight w:val="none"/>
        </w:rPr>
        <w:t>开标时间和地点：</w:t>
      </w:r>
    </w:p>
    <w:p>
      <w:pPr>
        <w:spacing w:line="360" w:lineRule="auto"/>
        <w:ind w:left="480"/>
        <w:rPr>
          <w:rFonts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u w:val="single"/>
        </w:rPr>
        <w:t>2021年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 xml:space="preserve">日  上午9:00 </w:t>
      </w:r>
    </w:p>
    <w:p>
      <w:pPr>
        <w:spacing w:line="360" w:lineRule="auto"/>
        <w:ind w:left="480"/>
        <w:rPr>
          <w:rFonts w:ascii="宋体" w:hAnsi="宋体" w:cs="宋体"/>
          <w:color w:val="auto"/>
          <w:sz w:val="24"/>
          <w:highlight w:val="none"/>
        </w:rPr>
      </w:pPr>
      <w:r>
        <w:rPr>
          <w:rFonts w:hint="eastAsia" w:ascii="宋体" w:hAnsi="宋体" w:cs="宋体"/>
          <w:color w:val="auto"/>
          <w:sz w:val="24"/>
          <w:highlight w:val="none"/>
        </w:rPr>
        <w:t>开标地点：浙江大学医学院附属第四医院行政楼104室</w:t>
      </w:r>
    </w:p>
    <w:p>
      <w:pPr>
        <w:numPr>
          <w:ilvl w:val="0"/>
          <w:numId w:val="1"/>
        </w:numPr>
        <w:tabs>
          <w:tab w:val="left" w:pos="426"/>
          <w:tab w:val="clear" w:pos="480"/>
        </w:tabs>
        <w:spacing w:line="360" w:lineRule="auto"/>
        <w:rPr>
          <w:rFonts w:ascii="宋体" w:hAnsi="宋体" w:cs="宋体"/>
          <w:color w:val="auto"/>
          <w:sz w:val="24"/>
          <w:highlight w:val="none"/>
        </w:rPr>
      </w:pPr>
      <w:r>
        <w:rPr>
          <w:rFonts w:hint="eastAsia" w:ascii="宋体" w:hAnsi="宋体" w:cs="宋体"/>
          <w:color w:val="auto"/>
          <w:sz w:val="24"/>
          <w:highlight w:val="none"/>
        </w:rPr>
        <w:t>联系地址和电话：</w:t>
      </w:r>
    </w:p>
    <w:p>
      <w:pPr>
        <w:spacing w:line="360" w:lineRule="auto"/>
        <w:ind w:left="480"/>
        <w:rPr>
          <w:rFonts w:ascii="宋体" w:hAnsi="宋体" w:cs="宋体"/>
          <w:color w:val="auto"/>
          <w:sz w:val="24"/>
          <w:highlight w:val="none"/>
        </w:rPr>
      </w:pPr>
      <w:r>
        <w:rPr>
          <w:rFonts w:hint="eastAsia" w:ascii="宋体" w:hAnsi="宋体" w:cs="宋体"/>
          <w:color w:val="auto"/>
          <w:sz w:val="24"/>
          <w:highlight w:val="none"/>
        </w:rPr>
        <w:t>地  址：浙江大学医学院附属第四医院行政楼104室</w:t>
      </w:r>
    </w:p>
    <w:p>
      <w:pPr>
        <w:spacing w:line="360" w:lineRule="auto"/>
        <w:ind w:left="480"/>
        <w:rPr>
          <w:rFonts w:ascii="宋体" w:hAnsi="宋体" w:cs="宋体"/>
          <w:color w:val="auto"/>
          <w:sz w:val="24"/>
          <w:highlight w:val="none"/>
        </w:rPr>
      </w:pPr>
      <w:r>
        <w:rPr>
          <w:rFonts w:hint="eastAsia" w:ascii="宋体" w:hAnsi="宋体" w:cs="宋体"/>
          <w:color w:val="auto"/>
          <w:sz w:val="24"/>
          <w:highlight w:val="none"/>
        </w:rPr>
        <w:t xml:space="preserve">联系人：吴老师 </w:t>
      </w:r>
    </w:p>
    <w:p>
      <w:pPr>
        <w:spacing w:line="360" w:lineRule="auto"/>
        <w:ind w:left="480"/>
        <w:rPr>
          <w:rFonts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0579-89935103</w:t>
      </w:r>
    </w:p>
    <w:p>
      <w:pPr>
        <w:widowControl/>
        <w:spacing w:line="420" w:lineRule="atLeast"/>
        <w:rPr>
          <w:rFonts w:ascii="宋体" w:hAnsi="宋体" w:cs="宋体"/>
          <w:color w:val="auto"/>
          <w:sz w:val="24"/>
          <w:highlight w:val="none"/>
        </w:rPr>
      </w:pPr>
      <w:r>
        <w:rPr>
          <w:rFonts w:hint="eastAsia" w:ascii="宋体" w:hAnsi="宋体" w:cs="宋体"/>
          <w:color w:val="auto"/>
          <w:sz w:val="24"/>
          <w:highlight w:val="none"/>
        </w:rPr>
        <w:t>十五、其他</w:t>
      </w:r>
    </w:p>
    <w:p>
      <w:pPr>
        <w:widowControl/>
        <w:spacing w:line="420" w:lineRule="atLeast"/>
        <w:rPr>
          <w:rFonts w:ascii="宋体" w:hAnsi="宋体" w:cs="宋体"/>
          <w:color w:val="auto"/>
          <w:sz w:val="24"/>
          <w:highlight w:val="none"/>
        </w:rPr>
      </w:pPr>
      <w:r>
        <w:rPr>
          <w:rFonts w:hint="eastAsia" w:ascii="宋体" w:hAnsi="宋体" w:cs="宋体"/>
          <w:color w:val="auto"/>
          <w:sz w:val="24"/>
          <w:highlight w:val="none"/>
        </w:rPr>
        <w:t xml:space="preserve">    1、“★”标记系指必须满足不能负偏离或必须应答的条款。如不能响应，作废标处理。</w:t>
      </w: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autoSpaceDE w:val="0"/>
        <w:autoSpaceDN w:val="0"/>
        <w:adjustRightInd w:val="0"/>
        <w:spacing w:line="360" w:lineRule="auto"/>
        <w:jc w:val="center"/>
        <w:rPr>
          <w:rFonts w:ascii="宋体" w:hAnsi="宋体" w:cs="宋体"/>
          <w:b/>
          <w:bCs/>
          <w:color w:val="auto"/>
          <w:sz w:val="30"/>
          <w:szCs w:val="30"/>
          <w:highlight w:val="none"/>
          <w:lang w:val="zh-CN"/>
        </w:rPr>
      </w:pPr>
      <w:r>
        <w:rPr>
          <w:rFonts w:hint="eastAsia" w:ascii="宋体" w:hAnsi="宋体" w:cs="宋体"/>
          <w:b/>
          <w:bCs/>
          <w:color w:val="auto"/>
          <w:sz w:val="30"/>
          <w:szCs w:val="30"/>
          <w:highlight w:val="none"/>
          <w:lang w:val="zh-CN"/>
        </w:rPr>
        <w:t>第二章 投标须知</w:t>
      </w:r>
    </w:p>
    <w:p>
      <w:pPr>
        <w:widowControl/>
        <w:spacing w:line="420" w:lineRule="atLeast"/>
        <w:rPr>
          <w:rFonts w:ascii="宋体" w:hAnsi="宋体" w:cs="宋体"/>
          <w:color w:val="auto"/>
          <w:sz w:val="24"/>
          <w:szCs w:val="21"/>
          <w:highlight w:val="none"/>
        </w:rPr>
      </w:pPr>
      <w:r>
        <w:rPr>
          <w:rFonts w:hint="eastAsia" w:ascii="宋体" w:hAnsi="宋体" w:cs="宋体"/>
          <w:color w:val="auto"/>
          <w:sz w:val="24"/>
          <w:szCs w:val="21"/>
          <w:highlight w:val="none"/>
        </w:rPr>
        <w:t>1、适用范围</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1.1 本招标文件仅适用于本次招标采购所叙述的服务项目。</w:t>
      </w:r>
    </w:p>
    <w:p>
      <w:pPr>
        <w:widowControl/>
        <w:spacing w:line="420" w:lineRule="atLeast"/>
        <w:rPr>
          <w:rFonts w:ascii="宋体" w:hAnsi="宋体" w:cs="宋体"/>
          <w:color w:val="auto"/>
          <w:sz w:val="24"/>
          <w:szCs w:val="21"/>
          <w:highlight w:val="none"/>
        </w:rPr>
      </w:pPr>
      <w:r>
        <w:rPr>
          <w:rFonts w:hint="eastAsia" w:ascii="宋体" w:hAnsi="宋体" w:cs="宋体"/>
          <w:color w:val="auto"/>
          <w:sz w:val="24"/>
          <w:szCs w:val="21"/>
          <w:highlight w:val="none"/>
        </w:rPr>
        <w:t>2、定义</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2.1采购人：系指浙江大学医学院附属第四医院。</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2.2投标人：系指符合采购公告要求的投标供应商。</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2.3服务：系指招标文件规定投标人须承担的运输、技术支持、培训、维修保养及其它类似的服务。</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2.5甲方：即采购人，在招投标阶段称为采购人，在签订和执行合同阶段称为甲方。</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2.6乙方：在招投标阶段称为投标人，中标后在签订和执行合同阶段称为乙方。</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2.7“原产地”是指货物开采、生长或生产、或提供有关服务的来源地。</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2.8“★”标记系指必须满足不能负偏离或必须应答的条款。</w:t>
      </w:r>
    </w:p>
    <w:p>
      <w:pPr>
        <w:widowControl/>
        <w:spacing w:line="420" w:lineRule="atLeast"/>
        <w:rPr>
          <w:rFonts w:ascii="宋体" w:hAnsi="宋体" w:cs="宋体"/>
          <w:color w:val="auto"/>
          <w:sz w:val="24"/>
          <w:szCs w:val="21"/>
          <w:highlight w:val="none"/>
        </w:rPr>
      </w:pPr>
      <w:r>
        <w:rPr>
          <w:rFonts w:hint="eastAsia" w:ascii="宋体" w:hAnsi="宋体" w:cs="宋体"/>
          <w:color w:val="auto"/>
          <w:sz w:val="24"/>
          <w:szCs w:val="21"/>
          <w:highlight w:val="none"/>
        </w:rPr>
        <w:t>3、合格的投标人</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3.1具有独立法人资格。</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3.2法律、行政法规规定的其它条件。</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3.3 该行业国家规定必备的资质、资格。</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3.4采购公告中要求的条件。</w:t>
      </w:r>
    </w:p>
    <w:p>
      <w:pPr>
        <w:widowControl/>
        <w:spacing w:line="420" w:lineRule="atLeast"/>
        <w:rPr>
          <w:rFonts w:ascii="宋体" w:hAnsi="宋体" w:cs="宋体"/>
          <w:color w:val="auto"/>
          <w:sz w:val="24"/>
          <w:szCs w:val="21"/>
          <w:highlight w:val="none"/>
        </w:rPr>
      </w:pPr>
      <w:r>
        <w:rPr>
          <w:rFonts w:hint="eastAsia" w:ascii="宋体" w:hAnsi="宋体" w:cs="宋体"/>
          <w:color w:val="auto"/>
          <w:sz w:val="24"/>
          <w:szCs w:val="21"/>
          <w:highlight w:val="none"/>
        </w:rPr>
        <w:t>4、保证</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4.1投标单位应保证所提交给招标机构和采购人的资料和数据是真实的。</w:t>
      </w:r>
    </w:p>
    <w:p>
      <w:pPr>
        <w:widowControl/>
        <w:spacing w:line="420" w:lineRule="atLeast"/>
        <w:rPr>
          <w:rFonts w:ascii="宋体" w:hAnsi="宋体" w:cs="宋体"/>
          <w:color w:val="auto"/>
          <w:sz w:val="24"/>
          <w:szCs w:val="21"/>
          <w:highlight w:val="none"/>
        </w:rPr>
      </w:pPr>
      <w:r>
        <w:rPr>
          <w:rFonts w:hint="eastAsia" w:ascii="宋体" w:hAnsi="宋体" w:cs="宋体"/>
          <w:color w:val="auto"/>
          <w:sz w:val="24"/>
          <w:szCs w:val="21"/>
          <w:highlight w:val="none"/>
        </w:rPr>
        <w:t xml:space="preserve">5、现场勘察 </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 xml:space="preserve">5.2投标单位在考察过程中发生的各类事件及所发生的各项费用，均由投标单位自行承担。采购人和代理机构概不负责。 </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5.4现场踏勘完毕，将认为投标人己了解现场情况，并充分理解了为之所承担的风险、义务和责任。</w:t>
      </w:r>
    </w:p>
    <w:p>
      <w:pPr>
        <w:widowControl/>
        <w:spacing w:line="420" w:lineRule="atLeast"/>
        <w:rPr>
          <w:rFonts w:ascii="宋体" w:hAnsi="宋体" w:cs="宋体"/>
          <w:color w:val="auto"/>
          <w:sz w:val="24"/>
          <w:szCs w:val="21"/>
          <w:highlight w:val="none"/>
        </w:rPr>
      </w:pPr>
      <w:r>
        <w:rPr>
          <w:rFonts w:hint="eastAsia" w:ascii="宋体" w:hAnsi="宋体" w:cs="宋体"/>
          <w:color w:val="auto"/>
          <w:sz w:val="24"/>
          <w:szCs w:val="21"/>
          <w:highlight w:val="none"/>
        </w:rPr>
        <w:t>6、联合体投标</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本项目不接受联合体投标。</w:t>
      </w:r>
    </w:p>
    <w:p>
      <w:pPr>
        <w:widowControl/>
        <w:spacing w:line="420" w:lineRule="atLeast"/>
        <w:rPr>
          <w:rFonts w:ascii="宋体" w:hAnsi="宋体" w:cs="宋体"/>
          <w:color w:val="auto"/>
          <w:sz w:val="24"/>
          <w:szCs w:val="21"/>
          <w:highlight w:val="none"/>
        </w:rPr>
      </w:pPr>
      <w:r>
        <w:rPr>
          <w:rFonts w:hint="eastAsia" w:ascii="宋体" w:hAnsi="宋体" w:cs="宋体"/>
          <w:color w:val="auto"/>
          <w:sz w:val="24"/>
          <w:szCs w:val="21"/>
          <w:highlight w:val="none"/>
        </w:rPr>
        <w:t>7、投标人发生下列情况之一时，除严格依法依规进行处理外，还将通报市信用管理部门，列入严重失信名单：</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（1）投标人在规定的投标有效期内撤回投标或放弃中标的；</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（2）有意串标或提供虚假材料者的；</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（3）中标人在收到中标通知书后，因自身原因不能在投标有效期内和采购人签订合同。</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（4）中标人未在规定时间缴纳招标代理费的。</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（5）中标供应商在标后履约过程中未按合同约定的期限和要求履约的。</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（6）因中标供应商原因在标后履约过程中擅自终止合同的。</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（7）不符合招标文件要求的其他失信行为。</w:t>
      </w:r>
    </w:p>
    <w:p>
      <w:pPr>
        <w:spacing w:line="360" w:lineRule="auto"/>
        <w:rPr>
          <w:rFonts w:ascii="宋体" w:hAnsi="宋体" w:cs="宋体"/>
          <w:b/>
          <w:color w:val="auto"/>
          <w:sz w:val="36"/>
          <w:szCs w:val="36"/>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ind w:firstLine="321" w:firstLineChars="100"/>
        <w:jc w:val="center"/>
        <w:rPr>
          <w:rFonts w:ascii="宋体" w:hAnsi="宋体" w:cs="宋体"/>
          <w:b/>
          <w:color w:val="auto"/>
          <w:sz w:val="32"/>
          <w:szCs w:val="32"/>
          <w:highlight w:val="none"/>
        </w:rPr>
      </w:pPr>
      <w:r>
        <w:rPr>
          <w:rFonts w:hint="eastAsia" w:ascii="宋体" w:hAnsi="宋体" w:cs="宋体"/>
          <w:b/>
          <w:color w:val="auto"/>
          <w:sz w:val="32"/>
          <w:szCs w:val="32"/>
          <w:highlight w:val="none"/>
        </w:rPr>
        <w:t>第三章   项目概况及要求</w:t>
      </w:r>
    </w:p>
    <w:p>
      <w:pPr>
        <w:snapToGrid w:val="0"/>
        <w:spacing w:line="400" w:lineRule="exact"/>
        <w:ind w:firstLine="480" w:firstLineChars="200"/>
        <w:rPr>
          <w:rFonts w:ascii="宋体" w:hAnsi="宋体" w:cs="宋体"/>
          <w:color w:val="auto"/>
          <w:sz w:val="24"/>
          <w:szCs w:val="24"/>
          <w:highlight w:val="none"/>
        </w:rPr>
      </w:pPr>
    </w:p>
    <w:p>
      <w:pPr>
        <w:pStyle w:val="7"/>
        <w:spacing w:line="360" w:lineRule="auto"/>
        <w:ind w:firstLine="484" w:firstLineChars="201"/>
        <w:rPr>
          <w:rFonts w:hAnsi="宋体" w:cs="宋体"/>
          <w:b/>
          <w:bCs/>
          <w:color w:val="auto"/>
          <w:sz w:val="24"/>
          <w:szCs w:val="24"/>
          <w:highlight w:val="none"/>
        </w:rPr>
        <w:sectPr>
          <w:headerReference r:id="rId3" w:type="default"/>
          <w:footerReference r:id="rId4" w:type="default"/>
          <w:type w:val="continuous"/>
          <w:pgSz w:w="11906" w:h="16838"/>
          <w:pgMar w:top="1134" w:right="1247" w:bottom="1134" w:left="1247" w:header="397" w:footer="567" w:gutter="0"/>
          <w:pgNumType w:fmt="decimal"/>
          <w:cols w:space="720" w:num="1"/>
          <w:docGrid w:type="lines" w:linePitch="312" w:charSpace="0"/>
        </w:sectPr>
      </w:pPr>
      <w:r>
        <w:rPr>
          <w:rFonts w:hint="eastAsia" w:hAnsi="宋体" w:cs="宋体"/>
          <w:b/>
          <w:bCs/>
          <w:color w:val="auto"/>
          <w:sz w:val="24"/>
          <w:szCs w:val="24"/>
          <w:highlight w:val="none"/>
        </w:rPr>
        <w:t>一、项目服务范围</w:t>
      </w:r>
    </w:p>
    <w:p>
      <w:pPr>
        <w:pStyle w:val="7"/>
        <w:spacing w:line="360" w:lineRule="auto"/>
        <w:ind w:firstLine="482" w:firstLineChars="201"/>
        <w:rPr>
          <w:rFonts w:hAnsi="宋体" w:cs="宋体"/>
          <w:color w:val="auto"/>
          <w:sz w:val="24"/>
          <w:szCs w:val="24"/>
          <w:highlight w:val="none"/>
        </w:rPr>
      </w:pPr>
      <w:r>
        <w:rPr>
          <w:rFonts w:hint="eastAsia" w:hAnsi="宋体" w:cs="宋体"/>
          <w:color w:val="auto"/>
          <w:sz w:val="24"/>
          <w:szCs w:val="24"/>
          <w:highlight w:val="none"/>
        </w:rPr>
        <w:t>依据现行气体灭火系统设计、施工、验收规范，对浙江大学医学院附属第四医院进行一次气体灭火系统气瓶检测、药剂充装，并出具消防部门认可的检测报告。</w:t>
      </w:r>
    </w:p>
    <w:p>
      <w:pPr>
        <w:pStyle w:val="7"/>
        <w:spacing w:line="360" w:lineRule="auto"/>
        <w:ind w:firstLine="484" w:firstLineChars="201"/>
        <w:rPr>
          <w:rFonts w:hAnsi="宋体" w:cs="宋体"/>
          <w:b/>
          <w:bCs/>
          <w:color w:val="auto"/>
          <w:sz w:val="24"/>
          <w:szCs w:val="24"/>
          <w:highlight w:val="none"/>
        </w:rPr>
      </w:pPr>
      <w:r>
        <w:rPr>
          <w:rFonts w:hint="eastAsia" w:hAnsi="宋体" w:cs="宋体"/>
          <w:b/>
          <w:bCs/>
          <w:color w:val="auto"/>
          <w:sz w:val="24"/>
          <w:szCs w:val="24"/>
          <w:highlight w:val="none"/>
        </w:rPr>
        <w:t>二、项目服务要求</w:t>
      </w:r>
    </w:p>
    <w:p>
      <w:pPr>
        <w:pStyle w:val="7"/>
        <w:spacing w:line="360" w:lineRule="auto"/>
        <w:ind w:firstLine="482" w:firstLineChars="201"/>
        <w:rPr>
          <w:rFonts w:hAnsi="宋体" w:cs="宋体"/>
          <w:color w:val="auto"/>
          <w:sz w:val="24"/>
          <w:szCs w:val="24"/>
          <w:highlight w:val="none"/>
        </w:rPr>
      </w:pPr>
      <w:r>
        <w:rPr>
          <w:rFonts w:hint="eastAsia" w:hAnsi="宋体" w:cs="宋体"/>
          <w:color w:val="auto"/>
          <w:sz w:val="24"/>
          <w:szCs w:val="24"/>
          <w:highlight w:val="none"/>
        </w:rPr>
        <w:t>拆卸、安装时需确保不影响环境，原设备可以拆卸下来后，运输出去抽取原罐体内的灭火剂、清洗罐体、罐体检测（需提供罐体的检测报告）、罐体重新涂装（要求罐体不能有色差）。原设备在运输在外时，必须由中标供应商提供安装代替设备，确保医院相关场所的安全。</w:t>
      </w:r>
    </w:p>
    <w:p>
      <w:pPr>
        <w:pStyle w:val="7"/>
        <w:spacing w:line="360" w:lineRule="auto"/>
        <w:ind w:firstLine="484" w:firstLineChars="201"/>
        <w:rPr>
          <w:rFonts w:hAnsi="宋体" w:cs="宋体"/>
          <w:color w:val="auto"/>
          <w:sz w:val="24"/>
          <w:szCs w:val="24"/>
          <w:highlight w:val="none"/>
        </w:rPr>
      </w:pPr>
      <w:r>
        <w:rPr>
          <w:rFonts w:hint="eastAsia" w:hAnsi="宋体" w:cs="宋体"/>
          <w:b/>
          <w:bCs/>
          <w:color w:val="auto"/>
          <w:sz w:val="24"/>
          <w:szCs w:val="24"/>
          <w:highlight w:val="none"/>
        </w:rPr>
        <w:t>三、需求清单</w:t>
      </w:r>
      <w:r>
        <w:rPr>
          <w:rFonts w:hint="eastAsia" w:hAnsi="宋体" w:cs="宋体"/>
          <w:color w:val="auto"/>
          <w:sz w:val="24"/>
          <w:szCs w:val="24"/>
          <w:highlight w:val="none"/>
        </w:rPr>
        <w:t xml:space="preserve">（内容、用途、数量、简要技术要求等）： </w:t>
      </w:r>
    </w:p>
    <w:tbl>
      <w:tblPr>
        <w:tblStyle w:val="16"/>
        <w:tblW w:w="0" w:type="auto"/>
        <w:jc w:val="center"/>
        <w:tblLayout w:type="fixed"/>
        <w:tblCellMar>
          <w:top w:w="0" w:type="dxa"/>
          <w:left w:w="108" w:type="dxa"/>
          <w:bottom w:w="0" w:type="dxa"/>
          <w:right w:w="108" w:type="dxa"/>
        </w:tblCellMar>
      </w:tblPr>
      <w:tblGrid>
        <w:gridCol w:w="734"/>
        <w:gridCol w:w="3687"/>
        <w:gridCol w:w="1413"/>
        <w:gridCol w:w="1084"/>
        <w:gridCol w:w="879"/>
        <w:gridCol w:w="876"/>
      </w:tblGrid>
      <w:tr>
        <w:tblPrEx>
          <w:tblCellMar>
            <w:top w:w="0" w:type="dxa"/>
            <w:left w:w="108" w:type="dxa"/>
            <w:bottom w:w="0" w:type="dxa"/>
            <w:right w:w="108" w:type="dxa"/>
          </w:tblCellMar>
        </w:tblPrEx>
        <w:trPr>
          <w:trHeight w:val="564"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6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141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108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879"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87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CellMar>
            <w:top w:w="0" w:type="dxa"/>
            <w:left w:w="108" w:type="dxa"/>
            <w:bottom w:w="0" w:type="dxa"/>
            <w:right w:w="108" w:type="dxa"/>
          </w:tblCellMar>
        </w:tblPrEx>
        <w:trPr>
          <w:trHeight w:val="536" w:hRule="atLeast"/>
          <w:jc w:val="center"/>
        </w:trPr>
        <w:tc>
          <w:tcPr>
            <w:tcW w:w="734"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3687" w:type="dxa"/>
            <w:tcBorders>
              <w:top w:val="nil"/>
              <w:left w:val="nil"/>
              <w:bottom w:val="single" w:color="auto" w:sz="4" w:space="0"/>
              <w:right w:val="single" w:color="auto" w:sz="4" w:space="0"/>
            </w:tcBorders>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IG-541气瓶检测充气</w:t>
            </w:r>
          </w:p>
        </w:tc>
        <w:tc>
          <w:tcPr>
            <w:tcW w:w="1413"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90L</w:t>
            </w:r>
          </w:p>
        </w:tc>
        <w:tc>
          <w:tcPr>
            <w:tcW w:w="1084"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879"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67</w:t>
            </w:r>
          </w:p>
        </w:tc>
        <w:tc>
          <w:tcPr>
            <w:tcW w:w="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w:t>
            </w:r>
          </w:p>
        </w:tc>
      </w:tr>
      <w:tr>
        <w:tblPrEx>
          <w:tblCellMar>
            <w:top w:w="0" w:type="dxa"/>
            <w:left w:w="108" w:type="dxa"/>
            <w:bottom w:w="0" w:type="dxa"/>
            <w:right w:w="108" w:type="dxa"/>
          </w:tblCellMar>
        </w:tblPrEx>
        <w:trPr>
          <w:trHeight w:val="536" w:hRule="atLeast"/>
          <w:jc w:val="center"/>
        </w:trPr>
        <w:tc>
          <w:tcPr>
            <w:tcW w:w="734"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3687" w:type="dxa"/>
            <w:tcBorders>
              <w:top w:val="nil"/>
              <w:left w:val="nil"/>
              <w:bottom w:val="single" w:color="auto" w:sz="4" w:space="0"/>
              <w:right w:val="single" w:color="auto" w:sz="4" w:space="0"/>
            </w:tcBorders>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七氟丙烷气瓶检测充气</w:t>
            </w:r>
          </w:p>
        </w:tc>
        <w:tc>
          <w:tcPr>
            <w:tcW w:w="1413"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90L</w:t>
            </w:r>
          </w:p>
        </w:tc>
        <w:tc>
          <w:tcPr>
            <w:tcW w:w="1084"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879"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w:t>
            </w:r>
          </w:p>
        </w:tc>
      </w:tr>
      <w:tr>
        <w:tblPrEx>
          <w:tblCellMar>
            <w:top w:w="0" w:type="dxa"/>
            <w:left w:w="108" w:type="dxa"/>
            <w:bottom w:w="0" w:type="dxa"/>
            <w:right w:w="108" w:type="dxa"/>
          </w:tblCellMar>
        </w:tblPrEx>
        <w:trPr>
          <w:trHeight w:val="536" w:hRule="atLeast"/>
          <w:jc w:val="center"/>
        </w:trPr>
        <w:tc>
          <w:tcPr>
            <w:tcW w:w="734"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3687" w:type="dxa"/>
            <w:tcBorders>
              <w:top w:val="nil"/>
              <w:left w:val="nil"/>
              <w:bottom w:val="single" w:color="auto" w:sz="4" w:space="0"/>
              <w:right w:val="single" w:color="auto" w:sz="4" w:space="0"/>
            </w:tcBorders>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七氟丙烷气瓶检测充气</w:t>
            </w:r>
          </w:p>
        </w:tc>
        <w:tc>
          <w:tcPr>
            <w:tcW w:w="1413"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120L</w:t>
            </w:r>
          </w:p>
        </w:tc>
        <w:tc>
          <w:tcPr>
            <w:tcW w:w="1084"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879"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p>
        </w:tc>
      </w:tr>
      <w:tr>
        <w:tblPrEx>
          <w:tblCellMar>
            <w:top w:w="0" w:type="dxa"/>
            <w:left w:w="108" w:type="dxa"/>
            <w:bottom w:w="0" w:type="dxa"/>
            <w:right w:w="108" w:type="dxa"/>
          </w:tblCellMar>
        </w:tblPrEx>
        <w:trPr>
          <w:trHeight w:val="536" w:hRule="atLeast"/>
          <w:jc w:val="center"/>
        </w:trPr>
        <w:tc>
          <w:tcPr>
            <w:tcW w:w="734"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3687" w:type="dxa"/>
            <w:tcBorders>
              <w:top w:val="nil"/>
              <w:left w:val="nil"/>
              <w:bottom w:val="single" w:color="auto" w:sz="4" w:space="0"/>
              <w:right w:val="single" w:color="auto" w:sz="4" w:space="0"/>
            </w:tcBorders>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七氟丙烷气瓶检测充气</w:t>
            </w:r>
          </w:p>
        </w:tc>
        <w:tc>
          <w:tcPr>
            <w:tcW w:w="1413"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15L</w:t>
            </w:r>
          </w:p>
        </w:tc>
        <w:tc>
          <w:tcPr>
            <w:tcW w:w="1084"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879"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w:t>
            </w:r>
          </w:p>
        </w:tc>
      </w:tr>
      <w:tr>
        <w:tblPrEx>
          <w:tblCellMar>
            <w:top w:w="0" w:type="dxa"/>
            <w:left w:w="108" w:type="dxa"/>
            <w:bottom w:w="0" w:type="dxa"/>
            <w:right w:w="108" w:type="dxa"/>
          </w:tblCellMar>
        </w:tblPrEx>
        <w:trPr>
          <w:trHeight w:val="536" w:hRule="atLeast"/>
          <w:jc w:val="center"/>
        </w:trPr>
        <w:tc>
          <w:tcPr>
            <w:tcW w:w="734"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3687" w:type="dxa"/>
            <w:tcBorders>
              <w:top w:val="nil"/>
              <w:left w:val="nil"/>
              <w:bottom w:val="single" w:color="auto" w:sz="4" w:space="0"/>
              <w:right w:val="single" w:color="auto" w:sz="4" w:space="0"/>
            </w:tcBorders>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七氟丙烷气瓶检测充气</w:t>
            </w:r>
          </w:p>
        </w:tc>
        <w:tc>
          <w:tcPr>
            <w:tcW w:w="1413"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26L</w:t>
            </w:r>
          </w:p>
        </w:tc>
        <w:tc>
          <w:tcPr>
            <w:tcW w:w="1084"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879"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p>
        </w:tc>
      </w:tr>
      <w:tr>
        <w:tblPrEx>
          <w:tblCellMar>
            <w:top w:w="0" w:type="dxa"/>
            <w:left w:w="108" w:type="dxa"/>
            <w:bottom w:w="0" w:type="dxa"/>
            <w:right w:w="108" w:type="dxa"/>
          </w:tblCellMar>
        </w:tblPrEx>
        <w:trPr>
          <w:trHeight w:val="536" w:hRule="atLeast"/>
          <w:jc w:val="center"/>
        </w:trPr>
        <w:tc>
          <w:tcPr>
            <w:tcW w:w="734"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3687" w:type="dxa"/>
            <w:tcBorders>
              <w:top w:val="nil"/>
              <w:left w:val="nil"/>
              <w:bottom w:val="single" w:color="auto" w:sz="4" w:space="0"/>
              <w:right w:val="single" w:color="auto" w:sz="4" w:space="0"/>
            </w:tcBorders>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七氟丙烷气瓶检测充气</w:t>
            </w:r>
          </w:p>
        </w:tc>
        <w:tc>
          <w:tcPr>
            <w:tcW w:w="1413"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150L</w:t>
            </w:r>
          </w:p>
        </w:tc>
        <w:tc>
          <w:tcPr>
            <w:tcW w:w="1084"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879"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p>
        </w:tc>
      </w:tr>
      <w:tr>
        <w:tblPrEx>
          <w:tblCellMar>
            <w:top w:w="0" w:type="dxa"/>
            <w:left w:w="108" w:type="dxa"/>
            <w:bottom w:w="0" w:type="dxa"/>
            <w:right w:w="108" w:type="dxa"/>
          </w:tblCellMar>
        </w:tblPrEx>
        <w:trPr>
          <w:trHeight w:val="544" w:hRule="atLeast"/>
          <w:jc w:val="center"/>
        </w:trPr>
        <w:tc>
          <w:tcPr>
            <w:tcW w:w="734"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3687" w:type="dxa"/>
            <w:tcBorders>
              <w:top w:val="nil"/>
              <w:left w:val="nil"/>
              <w:bottom w:val="single" w:color="auto" w:sz="4" w:space="0"/>
              <w:right w:val="single" w:color="auto" w:sz="4" w:space="0"/>
            </w:tcBorders>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启动瓶检测充装</w:t>
            </w:r>
          </w:p>
        </w:tc>
        <w:tc>
          <w:tcPr>
            <w:tcW w:w="1413"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40L</w:t>
            </w:r>
          </w:p>
        </w:tc>
        <w:tc>
          <w:tcPr>
            <w:tcW w:w="1084"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879"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w:t>
            </w:r>
          </w:p>
        </w:tc>
      </w:tr>
    </w:tbl>
    <w:p>
      <w:pPr>
        <w:pStyle w:val="7"/>
        <w:spacing w:line="360" w:lineRule="auto"/>
        <w:ind w:firstLine="482" w:firstLineChars="201"/>
        <w:rPr>
          <w:rFonts w:hAnsi="宋体" w:cs="宋体"/>
          <w:color w:val="auto"/>
          <w:sz w:val="24"/>
          <w:szCs w:val="24"/>
          <w:highlight w:val="none"/>
        </w:rPr>
      </w:pPr>
      <w:r>
        <w:rPr>
          <w:rFonts w:hint="eastAsia" w:hAnsi="宋体" w:cs="宋体"/>
          <w:color w:val="auto"/>
          <w:sz w:val="24"/>
          <w:szCs w:val="24"/>
          <w:highlight w:val="none"/>
        </w:rPr>
        <w:t>注：</w:t>
      </w:r>
    </w:p>
    <w:p>
      <w:pPr>
        <w:pStyle w:val="7"/>
        <w:spacing w:line="360" w:lineRule="auto"/>
        <w:ind w:firstLine="482" w:firstLineChars="201"/>
        <w:rPr>
          <w:rFonts w:hAnsi="宋体" w:cs="宋体"/>
          <w:color w:val="auto"/>
          <w:sz w:val="24"/>
          <w:szCs w:val="24"/>
          <w:highlight w:val="none"/>
        </w:rPr>
      </w:pPr>
      <w:r>
        <w:rPr>
          <w:rFonts w:hint="eastAsia" w:hAnsi="宋体" w:cs="宋体"/>
          <w:color w:val="auto"/>
          <w:sz w:val="24"/>
          <w:szCs w:val="24"/>
          <w:highlight w:val="none"/>
        </w:rPr>
        <w:t>1.以上报价包括运费、发票税、钢瓶拆卸安装费、调试费、检测费用等一切费用。</w:t>
      </w:r>
    </w:p>
    <w:p>
      <w:pPr>
        <w:pStyle w:val="7"/>
        <w:spacing w:line="360" w:lineRule="auto"/>
        <w:ind w:firstLine="482" w:firstLineChars="201"/>
        <w:rPr>
          <w:rFonts w:hAnsi="宋体" w:cs="宋体"/>
          <w:color w:val="auto"/>
          <w:sz w:val="24"/>
          <w:szCs w:val="24"/>
          <w:highlight w:val="none"/>
        </w:rPr>
      </w:pPr>
      <w:r>
        <w:rPr>
          <w:rFonts w:hint="eastAsia" w:hAnsi="宋体" w:cs="宋体"/>
          <w:color w:val="auto"/>
          <w:sz w:val="24"/>
          <w:szCs w:val="24"/>
          <w:highlight w:val="none"/>
        </w:rPr>
        <w:t>2. 检测维修内容应包括：钢瓶内部窥视损锈及处理；钢瓶壁厚测试；钢瓶强度试验及检测；密封性检查；年泄漏量检测；瓶头阀的维修更换；钢瓶表面防腐处理；钢瓶拆卸、安装、运输、系统接线等。</w:t>
      </w:r>
    </w:p>
    <w:p>
      <w:pPr>
        <w:pStyle w:val="7"/>
        <w:spacing w:line="360" w:lineRule="auto"/>
        <w:ind w:firstLine="482" w:firstLineChars="201"/>
        <w:rPr>
          <w:rFonts w:hAnsi="宋体" w:cs="宋体"/>
          <w:color w:val="auto"/>
          <w:sz w:val="24"/>
          <w:szCs w:val="24"/>
          <w:highlight w:val="none"/>
        </w:rPr>
      </w:pPr>
      <w:r>
        <w:rPr>
          <w:rFonts w:hint="eastAsia" w:hAnsi="宋体" w:cs="宋体"/>
          <w:color w:val="auto"/>
          <w:sz w:val="24"/>
          <w:szCs w:val="24"/>
          <w:highlight w:val="none"/>
        </w:rPr>
        <w:t>3.投标单位必须取得消防设施工程专业承包二级或以上资质。</w:t>
      </w:r>
    </w:p>
    <w:p>
      <w:pPr>
        <w:pStyle w:val="7"/>
        <w:spacing w:line="360" w:lineRule="auto"/>
        <w:ind w:firstLine="482" w:firstLineChars="201"/>
        <w:rPr>
          <w:rFonts w:hint="eastAsia" w:hAnsi="宋体" w:cs="宋体"/>
          <w:color w:val="auto"/>
          <w:sz w:val="24"/>
          <w:szCs w:val="24"/>
          <w:highlight w:val="none"/>
        </w:rPr>
      </w:pPr>
      <w:r>
        <w:rPr>
          <w:rFonts w:hint="eastAsia" w:hAnsi="宋体" w:cs="宋体"/>
          <w:color w:val="auto"/>
          <w:sz w:val="24"/>
          <w:szCs w:val="24"/>
          <w:highlight w:val="none"/>
        </w:rPr>
        <w:t>4.投标人需要提供备用瓶，保证检测期间气体灭火系统正常运行。</w:t>
      </w:r>
    </w:p>
    <w:p>
      <w:pPr>
        <w:pStyle w:val="7"/>
        <w:spacing w:line="360" w:lineRule="auto"/>
        <w:ind w:firstLine="482" w:firstLineChars="201"/>
        <w:rPr>
          <w:rFonts w:hAnsi="宋体" w:cs="宋体"/>
          <w:color w:val="auto"/>
          <w:sz w:val="24"/>
          <w:szCs w:val="24"/>
          <w:highlight w:val="none"/>
        </w:rPr>
      </w:pPr>
      <w:r>
        <w:rPr>
          <w:rFonts w:hAnsi="宋体" w:cs="宋体"/>
          <w:color w:val="auto"/>
          <w:sz w:val="24"/>
          <w:szCs w:val="24"/>
          <w:highlight w:val="none"/>
        </w:rPr>
        <w:t>5</w:t>
      </w:r>
      <w:r>
        <w:rPr>
          <w:rFonts w:hint="eastAsia" w:hAnsi="宋体" w:cs="宋体"/>
          <w:color w:val="auto"/>
          <w:sz w:val="24"/>
          <w:szCs w:val="24"/>
          <w:highlight w:val="none"/>
        </w:rPr>
        <w:t>.若气瓶在检测过程中发现零部件损坏或不合格需要更换时，按实际数量更换并结算。但是投标人需要在标书中提供以上表格中各种气瓶和对应阀门的单价。</w:t>
      </w:r>
    </w:p>
    <w:p>
      <w:pPr>
        <w:pStyle w:val="7"/>
        <w:spacing w:line="360" w:lineRule="auto"/>
        <w:ind w:firstLine="484" w:firstLineChars="201"/>
        <w:rPr>
          <w:rFonts w:hAnsi="宋体" w:cs="宋体"/>
          <w:b/>
          <w:bCs/>
          <w:color w:val="auto"/>
          <w:sz w:val="24"/>
          <w:szCs w:val="24"/>
          <w:highlight w:val="none"/>
        </w:rPr>
      </w:pPr>
      <w:r>
        <w:rPr>
          <w:rFonts w:hint="eastAsia" w:hAnsi="宋体" w:cs="宋体"/>
          <w:b/>
          <w:bCs/>
          <w:color w:val="auto"/>
          <w:sz w:val="24"/>
          <w:szCs w:val="24"/>
          <w:highlight w:val="none"/>
        </w:rPr>
        <w:t>四、验收标准</w:t>
      </w:r>
    </w:p>
    <w:p>
      <w:pPr>
        <w:pStyle w:val="7"/>
        <w:spacing w:line="360" w:lineRule="auto"/>
        <w:ind w:firstLine="482" w:firstLineChars="201"/>
        <w:rPr>
          <w:rFonts w:hAnsi="宋体" w:cs="宋体"/>
          <w:b/>
          <w:color w:val="auto"/>
          <w:sz w:val="24"/>
          <w:szCs w:val="24"/>
          <w:highlight w:val="none"/>
        </w:rPr>
      </w:pPr>
      <w:r>
        <w:rPr>
          <w:rFonts w:hint="eastAsia" w:hAnsi="宋体" w:cs="宋体"/>
          <w:color w:val="auto"/>
          <w:sz w:val="24"/>
          <w:szCs w:val="24"/>
          <w:highlight w:val="none"/>
        </w:rPr>
        <w:t>根据中华人民共和国现行技术标准，按招标文件以及合同规定的验收评定标准等规范，由采购人根据《政府采购合同履约和验收管理办法（暂行）》（义招管办【2008】32号）文件要求和《义乌市关于规范政府采购管理的若干意见》（义政办发【2017】102号）要求，组织验收。</w:t>
      </w:r>
    </w:p>
    <w:p>
      <w:pPr>
        <w:pStyle w:val="7"/>
        <w:spacing w:line="360" w:lineRule="auto"/>
        <w:ind w:firstLine="484" w:firstLineChars="201"/>
        <w:rPr>
          <w:rFonts w:hAnsi="宋体" w:cs="宋体"/>
          <w:b/>
          <w:bCs/>
          <w:color w:val="auto"/>
          <w:sz w:val="24"/>
          <w:szCs w:val="24"/>
          <w:highlight w:val="none"/>
        </w:rPr>
      </w:pPr>
      <w:r>
        <w:rPr>
          <w:rFonts w:hint="eastAsia" w:hAnsi="宋体" w:cs="宋体"/>
          <w:b/>
          <w:bCs/>
          <w:color w:val="auto"/>
          <w:sz w:val="24"/>
          <w:szCs w:val="24"/>
          <w:highlight w:val="none"/>
        </w:rPr>
        <w:t>五、质保期及售后服务</w:t>
      </w:r>
    </w:p>
    <w:p>
      <w:pPr>
        <w:pStyle w:val="7"/>
        <w:spacing w:line="360" w:lineRule="auto"/>
        <w:ind w:firstLine="482" w:firstLineChars="201"/>
        <w:rPr>
          <w:rFonts w:hAnsi="宋体" w:cs="宋体"/>
          <w:color w:val="auto"/>
          <w:sz w:val="24"/>
          <w:szCs w:val="24"/>
          <w:highlight w:val="none"/>
        </w:rPr>
      </w:pPr>
      <w:r>
        <w:rPr>
          <w:rFonts w:hint="eastAsia" w:hAnsi="宋体" w:cs="宋体"/>
          <w:color w:val="auto"/>
          <w:sz w:val="24"/>
          <w:szCs w:val="24"/>
          <w:highlight w:val="none"/>
        </w:rPr>
        <w:t>1.中标单位按照招标人规定的时间进行检测和充装。</w:t>
      </w:r>
    </w:p>
    <w:p>
      <w:pPr>
        <w:pStyle w:val="7"/>
        <w:spacing w:line="360" w:lineRule="auto"/>
        <w:ind w:firstLine="482" w:firstLineChars="201"/>
        <w:rPr>
          <w:rFonts w:hAnsi="宋体" w:cs="宋体"/>
          <w:color w:val="auto"/>
          <w:sz w:val="24"/>
          <w:szCs w:val="24"/>
          <w:highlight w:val="none"/>
        </w:rPr>
      </w:pPr>
      <w:r>
        <w:rPr>
          <w:rFonts w:hint="eastAsia" w:hAnsi="宋体" w:cs="宋体"/>
          <w:color w:val="auto"/>
          <w:sz w:val="24"/>
          <w:szCs w:val="24"/>
          <w:highlight w:val="none"/>
        </w:rPr>
        <w:t>2.中标单位向甲方提供可靠的售后技术服务人员的联系方式，随时为甲方提供售后或技术咨询，并提供技术支持。</w:t>
      </w:r>
    </w:p>
    <w:p>
      <w:pPr>
        <w:pStyle w:val="7"/>
        <w:spacing w:line="360" w:lineRule="auto"/>
        <w:ind w:firstLine="482" w:firstLineChars="201"/>
        <w:rPr>
          <w:rFonts w:hAnsi="宋体" w:cs="宋体"/>
          <w:color w:val="auto"/>
          <w:sz w:val="24"/>
          <w:szCs w:val="24"/>
          <w:highlight w:val="none"/>
        </w:rPr>
      </w:pPr>
      <w:r>
        <w:rPr>
          <w:rFonts w:hint="eastAsia" w:hAnsi="宋体" w:cs="宋体"/>
          <w:color w:val="auto"/>
          <w:sz w:val="24"/>
          <w:szCs w:val="24"/>
          <w:highlight w:val="none"/>
        </w:rPr>
        <w:t xml:space="preserve">3. </w:t>
      </w:r>
      <w:r>
        <w:rPr>
          <w:rFonts w:hint="eastAsia" w:hAnsi="宋体" w:cs="宋体"/>
          <w:b/>
          <w:bCs/>
          <w:color w:val="auto"/>
          <w:sz w:val="24"/>
          <w:szCs w:val="24"/>
          <w:highlight w:val="none"/>
        </w:rPr>
        <w:t>货物的质保期至少 壹 年</w:t>
      </w:r>
      <w:r>
        <w:rPr>
          <w:rFonts w:hint="eastAsia" w:hAnsi="宋体" w:cs="宋体"/>
          <w:color w:val="auto"/>
          <w:sz w:val="24"/>
          <w:szCs w:val="24"/>
          <w:highlight w:val="none"/>
        </w:rPr>
        <w:t>，从最终验收合格交付甲方之日起开始计算。质保期内，中标单位提供的商品出现非使用方人为因素造成的质量问题，由中标单位负责免费维修，如维修仍不能达到甲方使用要求的，中标单位应提供原厂同品牌同质量的商品无偿调换。如因商品质量问题给需方造成损失或产生安全事故，一切责任由中标单位承担，并负责赔偿需方所造成的损失。</w:t>
      </w:r>
    </w:p>
    <w:p>
      <w:pPr>
        <w:pStyle w:val="7"/>
        <w:spacing w:line="360" w:lineRule="auto"/>
        <w:ind w:firstLine="484" w:firstLineChars="201"/>
        <w:rPr>
          <w:rFonts w:hAnsi="宋体" w:cs="宋体"/>
          <w:b/>
          <w:bCs/>
          <w:color w:val="auto"/>
          <w:sz w:val="24"/>
          <w:szCs w:val="24"/>
          <w:highlight w:val="none"/>
        </w:rPr>
      </w:pPr>
      <w:r>
        <w:rPr>
          <w:rFonts w:hint="eastAsia" w:hAnsi="宋体" w:cs="宋体"/>
          <w:b/>
          <w:bCs/>
          <w:color w:val="auto"/>
          <w:sz w:val="24"/>
          <w:szCs w:val="24"/>
          <w:highlight w:val="none"/>
        </w:rPr>
        <w:t>六、支付方式</w:t>
      </w:r>
    </w:p>
    <w:p>
      <w:pPr>
        <w:pStyle w:val="7"/>
        <w:spacing w:line="360" w:lineRule="auto"/>
        <w:ind w:firstLine="482" w:firstLineChars="201"/>
        <w:rPr>
          <w:rFonts w:hAnsi="宋体" w:cs="宋体"/>
          <w:color w:val="auto"/>
          <w:sz w:val="24"/>
          <w:szCs w:val="24"/>
          <w:highlight w:val="none"/>
        </w:rPr>
      </w:pPr>
      <w:r>
        <w:rPr>
          <w:rFonts w:hint="eastAsia" w:hAnsi="宋体" w:cs="宋体"/>
          <w:color w:val="auto"/>
          <w:sz w:val="24"/>
          <w:szCs w:val="24"/>
          <w:highlight w:val="none"/>
        </w:rPr>
        <w:t>1、货款按实结算，即按实际使用量乘以中标单价按实结算。项目全部完成并通过甲方验收及消防验收合格，并提供相关的资料后30个工作日内支付实际货款总价的95%。货款总价的5%在验收合格一年后支付。</w:t>
      </w:r>
    </w:p>
    <w:p>
      <w:pPr>
        <w:pStyle w:val="7"/>
        <w:spacing w:line="360" w:lineRule="auto"/>
        <w:ind w:firstLine="482" w:firstLineChars="201"/>
        <w:rPr>
          <w:rFonts w:hAnsi="宋体" w:cs="宋体"/>
          <w:b/>
          <w:color w:val="auto"/>
          <w:sz w:val="24"/>
          <w:szCs w:val="24"/>
          <w:highlight w:val="none"/>
        </w:rPr>
      </w:pPr>
      <w:r>
        <w:rPr>
          <w:rFonts w:hint="eastAsia" w:hAnsi="宋体" w:cs="宋体"/>
          <w:color w:val="auto"/>
          <w:sz w:val="24"/>
          <w:szCs w:val="24"/>
          <w:highlight w:val="none"/>
        </w:rPr>
        <w:t>2．当实际使用数量与采购数量不一致时，乙方应根据实际使用量供货，合同的最终结算金额按实际使用量乘以成交单价进行计算。</w:t>
      </w:r>
    </w:p>
    <w:p>
      <w:pPr>
        <w:pStyle w:val="7"/>
        <w:spacing w:line="360" w:lineRule="auto"/>
        <w:ind w:firstLine="484" w:firstLineChars="201"/>
        <w:rPr>
          <w:rFonts w:hAnsi="宋体" w:cs="宋体"/>
          <w:b/>
          <w:bCs/>
          <w:color w:val="auto"/>
          <w:sz w:val="24"/>
          <w:szCs w:val="24"/>
          <w:highlight w:val="none"/>
        </w:rPr>
      </w:pPr>
      <w:r>
        <w:rPr>
          <w:rFonts w:hint="eastAsia" w:hAnsi="宋体" w:cs="宋体"/>
          <w:b/>
          <w:bCs/>
          <w:color w:val="auto"/>
          <w:sz w:val="24"/>
          <w:szCs w:val="24"/>
          <w:highlight w:val="none"/>
        </w:rPr>
        <w:t>七、其他</w:t>
      </w:r>
    </w:p>
    <w:p>
      <w:pPr>
        <w:pStyle w:val="7"/>
        <w:spacing w:line="360" w:lineRule="auto"/>
        <w:ind w:firstLine="482" w:firstLineChars="201"/>
        <w:rPr>
          <w:rFonts w:hAnsi="宋体" w:cs="宋体"/>
          <w:color w:val="auto"/>
          <w:sz w:val="24"/>
          <w:szCs w:val="24"/>
          <w:highlight w:val="none"/>
        </w:rPr>
      </w:pPr>
      <w:r>
        <w:rPr>
          <w:rFonts w:hint="eastAsia" w:hAnsi="宋体" w:cs="宋体"/>
          <w:color w:val="auto"/>
          <w:sz w:val="24"/>
          <w:szCs w:val="24"/>
          <w:highlight w:val="none"/>
        </w:rPr>
        <w:t>1．本合同范围的货物，应由供方直接供应，不得转让他人供应；</w:t>
      </w:r>
    </w:p>
    <w:p>
      <w:pPr>
        <w:pStyle w:val="7"/>
        <w:spacing w:line="360" w:lineRule="auto"/>
        <w:ind w:firstLine="482" w:firstLineChars="201"/>
        <w:rPr>
          <w:rFonts w:hAnsi="宋体" w:cs="宋体"/>
          <w:color w:val="auto"/>
          <w:sz w:val="24"/>
          <w:szCs w:val="24"/>
          <w:highlight w:val="none"/>
        </w:rPr>
      </w:pPr>
      <w:r>
        <w:rPr>
          <w:rFonts w:hint="eastAsia" w:hAnsi="宋体" w:cs="宋体"/>
          <w:color w:val="auto"/>
          <w:sz w:val="24"/>
          <w:szCs w:val="24"/>
          <w:highlight w:val="none"/>
        </w:rPr>
        <w:t>2．供方不得将本合同范围的货物全部或部分分包给他人供应；</w:t>
      </w:r>
    </w:p>
    <w:p>
      <w:pPr>
        <w:pStyle w:val="7"/>
        <w:spacing w:line="360" w:lineRule="auto"/>
        <w:ind w:firstLine="482" w:firstLineChars="201"/>
        <w:rPr>
          <w:rFonts w:hAnsi="宋体" w:cs="宋体"/>
          <w:color w:val="auto"/>
          <w:sz w:val="24"/>
          <w:szCs w:val="24"/>
          <w:highlight w:val="none"/>
        </w:rPr>
      </w:pPr>
      <w:r>
        <w:rPr>
          <w:rFonts w:hint="eastAsia" w:hAnsi="宋体" w:cs="宋体"/>
          <w:color w:val="auto"/>
          <w:sz w:val="24"/>
          <w:szCs w:val="24"/>
          <w:highlight w:val="none"/>
        </w:rPr>
        <w:t>3．如有转让和分包行为，需方将解除合同，并追究供方的违约责任。</w:t>
      </w:r>
    </w:p>
    <w:p>
      <w:pPr>
        <w:pStyle w:val="7"/>
        <w:spacing w:line="360" w:lineRule="auto"/>
        <w:rPr>
          <w:rFonts w:hAnsi="宋体" w:cs="宋体"/>
          <w:color w:val="auto"/>
          <w:sz w:val="24"/>
          <w:szCs w:val="24"/>
          <w:highlight w:val="none"/>
        </w:rPr>
      </w:pPr>
    </w:p>
    <w:p>
      <w:pPr>
        <w:pStyle w:val="7"/>
        <w:spacing w:line="360" w:lineRule="auto"/>
        <w:rPr>
          <w:rFonts w:hAnsi="宋体" w:cs="宋体"/>
          <w:color w:val="auto"/>
          <w:sz w:val="24"/>
          <w:szCs w:val="24"/>
          <w:highlight w:val="none"/>
        </w:rPr>
      </w:pPr>
    </w:p>
    <w:p>
      <w:pPr>
        <w:pStyle w:val="7"/>
        <w:spacing w:line="360" w:lineRule="auto"/>
        <w:rPr>
          <w:rFonts w:hAnsi="宋体" w:cs="宋体"/>
          <w:color w:val="auto"/>
          <w:sz w:val="24"/>
          <w:szCs w:val="24"/>
          <w:highlight w:val="none"/>
        </w:rPr>
      </w:pPr>
    </w:p>
    <w:p>
      <w:pPr>
        <w:pStyle w:val="7"/>
        <w:spacing w:line="360" w:lineRule="auto"/>
        <w:rPr>
          <w:rFonts w:hAnsi="宋体" w:cs="宋体"/>
          <w:color w:val="auto"/>
          <w:sz w:val="24"/>
          <w:szCs w:val="24"/>
          <w:highlight w:val="none"/>
        </w:rPr>
      </w:pPr>
    </w:p>
    <w:p>
      <w:pPr>
        <w:pStyle w:val="7"/>
        <w:spacing w:line="360" w:lineRule="auto"/>
        <w:rPr>
          <w:rFonts w:hAnsi="宋体" w:cs="宋体"/>
          <w:color w:val="auto"/>
          <w:sz w:val="24"/>
          <w:szCs w:val="24"/>
          <w:highlight w:val="none"/>
        </w:rPr>
      </w:pPr>
    </w:p>
    <w:p>
      <w:pPr>
        <w:pStyle w:val="7"/>
        <w:spacing w:line="360" w:lineRule="auto"/>
        <w:rPr>
          <w:rFonts w:hAnsi="宋体" w:cs="宋体"/>
          <w:color w:val="auto"/>
          <w:sz w:val="24"/>
          <w:szCs w:val="24"/>
          <w:highlight w:val="none"/>
        </w:rPr>
      </w:pPr>
    </w:p>
    <w:p>
      <w:pPr>
        <w:pStyle w:val="7"/>
        <w:spacing w:line="360" w:lineRule="auto"/>
        <w:rPr>
          <w:rFonts w:hAnsi="宋体" w:cs="宋体"/>
          <w:color w:val="auto"/>
          <w:sz w:val="24"/>
          <w:szCs w:val="24"/>
          <w:highlight w:val="none"/>
        </w:rPr>
      </w:pPr>
    </w:p>
    <w:p>
      <w:pPr>
        <w:pStyle w:val="7"/>
        <w:spacing w:line="360" w:lineRule="auto"/>
        <w:rPr>
          <w:rFonts w:hAnsi="宋体" w:cs="宋体"/>
          <w:color w:val="auto"/>
          <w:sz w:val="24"/>
          <w:szCs w:val="24"/>
          <w:highlight w:val="none"/>
        </w:rPr>
      </w:pPr>
    </w:p>
    <w:p>
      <w:pPr>
        <w:pStyle w:val="7"/>
        <w:spacing w:line="360" w:lineRule="auto"/>
        <w:rPr>
          <w:rFonts w:hAnsi="宋体" w:cs="宋体"/>
          <w:color w:val="auto"/>
          <w:sz w:val="24"/>
          <w:szCs w:val="24"/>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第四章   投标文件要求</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一、对投标文件的要求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sz w:val="24"/>
          <w:szCs w:val="21"/>
          <w:highlight w:val="none"/>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sz w:val="24"/>
          <w:szCs w:val="21"/>
          <w:highlight w:val="none"/>
        </w:rPr>
      </w:pPr>
      <w:r>
        <w:rPr>
          <w:rFonts w:hint="eastAsia" w:ascii="宋体" w:hAnsi="宋体" w:cs="宋体"/>
          <w:color w:val="auto"/>
          <w:sz w:val="24"/>
          <w:szCs w:val="21"/>
          <w:highlight w:val="none"/>
        </w:rPr>
        <w:t>2．在招标文件对技术要求中，投标人必须充分应答和满足用户的强制性的需求，如“★”等，否则将导致废标。</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二、投标文件的组成</w:t>
      </w:r>
    </w:p>
    <w:p>
      <w:pPr>
        <w:widowControl/>
        <w:spacing w:line="420" w:lineRule="atLeast"/>
        <w:ind w:firstLine="48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递交的投标文件应分为技术标和商务标，技术标为除商务报价外的所有内容，且技术标和商务标分开制作，并单独密封包装。技术标（含资信与服务）不得含商务报价，否则作无效标处理。</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w:t>
      </w:r>
    </w:p>
    <w:p>
      <w:pPr>
        <w:pStyle w:val="7"/>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应包括下列内容（包含但不仅限于以下）并应按顺序装订成册(复印件需加盖单位公章，提供的所有证书应在有效期内)</w:t>
      </w:r>
    </w:p>
    <w:p>
      <w:pPr>
        <w:pStyle w:val="7"/>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（1）营业执照副本（复印件加盖公章）；组织机构代码证副本（复印件加盖公章）、税务登记证副本（复印件加盖公章）；</w:t>
      </w:r>
    </w:p>
    <w:p>
      <w:pPr>
        <w:pStyle w:val="7"/>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（2）法人资格证明或法人代表授权书；</w:t>
      </w:r>
    </w:p>
    <w:p>
      <w:pPr>
        <w:pStyle w:val="7"/>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（3）法定代表人或授权代表的身份证（复印件）；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sz w:val="24"/>
          <w:szCs w:val="24"/>
          <w:highlight w:val="none"/>
        </w:rPr>
        <w:t>投标人具备消防设施工程专业承包二级及以上资质；</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（5）公司业绩：尤其是大型企事业单位、医院的类似的服务，提供合同复印件；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（6）对本次采购货物及供货服务的具体方案，包括供货方案、服务团队、常驻联系人等；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（7）产品质量保证措施、产品的质量保证承诺；售前、售后服务内容和服务承诺。</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（8）投标人能够给予招标人的其他优惠条件；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hint="eastAsia" w:ascii="宋体" w:hAnsi="宋体" w:cs="宋体"/>
          <w:color w:val="auto"/>
          <w:sz w:val="24"/>
          <w:szCs w:val="24"/>
          <w:highlight w:val="none"/>
        </w:rPr>
        <w:t>招标项目中各类气瓶和对应阀门的单价（单独放在技术标书中，作为优惠条件评分参考内容）报价单格式可以参考附件七</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（10）各种能体现投标人实力的响应内容或有利于招标人的各种承诺等；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（11）若有技术偏离，详细列明技术偏离部分；</w:t>
      </w:r>
      <w:r>
        <w:rPr>
          <w:rFonts w:hint="eastAsia" w:ascii="宋体" w:hAnsi="宋体" w:cs="宋体"/>
          <w:b/>
          <w:color w:val="auto"/>
          <w:kern w:val="0"/>
          <w:sz w:val="24"/>
          <w:szCs w:val="24"/>
          <w:highlight w:val="none"/>
        </w:rPr>
        <w:t>（选填）</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（1）投标函（附件三）</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（2）报价一览表（附件五）</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（3）投标报价明细表（附件六）</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三、投标报价要求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1．投标均以人民币报价。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报价包括货物价款、途中运输费、装卸费、保险费、利润、税金、完成本项目的其它费用和政策性文件规定及合同包含的所有风险、责任等各项应有费用，如有漏项，视同已包含在其总项目中，合同总价不予调整。</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3．投标文件报价出现前后不一致的，按照下列规定修正：</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（1）投标文件中开标一览表（报价表）内容与投标文件中相应内容不一致的，以开标一览表（报价表）为准；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（2）大写金额和小写金额不一致的，以大写金额为准；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（3）单价金额小数点或者百分比有明显错位的，以开标一览表的总价为准，并修改单价；</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（4）总价金额与按单价汇总金额不一致的，以单价金额计算结果为准。</w:t>
      </w:r>
    </w:p>
    <w:p>
      <w:pPr>
        <w:pStyle w:val="7"/>
        <w:spacing w:line="420" w:lineRule="atLeas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4．中标后，</w:t>
      </w:r>
      <w:r>
        <w:rPr>
          <w:rFonts w:hint="eastAsia" w:ascii="宋体" w:hAnsi="宋体" w:cs="宋体"/>
          <w:b/>
          <w:color w:val="auto"/>
          <w:kern w:val="0"/>
          <w:sz w:val="24"/>
          <w:szCs w:val="24"/>
          <w:highlight w:val="none"/>
        </w:rPr>
        <w:t>中标人所填写的单价在合同实施期间不因市场变化因素而变动</w:t>
      </w:r>
      <w:r>
        <w:rPr>
          <w:rFonts w:hint="eastAsia" w:ascii="宋体" w:hAnsi="宋体" w:cs="宋体"/>
          <w:color w:val="auto"/>
          <w:kern w:val="0"/>
          <w:sz w:val="24"/>
          <w:szCs w:val="24"/>
          <w:highlight w:val="none"/>
        </w:rPr>
        <w:t>；投标人在计算报价时应考虑一定的风险系数。</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四、投标文件制作要求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文件正本必须用不退色的墨水填写或打印，幅面规格A4并装订成册，副本可用复印件。投标文件须一式2份（正本1份，副本1份），分别加盖“正本”“副本”印章。正本与副本如有差别，以正本为准，责任由投标人自负。</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2．投标文件中不许有加行、涂抹或改写。若修改错漏处，须由法定代表人或其授权代表签字并加盖单位公章方可生效。</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3．投标文件封面应标明“正本”或“副本”字样。</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b/>
          <w:bCs/>
          <w:color w:val="auto"/>
          <w:kern w:val="0"/>
          <w:sz w:val="24"/>
          <w:szCs w:val="24"/>
          <w:highlight w:val="none"/>
        </w:rPr>
        <w:t>技术标和商务标分开制作并单独密封包装，全部投标文件应装入同一密封袋内，封口处应有投标人法定代表人或其授权代表签字并加盖投标单位公章；封面注明招标项目名称和编号，投标人的名称、地址、邮编、传真、联系电话、联系人。</w:t>
      </w:r>
    </w:p>
    <w:p>
      <w:pPr>
        <w:widowControl/>
        <w:spacing w:line="420" w:lineRule="atLeas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五 、投标文件的送达时间 </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1．开标地点即为投标文件的递交地点，招标人在投标截止时间前一小时内接收投标文件。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2．投标截止时间即为开标时间，招标方将拒绝在投标截止时间后收到的投标文件。</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六、投标单位有下列情况之一的，</w:t>
      </w:r>
      <w:r>
        <w:rPr>
          <w:rFonts w:hint="eastAsia" w:ascii="宋体" w:hAnsi="宋体" w:cs="宋体"/>
          <w:b/>
          <w:color w:val="auto"/>
          <w:kern w:val="0"/>
          <w:sz w:val="24"/>
          <w:szCs w:val="24"/>
          <w:highlight w:val="none"/>
          <w:lang w:val="en-GB"/>
        </w:rPr>
        <w:t>其投标将可能被拒绝或作无效投标处理：</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1、未在规定时间内将投标书送达规定地点的。</w:t>
      </w:r>
    </w:p>
    <w:p>
      <w:pPr>
        <w:widowControl/>
        <w:spacing w:line="420" w:lineRule="atLeast"/>
        <w:ind w:firstLine="480"/>
        <w:rPr>
          <w:rFonts w:ascii="宋体" w:hAnsi="宋体" w:cs="宋体"/>
          <w:color w:val="auto"/>
          <w:sz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highlight w:val="none"/>
        </w:rPr>
        <w:t>投标文件未按规定密封的。</w:t>
      </w:r>
    </w:p>
    <w:p>
      <w:pPr>
        <w:widowControl/>
        <w:spacing w:line="420" w:lineRule="atLeast"/>
        <w:ind w:firstLine="480"/>
        <w:rPr>
          <w:rFonts w:ascii="宋体" w:hAnsi="宋体" w:cs="宋体"/>
          <w:color w:val="auto"/>
          <w:sz w:val="24"/>
          <w:highlight w:val="none"/>
        </w:rPr>
      </w:pPr>
      <w:r>
        <w:rPr>
          <w:rFonts w:hint="eastAsia" w:ascii="宋体" w:hAnsi="宋体" w:cs="宋体"/>
          <w:color w:val="auto"/>
          <w:sz w:val="24"/>
          <w:highlight w:val="none"/>
        </w:rPr>
        <w:t>3、投标报价高于预算价或最高限价的。</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4、投标书未按规定密封或未按要求加盖公章或投标文件签署不符合要求的。</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5、投标文件无法人代表签字或签字无法人代表有效委托的。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sz w:val="24"/>
          <w:highlight w:val="none"/>
        </w:rPr>
        <w:t>投标人的投标资格不符合招标文件的资格要求规定</w:t>
      </w:r>
      <w:r>
        <w:rPr>
          <w:rFonts w:hint="eastAsia" w:ascii="宋体" w:hAnsi="宋体" w:cs="宋体"/>
          <w:color w:val="auto"/>
          <w:kern w:val="0"/>
          <w:sz w:val="24"/>
          <w:highlight w:val="none"/>
        </w:rPr>
        <w:t>；未按招标文件规定提供相关文件，如资格说明、身份申明等；超出经营范围投标的。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sz w:val="24"/>
          <w:highlight w:val="none"/>
        </w:rPr>
        <w:t>投标方的所投产品的数量不符合招标文件规定的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8、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r>
        <w:rPr>
          <w:rFonts w:hint="eastAsia" w:ascii="宋体" w:hAnsi="宋体" w:cs="宋体"/>
          <w:color w:val="auto"/>
          <w:kern w:val="0"/>
          <w:sz w:val="24"/>
          <w:highlight w:val="none"/>
        </w:rPr>
        <w:t>投标文件不符合招标文件规定，未按规定格式填写的；或投标文件内容不全或关键字迹模糊、无法辨认的；或投标文件内容自相矛盾的。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10、投标文件中提供伪造、虚假材料的。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w:t>
      </w:r>
      <w:r>
        <w:rPr>
          <w:rFonts w:hint="eastAsia" w:ascii="宋体" w:hAnsi="宋体" w:cs="宋体"/>
          <w:color w:val="auto"/>
          <w:kern w:val="0"/>
          <w:sz w:val="24"/>
          <w:highlight w:val="none"/>
        </w:rPr>
        <w:t>借用或冒用他人名义或证件、涂改文件、伪造或编造投标文件的。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12、对本招标文件中打★号的条款未完全响应的。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13、投标文件附有采购人不能接受的条件。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14、技术标中体现或包含商务报价。</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15、若发现有意串标或提供虚假说明材料者。</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16、评标小组认为技术或商务与招标文件偏离的部分过多，或在实质上不响应招标文件的。</w:t>
      </w:r>
    </w:p>
    <w:p>
      <w:pPr>
        <w:widowControl/>
        <w:spacing w:line="420" w:lineRule="atLeast"/>
        <w:ind w:firstLine="480"/>
        <w:rPr>
          <w:rFonts w:ascii="宋体" w:hAnsi="宋体" w:cs="宋体"/>
          <w:color w:val="auto"/>
          <w:sz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jc w:val="left"/>
        <w:rPr>
          <w:rFonts w:ascii="宋体" w:hAnsi="宋体" w:cs="宋体"/>
          <w:color w:val="auto"/>
          <w:kern w:val="0"/>
          <w:sz w:val="24"/>
          <w:szCs w:val="24"/>
          <w:highlight w:val="none"/>
        </w:rPr>
      </w:pPr>
      <w:r>
        <w:rPr>
          <w:rFonts w:ascii="宋体" w:hAnsi="宋体" w:cs="宋体"/>
          <w:color w:val="auto"/>
          <w:kern w:val="0"/>
          <w:sz w:val="24"/>
          <w:szCs w:val="24"/>
          <w:highlight w:val="none"/>
        </w:rPr>
        <w:br w:type="page"/>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第五章   评标办法</w:t>
      </w:r>
    </w:p>
    <w:p>
      <w:pPr>
        <w:adjustRightInd w:val="0"/>
        <w:snapToGrid w:val="0"/>
        <w:spacing w:line="360" w:lineRule="auto"/>
        <w:ind w:right="1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根据《中华人民共和国政府采购法》和《中华人民共和国招标投标法》的有关规定，为更好地做到公开、公平、公正，结合本次招标的特点，特制定本评标办法。评标小组用综合评分法对招标项目作出评标结论。</w:t>
      </w:r>
    </w:p>
    <w:p>
      <w:pPr>
        <w:pStyle w:val="7"/>
        <w:spacing w:line="360" w:lineRule="auto"/>
        <w:rPr>
          <w:rFonts w:hAnsi="宋体" w:cs="宋体"/>
          <w:b/>
          <w:bCs/>
          <w:color w:val="auto"/>
          <w:sz w:val="24"/>
          <w:szCs w:val="24"/>
          <w:highlight w:val="none"/>
        </w:rPr>
      </w:pPr>
      <w:r>
        <w:rPr>
          <w:rFonts w:hint="eastAsia" w:hAnsi="宋体" w:cs="宋体"/>
          <w:b/>
          <w:bCs/>
          <w:color w:val="auto"/>
          <w:sz w:val="24"/>
          <w:szCs w:val="24"/>
          <w:highlight w:val="none"/>
        </w:rPr>
        <w:t>一、评审办法</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pPr>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每个投标人最终得分=商务报价分+技术分</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评标委员会推荐得分最高的投标人为第一中标候选人、得分次高的投标人为第二中标候选人（如果得分相同，则按投标人报价从低到高顺序推荐为中标候选人；如果投标报价也相同，则抽签决定），并编写评标报告。</w:t>
      </w:r>
    </w:p>
    <w:p>
      <w:pPr>
        <w:adjustRightInd w:val="0"/>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1、技术评审（总分</w:t>
      </w:r>
      <w:r>
        <w:rPr>
          <w:rFonts w:ascii="宋体" w:hAnsi="宋体" w:cs="宋体"/>
          <w:b/>
          <w:color w:val="auto"/>
          <w:sz w:val="24"/>
          <w:szCs w:val="24"/>
          <w:highlight w:val="none"/>
        </w:rPr>
        <w:t>70</w:t>
      </w:r>
      <w:r>
        <w:rPr>
          <w:rFonts w:hint="eastAsia" w:ascii="宋体" w:hAnsi="宋体" w:cs="宋体"/>
          <w:b/>
          <w:color w:val="auto"/>
          <w:sz w:val="24"/>
          <w:szCs w:val="24"/>
          <w:highlight w:val="none"/>
        </w:rPr>
        <w:t>分）</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由评标专家负责对投标文件的技术部分采用记名方式各自评分。投标人的最终技术部分的得分为全体评标专家评分的算术平均值。如某一份评分表中某一项评分，超过评分细则所规定的分值范围，则该张打分表无效。</w:t>
      </w:r>
    </w:p>
    <w:tbl>
      <w:tblPr>
        <w:tblStyle w:val="16"/>
        <w:tblW w:w="9379"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6767"/>
        <w:gridCol w:w="8"/>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381" w:type="dxa"/>
            <w:gridSpan w:val="3"/>
            <w:vAlign w:val="center"/>
          </w:tcPr>
          <w:p>
            <w:pPr>
              <w:snapToGrid w:val="0"/>
              <w:ind w:firstLine="482"/>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评分标准</w:t>
            </w:r>
          </w:p>
        </w:tc>
        <w:tc>
          <w:tcPr>
            <w:tcW w:w="998" w:type="dxa"/>
            <w:vAlign w:val="center"/>
          </w:tcPr>
          <w:p>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6" w:type="dxa"/>
            <w:vAlign w:val="center"/>
          </w:tcPr>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业绩</w:t>
            </w:r>
          </w:p>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分）</w:t>
            </w:r>
          </w:p>
        </w:tc>
        <w:tc>
          <w:tcPr>
            <w:tcW w:w="6767" w:type="dxa"/>
            <w:vAlign w:val="center"/>
          </w:tcPr>
          <w:p>
            <w:pPr>
              <w:snapToGrid w:val="0"/>
              <w:rPr>
                <w:rFonts w:ascii="宋体" w:hAnsi="宋体" w:cs="宋体"/>
                <w:color w:val="auto"/>
                <w:sz w:val="24"/>
                <w:szCs w:val="24"/>
                <w:highlight w:val="none"/>
              </w:rPr>
            </w:pPr>
            <w:r>
              <w:rPr>
                <w:rFonts w:hAnsi="宋体" w:cs="Tahoma"/>
                <w:color w:val="auto"/>
                <w:sz w:val="24"/>
                <w:szCs w:val="24"/>
                <w:highlight w:val="none"/>
              </w:rPr>
              <w:t>投标人提供2020年</w:t>
            </w:r>
            <w:r>
              <w:rPr>
                <w:rFonts w:hint="eastAsia" w:hAnsi="宋体" w:cs="Tahoma"/>
                <w:color w:val="auto"/>
                <w:sz w:val="24"/>
                <w:szCs w:val="24"/>
                <w:highlight w:val="none"/>
              </w:rPr>
              <w:t>11</w:t>
            </w:r>
            <w:r>
              <w:rPr>
                <w:rFonts w:hAnsi="宋体" w:cs="Tahoma"/>
                <w:color w:val="auto"/>
                <w:sz w:val="24"/>
                <w:szCs w:val="24"/>
                <w:highlight w:val="none"/>
              </w:rPr>
              <w:t>月1日至今的</w:t>
            </w:r>
            <w:r>
              <w:rPr>
                <w:rFonts w:hint="eastAsia" w:hAnsi="宋体" w:cs="Tahoma"/>
                <w:color w:val="auto"/>
                <w:sz w:val="24"/>
                <w:szCs w:val="24"/>
                <w:highlight w:val="none"/>
              </w:rPr>
              <w:t>灭火系统气瓶检测及气体充装</w:t>
            </w:r>
            <w:r>
              <w:rPr>
                <w:rFonts w:hint="eastAsia" w:hAnsi="宋体" w:cs="Tahoma"/>
                <w:color w:val="auto"/>
                <w:sz w:val="24"/>
                <w:szCs w:val="24"/>
                <w:highlight w:val="none"/>
                <w:lang w:val="en-US" w:eastAsia="zh-CN"/>
              </w:rPr>
              <w:t>相关</w:t>
            </w:r>
            <w:r>
              <w:rPr>
                <w:rFonts w:hAnsi="宋体" w:cs="Tahoma"/>
                <w:color w:val="auto"/>
                <w:sz w:val="24"/>
                <w:szCs w:val="24"/>
                <w:highlight w:val="none"/>
              </w:rPr>
              <w:t>业绩</w:t>
            </w:r>
            <w:r>
              <w:rPr>
                <w:rFonts w:hint="eastAsia" w:hAnsi="宋体" w:cs="Tahoma"/>
                <w:color w:val="auto"/>
                <w:sz w:val="24"/>
                <w:szCs w:val="24"/>
                <w:highlight w:val="none"/>
              </w:rPr>
              <w:t>，</w:t>
            </w:r>
            <w:r>
              <w:rPr>
                <w:rFonts w:hAnsi="宋体" w:cs="Tahoma"/>
                <w:color w:val="auto"/>
                <w:sz w:val="24"/>
                <w:szCs w:val="24"/>
                <w:highlight w:val="none"/>
              </w:rPr>
              <w:t>每个</w:t>
            </w:r>
            <w:r>
              <w:rPr>
                <w:rFonts w:hint="eastAsia" w:hAnsi="宋体" w:cs="Tahoma"/>
                <w:color w:val="auto"/>
                <w:sz w:val="24"/>
                <w:szCs w:val="24"/>
                <w:highlight w:val="none"/>
              </w:rPr>
              <w:t>业绩</w:t>
            </w:r>
            <w:r>
              <w:rPr>
                <w:rFonts w:hAnsi="宋体" w:cs="Tahoma"/>
                <w:color w:val="auto"/>
                <w:sz w:val="24"/>
                <w:szCs w:val="24"/>
                <w:highlight w:val="none"/>
              </w:rPr>
              <w:t>得1分，最高5分</w:t>
            </w:r>
            <w:r>
              <w:rPr>
                <w:rFonts w:hint="eastAsia" w:hAnsi="宋体" w:cs="Tahoma"/>
                <w:color w:val="auto"/>
                <w:sz w:val="24"/>
                <w:szCs w:val="24"/>
                <w:highlight w:val="none"/>
              </w:rPr>
              <w:t>。</w:t>
            </w:r>
            <w:r>
              <w:rPr>
                <w:rFonts w:hint="eastAsia" w:hAnsi="宋体" w:cs="Tahoma"/>
                <w:color w:val="auto"/>
                <w:sz w:val="24"/>
                <w:szCs w:val="24"/>
                <w:highlight w:val="none"/>
              </w:rPr>
              <w:br w:type="textWrapping"/>
            </w:r>
            <w:r>
              <w:rPr>
                <w:rFonts w:hint="eastAsia" w:hAnsi="宋体" w:cs="Tahoma"/>
                <w:color w:val="auto"/>
                <w:sz w:val="24"/>
                <w:szCs w:val="24"/>
                <w:highlight w:val="none"/>
              </w:rPr>
              <w:t>注：提供</w:t>
            </w:r>
            <w:r>
              <w:rPr>
                <w:rFonts w:hAnsi="宋体" w:cs="Tahoma"/>
                <w:color w:val="auto"/>
                <w:sz w:val="24"/>
                <w:szCs w:val="24"/>
                <w:highlight w:val="none"/>
              </w:rPr>
              <w:t>合同</w:t>
            </w:r>
            <w:r>
              <w:rPr>
                <w:rFonts w:hint="eastAsia" w:hAnsi="宋体" w:cs="Tahoma"/>
                <w:color w:val="auto"/>
                <w:sz w:val="24"/>
                <w:szCs w:val="24"/>
                <w:highlight w:val="none"/>
              </w:rPr>
              <w:t>复印件</w:t>
            </w:r>
            <w:r>
              <w:rPr>
                <w:rFonts w:hAnsi="宋体" w:cs="Tahoma"/>
                <w:color w:val="auto"/>
                <w:sz w:val="24"/>
                <w:szCs w:val="24"/>
                <w:highlight w:val="none"/>
              </w:rPr>
              <w:t>及检验报告复印件</w:t>
            </w:r>
            <w:r>
              <w:rPr>
                <w:rFonts w:hint="eastAsia" w:hAnsi="宋体" w:cs="Tahoma"/>
                <w:color w:val="auto"/>
                <w:sz w:val="24"/>
                <w:szCs w:val="24"/>
                <w:highlight w:val="none"/>
              </w:rPr>
              <w:t>，不提供不得分。</w:t>
            </w:r>
          </w:p>
        </w:tc>
        <w:tc>
          <w:tcPr>
            <w:tcW w:w="1006" w:type="dxa"/>
            <w:gridSpan w:val="2"/>
            <w:vAlign w:val="center"/>
          </w:tcPr>
          <w:p>
            <w:pPr>
              <w:snapToGrid w:val="0"/>
              <w:jc w:val="center"/>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6" w:type="dxa"/>
            <w:vAlign w:val="center"/>
          </w:tcPr>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质量体系</w:t>
            </w:r>
          </w:p>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（3分）</w:t>
            </w:r>
          </w:p>
        </w:tc>
        <w:tc>
          <w:tcPr>
            <w:tcW w:w="6767" w:type="dxa"/>
            <w:vAlign w:val="center"/>
          </w:tcPr>
          <w:p>
            <w:pPr>
              <w:snapToGrid w:val="0"/>
              <w:rPr>
                <w:rFonts w:ascii="宋体" w:hAnsi="宋体" w:cs="宋体"/>
                <w:color w:val="auto"/>
                <w:sz w:val="24"/>
                <w:szCs w:val="24"/>
                <w:highlight w:val="none"/>
              </w:rPr>
            </w:pPr>
            <w:r>
              <w:rPr>
                <w:rFonts w:hAnsi="宋体" w:cs="Tahoma"/>
                <w:color w:val="auto"/>
                <w:sz w:val="24"/>
                <w:szCs w:val="24"/>
                <w:highlight w:val="none"/>
              </w:rPr>
              <w:t>投标人通过</w:t>
            </w:r>
            <w:r>
              <w:rPr>
                <w:rFonts w:hint="eastAsia" w:hAnsi="宋体" w:cs="Tahoma"/>
                <w:color w:val="auto"/>
                <w:sz w:val="24"/>
                <w:szCs w:val="24"/>
                <w:highlight w:val="none"/>
              </w:rPr>
              <w:t>国家</w:t>
            </w:r>
            <w:r>
              <w:rPr>
                <w:rFonts w:hAnsi="宋体" w:cs="Tahoma"/>
                <w:color w:val="auto"/>
                <w:sz w:val="24"/>
                <w:szCs w:val="24"/>
                <w:highlight w:val="none"/>
              </w:rPr>
              <w:t>官方认证</w:t>
            </w:r>
            <w:r>
              <w:rPr>
                <w:rFonts w:hint="eastAsia" w:hAnsi="宋体" w:cs="Tahoma"/>
                <w:color w:val="auto"/>
                <w:sz w:val="24"/>
                <w:szCs w:val="24"/>
                <w:highlight w:val="none"/>
              </w:rPr>
              <w:t>机构</w:t>
            </w:r>
            <w:r>
              <w:rPr>
                <w:rFonts w:hAnsi="宋体" w:cs="Tahoma"/>
                <w:color w:val="auto"/>
                <w:sz w:val="24"/>
                <w:szCs w:val="24"/>
                <w:highlight w:val="none"/>
              </w:rPr>
              <w:t>颁发的ISO9001质量管理体系、ISO14001环境管理体系、GB/T28001-2001职业健康安全管理体系认证，拥有一项证书得1分，最高3分，提供证书复印件</w:t>
            </w:r>
            <w:r>
              <w:rPr>
                <w:rFonts w:hint="eastAsia" w:hAnsi="宋体" w:cs="Tahoma"/>
                <w:color w:val="auto"/>
                <w:sz w:val="24"/>
                <w:szCs w:val="24"/>
                <w:highlight w:val="none"/>
              </w:rPr>
              <w:t>。</w:t>
            </w:r>
          </w:p>
        </w:tc>
        <w:tc>
          <w:tcPr>
            <w:tcW w:w="1006" w:type="dxa"/>
            <w:gridSpan w:val="2"/>
            <w:vAlign w:val="center"/>
          </w:tcPr>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606" w:type="dxa"/>
            <w:vMerge w:val="restart"/>
            <w:vAlign w:val="center"/>
          </w:tcPr>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检测能力</w:t>
            </w:r>
          </w:p>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10</w:t>
            </w:r>
            <w:r>
              <w:rPr>
                <w:rFonts w:hint="eastAsia" w:ascii="宋体" w:hAnsi="宋体" w:cs="宋体"/>
                <w:color w:val="auto"/>
                <w:sz w:val="24"/>
                <w:szCs w:val="24"/>
                <w:highlight w:val="none"/>
              </w:rPr>
              <w:t>分）</w:t>
            </w:r>
          </w:p>
        </w:tc>
        <w:tc>
          <w:tcPr>
            <w:tcW w:w="6767" w:type="dxa"/>
            <w:vAlign w:val="center"/>
          </w:tcPr>
          <w:p>
            <w:pPr>
              <w:snapToGrid w:val="0"/>
              <w:rPr>
                <w:color w:val="auto"/>
                <w:sz w:val="24"/>
                <w:szCs w:val="24"/>
                <w:highlight w:val="none"/>
              </w:rPr>
            </w:pPr>
            <w:r>
              <w:rPr>
                <w:color w:val="auto"/>
                <w:sz w:val="24"/>
                <w:szCs w:val="24"/>
                <w:highlight w:val="none"/>
              </w:rPr>
              <w:t>投标人具备定期检测的能力，持有市场监督管理部门（或质量技术监督部门）颁发的特种设备检验检测机构核准证（气瓶检验机构），检测范围含PD2类型气瓶检测，得5分，需提供</w:t>
            </w:r>
            <w:r>
              <w:rPr>
                <w:rFonts w:hint="eastAsia"/>
                <w:color w:val="auto"/>
                <w:sz w:val="24"/>
                <w:szCs w:val="24"/>
                <w:highlight w:val="none"/>
              </w:rPr>
              <w:t>证书复印件</w:t>
            </w:r>
            <w:r>
              <w:rPr>
                <w:color w:val="auto"/>
                <w:sz w:val="24"/>
                <w:szCs w:val="24"/>
                <w:highlight w:val="none"/>
              </w:rPr>
              <w:t>。</w:t>
            </w:r>
          </w:p>
        </w:tc>
        <w:tc>
          <w:tcPr>
            <w:tcW w:w="1006" w:type="dxa"/>
            <w:gridSpan w:val="2"/>
            <w:vAlign w:val="center"/>
          </w:tcPr>
          <w:p>
            <w:pPr>
              <w:snapToGrid w:val="0"/>
              <w:jc w:val="center"/>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06" w:type="dxa"/>
            <w:vMerge w:val="continue"/>
            <w:vAlign w:val="center"/>
          </w:tcPr>
          <w:p>
            <w:pPr>
              <w:snapToGrid w:val="0"/>
              <w:jc w:val="center"/>
              <w:rPr>
                <w:rFonts w:ascii="宋体" w:hAnsi="宋体" w:cs="宋体"/>
                <w:color w:val="auto"/>
                <w:sz w:val="24"/>
                <w:szCs w:val="24"/>
                <w:highlight w:val="none"/>
              </w:rPr>
            </w:pPr>
          </w:p>
        </w:tc>
        <w:tc>
          <w:tcPr>
            <w:tcW w:w="6767" w:type="dxa"/>
          </w:tcPr>
          <w:p>
            <w:pPr>
              <w:snapToGrid w:val="0"/>
              <w:jc w:val="left"/>
              <w:rPr>
                <w:rFonts w:hAnsi="宋体" w:cs="Tahoma"/>
                <w:color w:val="auto"/>
                <w:sz w:val="24"/>
                <w:szCs w:val="24"/>
                <w:highlight w:val="none"/>
              </w:rPr>
            </w:pPr>
            <w:r>
              <w:rPr>
                <w:rFonts w:hint="eastAsia" w:hAnsi="宋体" w:cs="Tahoma"/>
                <w:color w:val="auto"/>
                <w:sz w:val="24"/>
                <w:szCs w:val="24"/>
                <w:highlight w:val="none"/>
                <w:lang w:val="en-US" w:eastAsia="zh-CN"/>
              </w:rPr>
              <w:t>根据</w:t>
            </w:r>
            <w:r>
              <w:rPr>
                <w:rFonts w:hint="eastAsia" w:hAnsi="宋体" w:cs="Tahoma"/>
                <w:color w:val="auto"/>
                <w:sz w:val="24"/>
                <w:szCs w:val="24"/>
                <w:highlight w:val="none"/>
              </w:rPr>
              <w:t>投标人</w:t>
            </w:r>
            <w:r>
              <w:rPr>
                <w:rFonts w:hint="eastAsia" w:hAnsi="宋体" w:cs="Tahoma"/>
                <w:color w:val="auto"/>
                <w:sz w:val="24"/>
                <w:szCs w:val="24"/>
                <w:highlight w:val="none"/>
                <w:lang w:val="en-US" w:eastAsia="zh-CN"/>
              </w:rPr>
              <w:t>提供</w:t>
            </w:r>
            <w:r>
              <w:rPr>
                <w:rFonts w:hint="eastAsia" w:hAnsi="宋体" w:cs="Tahoma"/>
                <w:color w:val="auto"/>
                <w:sz w:val="24"/>
                <w:szCs w:val="24"/>
                <w:highlight w:val="none"/>
              </w:rPr>
              <w:t>的检测设施及设备</w:t>
            </w:r>
            <w:r>
              <w:rPr>
                <w:rFonts w:hint="eastAsia" w:hAnsi="宋体" w:cs="Tahoma"/>
                <w:color w:val="auto"/>
                <w:sz w:val="24"/>
                <w:szCs w:val="24"/>
                <w:highlight w:val="none"/>
                <w:lang w:val="en-US" w:eastAsia="zh-CN"/>
              </w:rPr>
              <w:t>进行评价</w:t>
            </w:r>
            <w:r>
              <w:rPr>
                <w:rFonts w:hint="eastAsia" w:hAnsi="宋体" w:cs="Tahoma"/>
                <w:color w:val="auto"/>
                <w:sz w:val="24"/>
                <w:szCs w:val="24"/>
                <w:highlight w:val="none"/>
              </w:rPr>
              <w:t>，提供</w:t>
            </w:r>
            <w:r>
              <w:rPr>
                <w:rFonts w:hint="eastAsia" w:hAnsi="宋体" w:cs="Tahoma"/>
                <w:color w:val="auto"/>
                <w:sz w:val="24"/>
                <w:szCs w:val="24"/>
                <w:highlight w:val="none"/>
                <w:lang w:val="en-US" w:eastAsia="zh-CN"/>
              </w:rPr>
              <w:t>设备采购合同或发票，以及</w:t>
            </w:r>
            <w:r>
              <w:rPr>
                <w:rFonts w:hint="eastAsia" w:hAnsi="宋体" w:cs="Tahoma"/>
                <w:color w:val="auto"/>
                <w:sz w:val="24"/>
                <w:szCs w:val="24"/>
                <w:highlight w:val="none"/>
              </w:rPr>
              <w:t>实景照片</w:t>
            </w:r>
            <w:r>
              <w:rPr>
                <w:rFonts w:hint="eastAsia" w:hAnsi="宋体" w:cs="Tahoma"/>
                <w:color w:val="auto"/>
                <w:sz w:val="24"/>
                <w:szCs w:val="24"/>
                <w:highlight w:val="none"/>
                <w:lang w:eastAsia="zh-CN"/>
              </w:rPr>
              <w:t>。</w:t>
            </w:r>
            <w:r>
              <w:rPr>
                <w:rFonts w:hint="eastAsia" w:hAnsi="宋体" w:cs="Tahoma"/>
                <w:color w:val="auto"/>
                <w:sz w:val="24"/>
                <w:szCs w:val="24"/>
                <w:highlight w:val="none"/>
                <w:lang w:val="en-US" w:eastAsia="zh-CN"/>
              </w:rPr>
              <w:t>5</w:t>
            </w:r>
            <w:r>
              <w:rPr>
                <w:rFonts w:hint="eastAsia" w:hAnsi="宋体" w:cs="Tahoma"/>
                <w:color w:val="auto"/>
                <w:sz w:val="24"/>
                <w:szCs w:val="24"/>
                <w:highlight w:val="none"/>
              </w:rPr>
              <w:t>分</w:t>
            </w:r>
          </w:p>
        </w:tc>
        <w:tc>
          <w:tcPr>
            <w:tcW w:w="1006" w:type="dxa"/>
            <w:gridSpan w:val="2"/>
            <w:vAlign w:val="center"/>
          </w:tcPr>
          <w:p>
            <w:pPr>
              <w:snapToGrid w:val="0"/>
              <w:ind w:left="-69" w:leftChars="-33" w:firstLine="2"/>
              <w:jc w:val="center"/>
              <w:rPr>
                <w:rFonts w:hAnsi="宋体" w:cs="Tahoma"/>
                <w:color w:val="auto"/>
                <w:sz w:val="24"/>
                <w:szCs w:val="24"/>
                <w:highlight w:val="none"/>
              </w:rPr>
            </w:pPr>
            <w:r>
              <w:rPr>
                <w:rFonts w:hAnsi="宋体" w:cs="Tahoma"/>
                <w:color w:val="auto"/>
                <w:sz w:val="24"/>
                <w:szCs w:val="24"/>
                <w:highlight w:val="none"/>
              </w:rPr>
              <w:t>5</w:t>
            </w:r>
            <w:r>
              <w:rPr>
                <w:rFonts w:hint="eastAsia" w:hAnsi="宋体" w:cs="Tahom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06" w:type="dxa"/>
            <w:vAlign w:val="center"/>
          </w:tcPr>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人员配置</w:t>
            </w:r>
          </w:p>
          <w:p>
            <w:pPr>
              <w:pStyle w:val="2"/>
              <w:rPr>
                <w:b w:val="0"/>
                <w:color w:val="auto"/>
                <w:highlight w:val="none"/>
              </w:rPr>
            </w:pPr>
            <w:r>
              <w:rPr>
                <w:rFonts w:hint="eastAsia" w:ascii="宋体" w:hAnsi="宋体" w:eastAsia="宋体" w:cs="宋体"/>
                <w:b w:val="0"/>
                <w:bCs w:val="0"/>
                <w:color w:val="auto"/>
                <w:kern w:val="2"/>
                <w:sz w:val="24"/>
                <w:szCs w:val="24"/>
                <w:highlight w:val="none"/>
                <w:lang w:val="en-US" w:eastAsia="zh-CN" w:bidi="ar-SA"/>
              </w:rPr>
              <w:t>（18分）</w:t>
            </w:r>
          </w:p>
        </w:tc>
        <w:tc>
          <w:tcPr>
            <w:tcW w:w="6767" w:type="dxa"/>
            <w:vAlign w:val="center"/>
          </w:tcPr>
          <w:p>
            <w:pPr>
              <w:snapToGrid w:val="0"/>
              <w:rPr>
                <w:rFonts w:hAnsi="宋体" w:cs="Tahoma"/>
                <w:color w:val="auto"/>
                <w:sz w:val="24"/>
                <w:szCs w:val="24"/>
                <w:highlight w:val="none"/>
              </w:rPr>
            </w:pPr>
            <w:r>
              <w:rPr>
                <w:rFonts w:hint="eastAsia" w:hAnsi="宋体" w:cs="Tahoma"/>
                <w:color w:val="auto"/>
                <w:sz w:val="24"/>
                <w:szCs w:val="24"/>
                <w:highlight w:val="none"/>
              </w:rPr>
              <w:t>根据投标人派驻现场的项目经理和施工人员的专业配置进行评价。</w:t>
            </w:r>
          </w:p>
          <w:p>
            <w:pPr>
              <w:numPr>
                <w:ilvl w:val="0"/>
                <w:numId w:val="3"/>
              </w:numPr>
              <w:snapToGrid w:val="0"/>
              <w:rPr>
                <w:rFonts w:hAnsi="宋体" w:cs="Tahoma"/>
                <w:color w:val="auto"/>
                <w:sz w:val="24"/>
                <w:szCs w:val="24"/>
                <w:highlight w:val="none"/>
              </w:rPr>
            </w:pPr>
            <w:r>
              <w:rPr>
                <w:rFonts w:hint="eastAsia" w:hAnsi="宋体" w:cs="Tahoma"/>
                <w:color w:val="auto"/>
                <w:sz w:val="24"/>
                <w:szCs w:val="24"/>
                <w:highlight w:val="none"/>
                <w:lang w:val="en-US" w:eastAsia="zh-CN"/>
              </w:rPr>
              <w:t>现场</w:t>
            </w:r>
            <w:r>
              <w:rPr>
                <w:rFonts w:hint="eastAsia" w:hAnsi="宋体" w:cs="Tahoma"/>
                <w:color w:val="auto"/>
                <w:sz w:val="24"/>
                <w:szCs w:val="24"/>
                <w:highlight w:val="none"/>
              </w:rPr>
              <w:t>施工人员有技术水平和工作经验并有中级建构筑消防员证，在4名的基础上，每多一名，得</w:t>
            </w:r>
            <w:r>
              <w:rPr>
                <w:rFonts w:hAnsi="宋体" w:cs="Tahoma"/>
                <w:color w:val="auto"/>
                <w:sz w:val="24"/>
                <w:szCs w:val="24"/>
                <w:highlight w:val="none"/>
              </w:rPr>
              <w:t>0.5</w:t>
            </w:r>
            <w:r>
              <w:rPr>
                <w:rFonts w:hint="eastAsia" w:hAnsi="宋体" w:cs="Tahoma"/>
                <w:color w:val="auto"/>
                <w:sz w:val="24"/>
                <w:szCs w:val="24"/>
                <w:highlight w:val="none"/>
              </w:rPr>
              <w:t>分，最高得</w:t>
            </w:r>
            <w:r>
              <w:rPr>
                <w:rFonts w:hAnsi="宋体" w:cs="Tahoma"/>
                <w:color w:val="auto"/>
                <w:sz w:val="24"/>
                <w:szCs w:val="24"/>
                <w:highlight w:val="none"/>
              </w:rPr>
              <w:t>3</w:t>
            </w:r>
            <w:r>
              <w:rPr>
                <w:rFonts w:hint="eastAsia" w:hAnsi="宋体" w:cs="Tahoma"/>
                <w:color w:val="auto"/>
                <w:sz w:val="24"/>
                <w:szCs w:val="24"/>
                <w:highlight w:val="none"/>
              </w:rPr>
              <w:t>分。</w:t>
            </w:r>
          </w:p>
          <w:p>
            <w:pPr>
              <w:numPr>
                <w:ilvl w:val="0"/>
                <w:numId w:val="3"/>
              </w:numPr>
              <w:snapToGrid w:val="0"/>
              <w:rPr>
                <w:color w:val="auto"/>
                <w:highlight w:val="none"/>
              </w:rPr>
            </w:pPr>
            <w:r>
              <w:rPr>
                <w:rFonts w:hint="eastAsia" w:hAnsi="宋体" w:cs="Tahoma"/>
                <w:color w:val="auto"/>
                <w:sz w:val="24"/>
                <w:szCs w:val="24"/>
                <w:highlight w:val="none"/>
                <w:lang w:val="en-US" w:eastAsia="zh-CN"/>
              </w:rPr>
              <w:t>气体钢瓶</w:t>
            </w:r>
            <w:r>
              <w:rPr>
                <w:rFonts w:hint="eastAsia" w:hAnsi="宋体" w:cs="Tahoma"/>
                <w:color w:val="auto"/>
                <w:sz w:val="24"/>
                <w:szCs w:val="24"/>
                <w:highlight w:val="none"/>
              </w:rPr>
              <w:t>检测人员持有特种设备检验资格证书（气瓶QP-1）</w:t>
            </w:r>
            <w:r>
              <w:rPr>
                <w:rFonts w:hint="eastAsia" w:hAnsi="宋体" w:cs="Tahoma"/>
                <w:color w:val="auto"/>
                <w:sz w:val="24"/>
                <w:szCs w:val="24"/>
                <w:highlight w:val="none"/>
                <w:lang w:eastAsia="zh-CN"/>
              </w:rPr>
              <w:t>，</w:t>
            </w:r>
            <w:r>
              <w:rPr>
                <w:rFonts w:hint="eastAsia" w:hAnsi="宋体" w:cs="Tahoma"/>
                <w:color w:val="auto"/>
                <w:sz w:val="24"/>
                <w:szCs w:val="24"/>
                <w:highlight w:val="none"/>
                <w:lang w:val="en-US" w:eastAsia="zh-CN"/>
              </w:rPr>
              <w:t>每提供一个得1分，最高5分。</w:t>
            </w:r>
          </w:p>
          <w:p>
            <w:pPr>
              <w:numPr>
                <w:ilvl w:val="0"/>
                <w:numId w:val="3"/>
              </w:numPr>
              <w:snapToGrid w:val="0"/>
              <w:rPr>
                <w:rFonts w:hAnsi="宋体" w:cs="Tahoma"/>
                <w:color w:val="auto"/>
                <w:sz w:val="24"/>
                <w:szCs w:val="24"/>
                <w:highlight w:val="none"/>
              </w:rPr>
            </w:pPr>
            <w:r>
              <w:rPr>
                <w:rFonts w:hint="eastAsia" w:hAnsi="宋体" w:cs="Tahoma"/>
                <w:color w:val="auto"/>
                <w:sz w:val="24"/>
                <w:szCs w:val="24"/>
                <w:highlight w:val="none"/>
              </w:rPr>
              <w:t>项目经理有消防工程师证的得</w:t>
            </w:r>
            <w:r>
              <w:rPr>
                <w:rFonts w:hAnsi="宋体" w:cs="Tahoma"/>
                <w:color w:val="auto"/>
                <w:sz w:val="24"/>
                <w:szCs w:val="24"/>
                <w:highlight w:val="none"/>
              </w:rPr>
              <w:t>2</w:t>
            </w:r>
            <w:r>
              <w:rPr>
                <w:rFonts w:hint="eastAsia" w:hAnsi="宋体" w:cs="Tahoma"/>
                <w:color w:val="auto"/>
                <w:sz w:val="24"/>
                <w:szCs w:val="24"/>
                <w:highlight w:val="none"/>
              </w:rPr>
              <w:t>分，同时具备一级建造师证的得</w:t>
            </w:r>
            <w:r>
              <w:rPr>
                <w:rFonts w:hAnsi="宋体" w:cs="Tahoma"/>
                <w:color w:val="auto"/>
                <w:sz w:val="24"/>
                <w:szCs w:val="24"/>
                <w:highlight w:val="none"/>
              </w:rPr>
              <w:t>2</w:t>
            </w:r>
            <w:r>
              <w:rPr>
                <w:rFonts w:hint="eastAsia" w:hAnsi="宋体" w:cs="Tahoma"/>
                <w:color w:val="auto"/>
                <w:sz w:val="24"/>
                <w:szCs w:val="24"/>
                <w:highlight w:val="none"/>
              </w:rPr>
              <w:t>分。最高得</w:t>
            </w:r>
            <w:r>
              <w:rPr>
                <w:rFonts w:hAnsi="宋体" w:cs="Tahoma"/>
                <w:color w:val="auto"/>
                <w:sz w:val="24"/>
                <w:szCs w:val="24"/>
                <w:highlight w:val="none"/>
              </w:rPr>
              <w:t>4</w:t>
            </w:r>
            <w:r>
              <w:rPr>
                <w:rFonts w:hint="eastAsia" w:hAnsi="宋体" w:cs="Tahoma"/>
                <w:color w:val="auto"/>
                <w:sz w:val="24"/>
                <w:szCs w:val="24"/>
                <w:highlight w:val="none"/>
              </w:rPr>
              <w:t>分。</w:t>
            </w:r>
          </w:p>
          <w:p>
            <w:pPr>
              <w:numPr>
                <w:ilvl w:val="0"/>
                <w:numId w:val="3"/>
              </w:numPr>
              <w:snapToGrid w:val="0"/>
              <w:rPr>
                <w:color w:val="auto"/>
                <w:sz w:val="24"/>
                <w:szCs w:val="24"/>
                <w:highlight w:val="none"/>
              </w:rPr>
            </w:pPr>
            <w:r>
              <w:rPr>
                <w:rFonts w:hint="eastAsia" w:hAnsi="宋体" w:cs="Tahoma"/>
                <w:color w:val="auto"/>
                <w:sz w:val="24"/>
                <w:szCs w:val="24"/>
                <w:highlight w:val="none"/>
              </w:rPr>
              <w:t>派驻现场的项目技术负责人有消防工程师证的得</w:t>
            </w:r>
            <w:r>
              <w:rPr>
                <w:rFonts w:hAnsi="宋体" w:cs="Tahoma"/>
                <w:color w:val="auto"/>
                <w:sz w:val="24"/>
                <w:szCs w:val="24"/>
                <w:highlight w:val="none"/>
              </w:rPr>
              <w:t>3</w:t>
            </w:r>
            <w:r>
              <w:rPr>
                <w:rFonts w:hint="eastAsia" w:hAnsi="宋体" w:cs="Tahoma"/>
                <w:color w:val="auto"/>
                <w:sz w:val="24"/>
                <w:szCs w:val="24"/>
                <w:highlight w:val="none"/>
              </w:rPr>
              <w:t>分，同时具备气瓶检验员证的得</w:t>
            </w:r>
            <w:r>
              <w:rPr>
                <w:rFonts w:hAnsi="宋体" w:cs="Tahoma"/>
                <w:color w:val="auto"/>
                <w:sz w:val="24"/>
                <w:szCs w:val="24"/>
                <w:highlight w:val="none"/>
              </w:rPr>
              <w:t>3</w:t>
            </w:r>
            <w:r>
              <w:rPr>
                <w:rFonts w:hint="eastAsia" w:hAnsi="宋体" w:cs="Tahoma"/>
                <w:color w:val="auto"/>
                <w:sz w:val="24"/>
                <w:szCs w:val="24"/>
                <w:highlight w:val="none"/>
              </w:rPr>
              <w:t>分。最高得</w:t>
            </w:r>
            <w:r>
              <w:rPr>
                <w:rFonts w:hAnsi="宋体" w:cs="Tahoma"/>
                <w:color w:val="auto"/>
                <w:sz w:val="24"/>
                <w:szCs w:val="24"/>
                <w:highlight w:val="none"/>
              </w:rPr>
              <w:t>6</w:t>
            </w:r>
            <w:r>
              <w:rPr>
                <w:rFonts w:hint="eastAsia" w:hAnsi="宋体" w:cs="Tahoma"/>
                <w:color w:val="auto"/>
                <w:sz w:val="24"/>
                <w:szCs w:val="24"/>
                <w:highlight w:val="none"/>
              </w:rPr>
              <w:t>分。</w:t>
            </w:r>
          </w:p>
          <w:p>
            <w:pPr>
              <w:snapToGrid w:val="0"/>
              <w:rPr>
                <w:rFonts w:hAnsi="宋体" w:cs="Tahoma"/>
                <w:color w:val="auto"/>
                <w:sz w:val="24"/>
                <w:szCs w:val="24"/>
                <w:highlight w:val="none"/>
              </w:rPr>
            </w:pPr>
            <w:r>
              <w:rPr>
                <w:rFonts w:hint="eastAsia" w:hAnsi="宋体" w:cs="Tahoma"/>
                <w:color w:val="auto"/>
                <w:sz w:val="24"/>
                <w:szCs w:val="24"/>
                <w:highlight w:val="none"/>
              </w:rPr>
              <w:t>注：以上相关人员需提供证书、与投标人签订的劳务合同，近六个月的社保证明。不提供不得分。</w:t>
            </w:r>
          </w:p>
        </w:tc>
        <w:tc>
          <w:tcPr>
            <w:tcW w:w="1006" w:type="dxa"/>
            <w:gridSpan w:val="2"/>
            <w:vAlign w:val="center"/>
          </w:tcPr>
          <w:p>
            <w:pPr>
              <w:snapToGrid w:val="0"/>
              <w:jc w:val="center"/>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06" w:type="dxa"/>
            <w:vMerge w:val="restart"/>
            <w:vAlign w:val="center"/>
          </w:tcPr>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实施方案</w:t>
            </w:r>
          </w:p>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20</w:t>
            </w:r>
            <w:r>
              <w:rPr>
                <w:rFonts w:hint="eastAsia" w:ascii="宋体" w:hAnsi="宋体" w:cs="宋体"/>
                <w:color w:val="auto"/>
                <w:sz w:val="24"/>
                <w:szCs w:val="24"/>
                <w:highlight w:val="none"/>
              </w:rPr>
              <w:t>分）</w:t>
            </w:r>
          </w:p>
        </w:tc>
        <w:tc>
          <w:tcPr>
            <w:tcW w:w="6767" w:type="dxa"/>
            <w:vAlign w:val="center"/>
          </w:tcPr>
          <w:p>
            <w:pPr>
              <w:snapToGrid w:val="0"/>
              <w:rPr>
                <w:rFonts w:hAnsi="宋体" w:cs="Tahoma"/>
                <w:color w:val="auto"/>
                <w:sz w:val="24"/>
                <w:szCs w:val="24"/>
                <w:highlight w:val="none"/>
              </w:rPr>
            </w:pPr>
            <w:r>
              <w:rPr>
                <w:rFonts w:hint="eastAsia" w:hAnsi="宋体" w:cs="Tahoma"/>
                <w:color w:val="auto"/>
                <w:sz w:val="24"/>
                <w:szCs w:val="24"/>
                <w:highlight w:val="none"/>
              </w:rPr>
              <w:t>检测方案提供包含但不限于：检测维修方案、检测流程、人员配备方案、运输方案、喷放处理方案、防护区内运行设备防护措施，最高得10分，每缺少一项扣2分，扣完为止。</w:t>
            </w:r>
          </w:p>
        </w:tc>
        <w:tc>
          <w:tcPr>
            <w:tcW w:w="1006" w:type="dxa"/>
            <w:gridSpan w:val="2"/>
            <w:vAlign w:val="center"/>
          </w:tcPr>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06" w:type="dxa"/>
            <w:vMerge w:val="continue"/>
            <w:vAlign w:val="center"/>
          </w:tcPr>
          <w:p>
            <w:pPr>
              <w:snapToGrid w:val="0"/>
              <w:jc w:val="center"/>
              <w:rPr>
                <w:rFonts w:ascii="宋体" w:hAnsi="宋体" w:cs="宋体"/>
                <w:color w:val="auto"/>
                <w:sz w:val="24"/>
                <w:szCs w:val="24"/>
                <w:highlight w:val="none"/>
              </w:rPr>
            </w:pPr>
          </w:p>
        </w:tc>
        <w:tc>
          <w:tcPr>
            <w:tcW w:w="6767" w:type="dxa"/>
            <w:vAlign w:val="center"/>
          </w:tcPr>
          <w:p>
            <w:pPr>
              <w:snapToGrid w:val="0"/>
              <w:rPr>
                <w:rFonts w:hAnsi="宋体" w:cs="Tahoma"/>
                <w:color w:val="auto"/>
                <w:sz w:val="24"/>
                <w:szCs w:val="24"/>
                <w:highlight w:val="none"/>
              </w:rPr>
            </w:pPr>
            <w:r>
              <w:rPr>
                <w:rFonts w:hint="eastAsia" w:hAnsi="宋体" w:cs="Tahoma"/>
                <w:color w:val="auto"/>
                <w:sz w:val="24"/>
                <w:szCs w:val="24"/>
                <w:highlight w:val="none"/>
              </w:rPr>
              <w:t>培训方案：根据培训的内容、人员安排、师资力量、时间、频率等内容打分0-</w:t>
            </w:r>
            <w:r>
              <w:rPr>
                <w:rFonts w:hAnsi="宋体" w:cs="Tahoma"/>
                <w:color w:val="auto"/>
                <w:sz w:val="24"/>
                <w:szCs w:val="24"/>
                <w:highlight w:val="none"/>
              </w:rPr>
              <w:t>5</w:t>
            </w:r>
            <w:r>
              <w:rPr>
                <w:rFonts w:hint="eastAsia" w:hAnsi="宋体" w:cs="Tahoma"/>
                <w:color w:val="auto"/>
                <w:sz w:val="24"/>
                <w:szCs w:val="24"/>
                <w:highlight w:val="none"/>
              </w:rPr>
              <w:t>分。</w:t>
            </w:r>
          </w:p>
        </w:tc>
        <w:tc>
          <w:tcPr>
            <w:tcW w:w="1006" w:type="dxa"/>
            <w:gridSpan w:val="2"/>
            <w:vAlign w:val="center"/>
          </w:tcPr>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606" w:type="dxa"/>
            <w:vMerge w:val="continue"/>
            <w:vAlign w:val="center"/>
          </w:tcPr>
          <w:p>
            <w:pPr>
              <w:snapToGrid w:val="0"/>
              <w:jc w:val="center"/>
              <w:rPr>
                <w:rFonts w:ascii="宋体" w:hAnsi="宋体" w:cs="宋体"/>
                <w:color w:val="auto"/>
                <w:sz w:val="24"/>
                <w:szCs w:val="24"/>
                <w:highlight w:val="none"/>
              </w:rPr>
            </w:pPr>
          </w:p>
        </w:tc>
        <w:tc>
          <w:tcPr>
            <w:tcW w:w="6767" w:type="dxa"/>
            <w:vAlign w:val="center"/>
          </w:tcPr>
          <w:p>
            <w:pPr>
              <w:snapToGrid w:val="0"/>
              <w:rPr>
                <w:rFonts w:hAnsi="宋体" w:cs="Tahoma"/>
                <w:color w:val="auto"/>
                <w:sz w:val="24"/>
                <w:szCs w:val="24"/>
                <w:highlight w:val="none"/>
              </w:rPr>
            </w:pPr>
            <w:r>
              <w:rPr>
                <w:rFonts w:hint="eastAsia"/>
                <w:color w:val="auto"/>
                <w:sz w:val="24"/>
                <w:szCs w:val="24"/>
                <w:highlight w:val="none"/>
              </w:rPr>
              <w:t>投标产品的钢瓶严密性符合国家标准要求，有防泄漏措施的方案，得5分，有证明文件的，得5分，其余不得分。</w:t>
            </w:r>
          </w:p>
        </w:tc>
        <w:tc>
          <w:tcPr>
            <w:tcW w:w="1006" w:type="dxa"/>
            <w:gridSpan w:val="2"/>
            <w:vAlign w:val="center"/>
          </w:tcPr>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06" w:type="dxa"/>
            <w:shd w:val="clear" w:color="auto" w:fill="auto"/>
            <w:vAlign w:val="center"/>
          </w:tcPr>
          <w:p>
            <w:pPr>
              <w:pStyle w:val="15"/>
              <w:snapToGrid w:val="0"/>
              <w:spacing w:before="0" w:beforeAutospacing="0" w:after="0" w:afterAutospacing="0"/>
              <w:jc w:val="center"/>
              <w:rPr>
                <w:rFonts w:ascii="宋体" w:hAnsi="宋体" w:eastAsia="宋体" w:cs="宋体"/>
                <w:color w:val="auto"/>
                <w:kern w:val="2"/>
                <w:sz w:val="24"/>
                <w:szCs w:val="24"/>
                <w:highlight w:val="none"/>
              </w:rPr>
            </w:pPr>
            <w:r>
              <w:rPr>
                <w:rFonts w:hint="eastAsia" w:ascii="Times New Roman" w:hAnsi="宋体" w:eastAsia="宋体" w:cs="Tahoma"/>
                <w:color w:val="auto"/>
                <w:sz w:val="24"/>
                <w:szCs w:val="24"/>
                <w:highlight w:val="none"/>
              </w:rPr>
              <w:t>增值服务承诺</w:t>
            </w:r>
          </w:p>
          <w:p>
            <w:pPr>
              <w:snapToGrid w:val="0"/>
              <w:ind w:left="-69" w:leftChars="-33" w:firstLine="2"/>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分）</w:t>
            </w:r>
          </w:p>
        </w:tc>
        <w:tc>
          <w:tcPr>
            <w:tcW w:w="6767" w:type="dxa"/>
            <w:shd w:val="clear" w:color="auto" w:fill="auto"/>
            <w:vAlign w:val="center"/>
          </w:tcPr>
          <w:p>
            <w:pPr>
              <w:snapToGrid w:val="0"/>
              <w:rPr>
                <w:rFonts w:hAnsi="宋体" w:cs="Tahoma"/>
                <w:color w:val="auto"/>
                <w:sz w:val="24"/>
                <w:szCs w:val="24"/>
                <w:highlight w:val="none"/>
              </w:rPr>
            </w:pPr>
            <w:r>
              <w:rPr>
                <w:rFonts w:hint="eastAsia" w:hAnsi="宋体" w:cs="Tahoma"/>
                <w:color w:val="auto"/>
                <w:sz w:val="24"/>
                <w:szCs w:val="24"/>
                <w:highlight w:val="none"/>
              </w:rPr>
              <w:t>提供气体灭火钢瓶检测以外可实施的增值服务承诺，每条得1分，最高得</w:t>
            </w:r>
            <w:r>
              <w:rPr>
                <w:rFonts w:hAnsi="宋体" w:cs="Tahoma"/>
                <w:color w:val="auto"/>
                <w:sz w:val="24"/>
                <w:szCs w:val="24"/>
                <w:highlight w:val="none"/>
              </w:rPr>
              <w:t>6</w:t>
            </w:r>
            <w:r>
              <w:rPr>
                <w:rFonts w:hint="eastAsia" w:hAnsi="宋体" w:cs="Tahoma"/>
                <w:color w:val="auto"/>
                <w:sz w:val="24"/>
                <w:szCs w:val="24"/>
                <w:highlight w:val="none"/>
              </w:rPr>
              <w:t>分。</w:t>
            </w:r>
          </w:p>
        </w:tc>
        <w:tc>
          <w:tcPr>
            <w:tcW w:w="1006" w:type="dxa"/>
            <w:gridSpan w:val="2"/>
            <w:shd w:val="clear" w:color="auto" w:fill="auto"/>
            <w:vAlign w:val="center"/>
          </w:tcPr>
          <w:p>
            <w:pPr>
              <w:snapToGrid w:val="0"/>
              <w:jc w:val="center"/>
              <w:rPr>
                <w:rFonts w:hAnsi="宋体" w:cs="Tahoma"/>
                <w:color w:val="auto"/>
                <w:sz w:val="24"/>
                <w:szCs w:val="24"/>
                <w:highlight w:val="none"/>
              </w:rPr>
            </w:pPr>
            <w:r>
              <w:rPr>
                <w:rFonts w:hAnsi="宋体" w:cs="Tahoma"/>
                <w:color w:val="auto"/>
                <w:sz w:val="24"/>
                <w:szCs w:val="24"/>
                <w:highlight w:val="none"/>
              </w:rPr>
              <w:t>5</w:t>
            </w:r>
            <w:r>
              <w:rPr>
                <w:rFonts w:hint="eastAsia" w:hAnsi="宋体" w:cs="Tahom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606" w:type="dxa"/>
            <w:vMerge w:val="restart"/>
            <w:shd w:val="clear" w:color="auto" w:fill="auto"/>
            <w:vAlign w:val="center"/>
          </w:tcPr>
          <w:p>
            <w:pPr>
              <w:snapToGrid w:val="0"/>
              <w:ind w:left="-69" w:leftChars="-33" w:firstLine="2"/>
              <w:jc w:val="center"/>
              <w:rPr>
                <w:rFonts w:ascii="宋体" w:hAnsi="宋体" w:cs="宋体"/>
                <w:color w:val="auto"/>
                <w:sz w:val="24"/>
                <w:szCs w:val="24"/>
                <w:highlight w:val="none"/>
              </w:rPr>
            </w:pPr>
            <w:r>
              <w:rPr>
                <w:rFonts w:hint="eastAsia" w:ascii="宋体" w:hAnsi="宋体" w:cs="宋体"/>
                <w:color w:val="auto"/>
                <w:sz w:val="24"/>
                <w:szCs w:val="24"/>
                <w:highlight w:val="none"/>
              </w:rPr>
              <w:t>售后服务能力</w:t>
            </w:r>
          </w:p>
          <w:p>
            <w:pPr>
              <w:pStyle w:val="15"/>
              <w:snapToGrid w:val="0"/>
              <w:spacing w:before="0" w:beforeAutospacing="0" w:after="0" w:afterAutospacing="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（9分）</w:t>
            </w:r>
          </w:p>
        </w:tc>
        <w:tc>
          <w:tcPr>
            <w:tcW w:w="6767" w:type="dxa"/>
            <w:shd w:val="clear" w:color="auto" w:fill="auto"/>
            <w:vAlign w:val="center"/>
          </w:tcPr>
          <w:p>
            <w:pPr>
              <w:pStyle w:val="15"/>
              <w:snapToGrid w:val="0"/>
              <w:spacing w:before="0" w:beforeAutospacing="0" w:after="0" w:afterAutospacing="0"/>
              <w:rPr>
                <w:rFonts w:ascii="Times New Roman" w:hAnsi="Times New Roman" w:eastAsia="宋体" w:cs="Times New Roman"/>
                <w:color w:val="auto"/>
                <w:kern w:val="2"/>
                <w:sz w:val="24"/>
                <w:szCs w:val="24"/>
                <w:highlight w:val="none"/>
              </w:rPr>
            </w:pPr>
            <w:r>
              <w:rPr>
                <w:rFonts w:hint="eastAsia" w:ascii="宋体" w:hAnsi="宋体" w:eastAsia="宋体" w:cs="宋体"/>
                <w:color w:val="auto"/>
                <w:sz w:val="24"/>
                <w:szCs w:val="24"/>
                <w:highlight w:val="none"/>
              </w:rPr>
              <w:t>投标人机构配有较强的专业技术队伍，能提供快速的服务响应。10分钟响应得5分，8小时内得3分，超过24小时得0分。（5分）</w:t>
            </w:r>
          </w:p>
        </w:tc>
        <w:tc>
          <w:tcPr>
            <w:tcW w:w="1006" w:type="dxa"/>
            <w:gridSpan w:val="2"/>
            <w:shd w:val="clear" w:color="auto" w:fill="auto"/>
            <w:vAlign w:val="center"/>
          </w:tcPr>
          <w:p>
            <w:pPr>
              <w:snapToGrid w:val="0"/>
              <w:ind w:left="-69" w:leftChars="-33" w:firstLine="2"/>
              <w:jc w:val="center"/>
              <w:rPr>
                <w:rFonts w:ascii="宋体" w:hAnsi="宋体" w:cs="宋体"/>
                <w:color w:val="auto"/>
                <w:sz w:val="24"/>
                <w:szCs w:val="24"/>
                <w:highlight w:val="none"/>
              </w:rPr>
            </w:pPr>
            <w:r>
              <w:rPr>
                <w:rFonts w:hint="eastAsia" w:ascii="宋体" w:hAnsi="宋体" w:cs="宋体"/>
                <w:color w:val="auto"/>
                <w:kern w:val="0"/>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606" w:type="dxa"/>
            <w:vMerge w:val="continue"/>
            <w:shd w:val="clear" w:color="auto" w:fill="auto"/>
            <w:vAlign w:val="center"/>
          </w:tcPr>
          <w:p>
            <w:pPr>
              <w:pStyle w:val="15"/>
              <w:snapToGrid w:val="0"/>
              <w:spacing w:before="0" w:beforeAutospacing="0" w:after="0" w:afterAutospacing="0"/>
              <w:jc w:val="center"/>
              <w:rPr>
                <w:rFonts w:ascii="宋体" w:hAnsi="宋体" w:eastAsia="宋体" w:cs="宋体"/>
                <w:color w:val="auto"/>
                <w:kern w:val="2"/>
                <w:sz w:val="24"/>
                <w:szCs w:val="24"/>
                <w:highlight w:val="none"/>
              </w:rPr>
            </w:pPr>
          </w:p>
        </w:tc>
        <w:tc>
          <w:tcPr>
            <w:tcW w:w="6767" w:type="dxa"/>
            <w:shd w:val="clear" w:color="auto" w:fill="auto"/>
            <w:vAlign w:val="center"/>
          </w:tcPr>
          <w:p>
            <w:pPr>
              <w:pStyle w:val="15"/>
              <w:snapToGrid w:val="0"/>
              <w:spacing w:before="0" w:beforeAutospacing="0" w:after="0" w:afterAutospacing="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保险：投标人为投标产品气体灭火系统钢瓶购买了产品责任保险，且赔付种类包含财产损失和人身伤亡的，得2分。每次事故赔付限额为500万及以上的得2分，其余得不得分。需提供证明文件</w:t>
            </w:r>
            <w:r>
              <w:rPr>
                <w:rFonts w:hint="eastAsia" w:ascii="宋体" w:hAnsi="宋体" w:eastAsia="宋体" w:cs="宋体"/>
                <w:color w:val="auto"/>
                <w:sz w:val="24"/>
                <w:szCs w:val="24"/>
                <w:highlight w:val="none"/>
                <w:lang w:eastAsia="zh-CN"/>
              </w:rPr>
              <w:t>。</w:t>
            </w:r>
          </w:p>
        </w:tc>
        <w:tc>
          <w:tcPr>
            <w:tcW w:w="1006" w:type="dxa"/>
            <w:gridSpan w:val="2"/>
            <w:shd w:val="clear" w:color="auto" w:fill="auto"/>
            <w:vAlign w:val="center"/>
          </w:tcPr>
          <w:p>
            <w:pPr>
              <w:snapToGrid w:val="0"/>
              <w:ind w:left="-69" w:leftChars="-33" w:firstLine="2"/>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4分</w:t>
            </w:r>
          </w:p>
        </w:tc>
      </w:tr>
    </w:tbl>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 </w:t>
      </w:r>
    </w:p>
    <w:p>
      <w:pPr>
        <w:adjustRightInd w:val="0"/>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2、商务评审（总分</w:t>
      </w:r>
      <w:r>
        <w:rPr>
          <w:rFonts w:hint="eastAsia" w:ascii="宋体" w:hAnsi="宋体" w:cs="宋体"/>
          <w:b/>
          <w:color w:val="auto"/>
          <w:sz w:val="24"/>
          <w:szCs w:val="24"/>
          <w:highlight w:val="none"/>
          <w:lang w:val="en-US" w:eastAsia="zh-CN"/>
        </w:rPr>
        <w:t>30</w:t>
      </w:r>
      <w:r>
        <w:rPr>
          <w:rFonts w:hint="eastAsia" w:ascii="宋体" w:hAnsi="宋体" w:cs="宋体"/>
          <w:b/>
          <w:color w:val="auto"/>
          <w:sz w:val="24"/>
          <w:szCs w:val="24"/>
          <w:highlight w:val="none"/>
        </w:rPr>
        <w:t>分）</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评标基准价以满足招标文件要求且投标价格最低的投标报价为评标基准价，其商务报价分为</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p>
      <w:pPr>
        <w:adjustRightInd w:val="0"/>
        <w:snapToGrid w:val="0"/>
        <w:spacing w:line="360" w:lineRule="auto"/>
        <w:ind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t>商务得分=（评标基准价/投标报价）×</w:t>
      </w:r>
      <w:r>
        <w:rPr>
          <w:rFonts w:hint="eastAsia" w:ascii="宋体" w:hAnsi="宋体" w:cs="宋体"/>
          <w:b/>
          <w:color w:val="auto"/>
          <w:sz w:val="24"/>
          <w:szCs w:val="24"/>
          <w:highlight w:val="none"/>
          <w:lang w:val="en-US" w:eastAsia="zh-CN"/>
        </w:rPr>
        <w:t>30</w:t>
      </w:r>
      <w:r>
        <w:rPr>
          <w:rFonts w:hint="eastAsia" w:ascii="宋体" w:hAnsi="宋体" w:cs="宋体"/>
          <w:b/>
          <w:color w:val="auto"/>
          <w:sz w:val="24"/>
          <w:szCs w:val="24"/>
          <w:highlight w:val="none"/>
        </w:rPr>
        <w:t>%×100，保留小数2位</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3、投标人的综合得分为以上两部分评分的总和。</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二、评标报告 </w:t>
      </w:r>
    </w:p>
    <w:p>
      <w:pPr>
        <w:adjustRightInd w:val="0"/>
        <w:snapToGrid w:val="0"/>
        <w:spacing w:line="360" w:lineRule="auto"/>
        <w:ind w:firstLine="435"/>
        <w:rPr>
          <w:rFonts w:ascii="宋体" w:hAnsi="宋体" w:cs="宋体"/>
          <w:color w:val="auto"/>
          <w:sz w:val="24"/>
          <w:szCs w:val="24"/>
          <w:highlight w:val="none"/>
        </w:rPr>
      </w:pPr>
      <w:r>
        <w:rPr>
          <w:rFonts w:hint="eastAsia" w:ascii="宋体" w:hAnsi="宋体" w:cs="宋体"/>
          <w:color w:val="auto"/>
          <w:sz w:val="24"/>
          <w:szCs w:val="24"/>
          <w:highlight w:val="none"/>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应在评标报告中，由得分从高到低推荐前二名为中标候选人。得分相同时，投标价低者优先。若第一中标候选人在中标后30天内拒绝与采购人签订合同的，采购人可以与符合标的的第二中标候选人签约采购货物；若第一中标候选人签订合同后未按合同及采购人要求进行产品设计制作的，采购人有权与其解除合同并与符合标的的第二中标候选人签订采购合同。</w:t>
      </w:r>
    </w:p>
    <w:p>
      <w:pPr>
        <w:pStyle w:val="2"/>
        <w:jc w:val="both"/>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
        <w:rPr>
          <w:color w:val="auto"/>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第五章  投标相关文件格式</w:t>
      </w:r>
    </w:p>
    <w:p>
      <w:pPr>
        <w:widowControl/>
        <w:tabs>
          <w:tab w:val="left" w:pos="0"/>
        </w:tabs>
        <w:snapToGrid w:val="0"/>
        <w:spacing w:line="360" w:lineRule="auto"/>
        <w:jc w:val="left"/>
        <w:rPr>
          <w:rFonts w:ascii="宋体" w:hAnsi="宋体" w:cs="宋体"/>
          <w:b/>
          <w:bCs/>
          <w:color w:val="auto"/>
          <w:kern w:val="0"/>
          <w:sz w:val="32"/>
          <w:szCs w:val="32"/>
          <w:highlight w:val="none"/>
        </w:rPr>
      </w:pPr>
    </w:p>
    <w:p>
      <w:pPr>
        <w:widowControl/>
        <w:spacing w:before="260" w:after="260" w:line="270" w:lineRule="atLeast"/>
        <w:ind w:left="-141" w:leftChars="-67"/>
        <w:jc w:val="left"/>
        <w:rPr>
          <w:rFonts w:ascii="宋体" w:hAnsi="宋体" w:cs="宋体"/>
          <w:b/>
          <w:bCs/>
          <w:color w:val="auto"/>
          <w:kern w:val="0"/>
          <w:szCs w:val="21"/>
          <w:highlight w:val="none"/>
        </w:rPr>
      </w:pPr>
      <w:bookmarkStart w:id="0" w:name="_Toc350938485"/>
      <w:r>
        <w:rPr>
          <w:rFonts w:ascii="宋体" w:hAnsi="宋体" w:cs="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8415" b="1841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hint="eastAsia" w:ascii="宋体" w:hAnsi="宋体" w:cs="宋体"/>
          <w:b/>
          <w:bCs/>
          <w:color w:val="auto"/>
          <w:kern w:val="0"/>
          <w:sz w:val="36"/>
          <w:szCs w:val="36"/>
          <w:highlight w:val="none"/>
        </w:rPr>
        <w:t>附件一                 封面格式1</w:t>
      </w:r>
      <w:bookmarkEnd w:id="0"/>
    </w:p>
    <w:p>
      <w:pPr>
        <w:widowControl/>
        <w:tabs>
          <w:tab w:val="left" w:pos="8280"/>
        </w:tabs>
        <w:spacing w:line="360" w:lineRule="auto"/>
        <w:ind w:left="-141" w:leftChars="-67" w:firstLine="480"/>
        <w:jc w:val="center"/>
        <w:rPr>
          <w:rFonts w:ascii="宋体" w:hAnsi="宋体" w:cs="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cs="宋体"/>
          <w:b/>
          <w:color w:val="auto"/>
          <w:kern w:val="0"/>
          <w:sz w:val="44"/>
          <w:szCs w:val="44"/>
          <w:highlight w:val="none"/>
        </w:rPr>
      </w:pPr>
      <w:r>
        <w:rPr>
          <w:rFonts w:hint="eastAsia" w:ascii="宋体" w:hAnsi="宋体" w:cs="宋体"/>
          <w:b/>
          <w:color w:val="auto"/>
          <w:kern w:val="0"/>
          <w:sz w:val="36"/>
          <w:szCs w:val="36"/>
          <w:highlight w:val="none"/>
          <w:u w:val="single"/>
        </w:rPr>
        <w:t xml:space="preserve">                                    </w:t>
      </w:r>
      <w:r>
        <w:rPr>
          <w:rFonts w:hint="eastAsia" w:ascii="宋体" w:hAnsi="宋体" w:cs="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cs="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cs="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cs="宋体"/>
          <w:b/>
          <w:color w:val="auto"/>
          <w:kern w:val="0"/>
          <w:sz w:val="36"/>
          <w:szCs w:val="36"/>
          <w:highlight w:val="none"/>
        </w:rPr>
      </w:pPr>
      <w:r>
        <w:rPr>
          <w:rFonts w:hint="eastAsia" w:ascii="宋体" w:hAnsi="宋体" w:cs="宋体"/>
          <w:b/>
          <w:color w:val="auto"/>
          <w:kern w:val="0"/>
          <w:sz w:val="32"/>
          <w:szCs w:val="32"/>
          <w:highlight w:val="none"/>
        </w:rPr>
        <w:t>采购项目编号：</w:t>
      </w:r>
      <w:r>
        <w:rPr>
          <w:rFonts w:hint="eastAsia" w:ascii="宋体" w:hAnsi="宋体" w:cs="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cs="宋体"/>
          <w:b/>
          <w:color w:val="auto"/>
          <w:kern w:val="0"/>
          <w:sz w:val="36"/>
          <w:szCs w:val="36"/>
          <w:highlight w:val="none"/>
        </w:rPr>
      </w:pPr>
      <w:r>
        <w:rPr>
          <w:rFonts w:hint="eastAsia" w:ascii="宋体" w:hAnsi="宋体" w:cs="宋体"/>
          <w:b/>
          <w:color w:val="auto"/>
          <w:kern w:val="0"/>
          <w:sz w:val="32"/>
          <w:szCs w:val="32"/>
          <w:highlight w:val="none"/>
        </w:rPr>
        <w:t>投标人（公章）：</w:t>
      </w:r>
      <w:r>
        <w:rPr>
          <w:rFonts w:hint="eastAsia" w:ascii="宋体" w:hAnsi="宋体" w:cs="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cs="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cs="宋体"/>
          <w:b/>
          <w:color w:val="auto"/>
          <w:kern w:val="0"/>
          <w:sz w:val="36"/>
          <w:szCs w:val="36"/>
          <w:highlight w:val="none"/>
        </w:rPr>
      </w:pPr>
      <w:r>
        <w:rPr>
          <w:rFonts w:hint="eastAsia" w:ascii="宋体" w:hAnsi="宋体" w:cs="宋体"/>
          <w:b/>
          <w:color w:val="auto"/>
          <w:kern w:val="0"/>
          <w:sz w:val="32"/>
          <w:szCs w:val="32"/>
          <w:highlight w:val="none"/>
        </w:rPr>
        <w:t>或其委托人（签字）：</w:t>
      </w:r>
      <w:r>
        <w:rPr>
          <w:rFonts w:hint="eastAsia" w:ascii="宋体" w:hAnsi="宋体" w:cs="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cs="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cs="宋体"/>
          <w:b/>
          <w:color w:val="auto"/>
          <w:kern w:val="0"/>
          <w:sz w:val="32"/>
          <w:szCs w:val="32"/>
          <w:highlight w:val="none"/>
        </w:rPr>
      </w:pP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年</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月</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日</w:t>
      </w:r>
    </w:p>
    <w:p>
      <w:pPr>
        <w:widowControl/>
        <w:spacing w:before="150" w:after="150" w:line="480" w:lineRule="atLeast"/>
        <w:ind w:right="300"/>
        <w:jc w:val="left"/>
        <w:rPr>
          <w:rFonts w:ascii="宋体" w:hAnsi="宋体" w:cs="宋体"/>
          <w:b/>
          <w:bCs/>
          <w:color w:val="auto"/>
          <w:kern w:val="0"/>
          <w:sz w:val="32"/>
          <w:szCs w:val="32"/>
          <w:highlight w:val="none"/>
        </w:rPr>
      </w:pPr>
    </w:p>
    <w:p>
      <w:pPr>
        <w:widowControl/>
        <w:spacing w:before="150" w:after="150" w:line="480" w:lineRule="atLeast"/>
        <w:ind w:right="300"/>
        <w:jc w:val="left"/>
        <w:rPr>
          <w:rFonts w:ascii="宋体" w:hAnsi="宋体" w:cs="宋体"/>
          <w:b/>
          <w:bCs/>
          <w:color w:val="auto"/>
          <w:kern w:val="0"/>
          <w:sz w:val="32"/>
          <w:szCs w:val="32"/>
          <w:highlight w:val="none"/>
        </w:rPr>
      </w:pPr>
    </w:p>
    <w:p>
      <w:pPr>
        <w:widowControl/>
        <w:spacing w:before="260" w:after="260" w:line="270" w:lineRule="atLeast"/>
        <w:ind w:left="-141" w:leftChars="-67"/>
        <w:jc w:val="left"/>
        <w:rPr>
          <w:rFonts w:ascii="宋体" w:hAnsi="宋体" w:cs="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cs="宋体"/>
          <w:b/>
          <w:bCs/>
          <w:color w:val="auto"/>
          <w:kern w:val="0"/>
          <w:sz w:val="36"/>
          <w:szCs w:val="36"/>
          <w:highlight w:val="none"/>
        </w:rPr>
      </w:pPr>
    </w:p>
    <w:p>
      <w:pPr>
        <w:widowControl/>
        <w:spacing w:before="260" w:after="260" w:line="270" w:lineRule="atLeast"/>
        <w:ind w:left="-141" w:leftChars="-67"/>
        <w:jc w:val="left"/>
        <w:rPr>
          <w:rFonts w:ascii="宋体" w:hAnsi="宋体" w:cs="宋体"/>
          <w:b/>
          <w:bCs/>
          <w:color w:val="auto"/>
          <w:kern w:val="0"/>
          <w:sz w:val="36"/>
          <w:szCs w:val="36"/>
          <w:highlight w:val="none"/>
        </w:rPr>
      </w:pPr>
      <w:r>
        <w:rPr>
          <w:rFonts w:ascii="宋体" w:hAnsi="宋体" w:cs="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8415" b="1841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cs="宋体"/>
          <w:b/>
          <w:bCs/>
          <w:color w:val="auto"/>
          <w:kern w:val="0"/>
          <w:szCs w:val="21"/>
          <w:highlight w:val="none"/>
        </w:rPr>
      </w:pPr>
      <w:r>
        <w:rPr>
          <w:rFonts w:hint="eastAsia" w:ascii="宋体" w:hAnsi="宋体" w:cs="宋体"/>
          <w:b/>
          <w:bCs/>
          <w:color w:val="auto"/>
          <w:kern w:val="0"/>
          <w:sz w:val="36"/>
          <w:szCs w:val="36"/>
          <w:highlight w:val="none"/>
        </w:rPr>
        <w:t>附件二                  封面格式2</w:t>
      </w:r>
      <w:bookmarkEnd w:id="1"/>
    </w:p>
    <w:p>
      <w:pPr>
        <w:widowControl/>
        <w:tabs>
          <w:tab w:val="left" w:pos="8280"/>
        </w:tabs>
        <w:spacing w:line="360" w:lineRule="auto"/>
        <w:ind w:left="-141" w:leftChars="-67" w:firstLine="480"/>
        <w:jc w:val="center"/>
        <w:rPr>
          <w:rFonts w:ascii="宋体" w:hAnsi="宋体" w:cs="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cs="宋体"/>
          <w:b/>
          <w:color w:val="auto"/>
          <w:kern w:val="0"/>
          <w:sz w:val="44"/>
          <w:szCs w:val="44"/>
          <w:highlight w:val="none"/>
        </w:rPr>
      </w:pPr>
      <w:r>
        <w:rPr>
          <w:rFonts w:hint="eastAsia" w:ascii="宋体" w:hAnsi="宋体" w:cs="宋体"/>
          <w:b/>
          <w:color w:val="auto"/>
          <w:kern w:val="0"/>
          <w:sz w:val="36"/>
          <w:szCs w:val="36"/>
          <w:highlight w:val="none"/>
          <w:u w:val="single"/>
        </w:rPr>
        <w:t xml:space="preserve">                                        </w:t>
      </w:r>
      <w:r>
        <w:rPr>
          <w:rFonts w:hint="eastAsia" w:ascii="宋体" w:hAnsi="宋体" w:cs="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cs="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cs="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cs="宋体"/>
          <w:b/>
          <w:color w:val="auto"/>
          <w:kern w:val="0"/>
          <w:sz w:val="36"/>
          <w:szCs w:val="36"/>
          <w:highlight w:val="none"/>
        </w:rPr>
      </w:pPr>
      <w:r>
        <w:rPr>
          <w:rFonts w:hint="eastAsia" w:ascii="宋体" w:hAnsi="宋体" w:cs="宋体"/>
          <w:b/>
          <w:color w:val="auto"/>
          <w:kern w:val="0"/>
          <w:sz w:val="32"/>
          <w:szCs w:val="32"/>
          <w:highlight w:val="none"/>
        </w:rPr>
        <w:t>采购项目编号：</w:t>
      </w:r>
      <w:r>
        <w:rPr>
          <w:rFonts w:hint="eastAsia" w:ascii="宋体" w:hAnsi="宋体" w:cs="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cs="宋体"/>
          <w:b/>
          <w:color w:val="auto"/>
          <w:kern w:val="0"/>
          <w:sz w:val="36"/>
          <w:szCs w:val="36"/>
          <w:highlight w:val="none"/>
        </w:rPr>
      </w:pPr>
      <w:r>
        <w:rPr>
          <w:rFonts w:hint="eastAsia" w:ascii="宋体" w:hAnsi="宋体" w:cs="宋体"/>
          <w:b/>
          <w:color w:val="auto"/>
          <w:kern w:val="0"/>
          <w:sz w:val="32"/>
          <w:szCs w:val="32"/>
          <w:highlight w:val="none"/>
        </w:rPr>
        <w:t>投标人（公章）：</w:t>
      </w:r>
      <w:r>
        <w:rPr>
          <w:rFonts w:hint="eastAsia" w:ascii="宋体" w:hAnsi="宋体" w:cs="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cs="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cs="宋体"/>
          <w:b/>
          <w:color w:val="auto"/>
          <w:kern w:val="0"/>
          <w:sz w:val="36"/>
          <w:szCs w:val="36"/>
          <w:highlight w:val="none"/>
        </w:rPr>
      </w:pPr>
      <w:r>
        <w:rPr>
          <w:rFonts w:hint="eastAsia" w:ascii="宋体" w:hAnsi="宋体" w:cs="宋体"/>
          <w:b/>
          <w:color w:val="auto"/>
          <w:kern w:val="0"/>
          <w:sz w:val="32"/>
          <w:szCs w:val="32"/>
          <w:highlight w:val="none"/>
        </w:rPr>
        <w:t>或其委托人（签字）：</w:t>
      </w:r>
      <w:r>
        <w:rPr>
          <w:rFonts w:hint="eastAsia" w:ascii="宋体" w:hAnsi="宋体" w:cs="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cs="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cs="宋体"/>
          <w:b/>
          <w:color w:val="auto"/>
          <w:kern w:val="0"/>
          <w:sz w:val="32"/>
          <w:szCs w:val="32"/>
          <w:highlight w:val="none"/>
        </w:rPr>
      </w:pP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年</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月</w:t>
      </w:r>
      <w:r>
        <w:rPr>
          <w:rFonts w:hint="eastAsia" w:ascii="宋体" w:hAnsi="宋体" w:cs="宋体"/>
          <w:b/>
          <w:color w:val="auto"/>
          <w:kern w:val="0"/>
          <w:sz w:val="36"/>
          <w:szCs w:val="36"/>
          <w:highlight w:val="none"/>
        </w:rPr>
        <w:t xml:space="preserve">     </w:t>
      </w:r>
      <w:r>
        <w:rPr>
          <w:rFonts w:hint="eastAsia" w:ascii="宋体" w:hAnsi="宋体" w:cs="宋体"/>
          <w:b/>
          <w:color w:val="auto"/>
          <w:kern w:val="0"/>
          <w:sz w:val="32"/>
          <w:szCs w:val="32"/>
          <w:highlight w:val="none"/>
        </w:rPr>
        <w:t>日</w:t>
      </w:r>
    </w:p>
    <w:p>
      <w:pPr>
        <w:rPr>
          <w:rFonts w:ascii="宋体" w:hAnsi="宋体" w:cs="宋体"/>
          <w:b/>
          <w:color w:val="auto"/>
          <w:sz w:val="24"/>
          <w:highlight w:val="none"/>
        </w:rPr>
      </w:pPr>
    </w:p>
    <w:p>
      <w:pPr>
        <w:rPr>
          <w:rFonts w:ascii="宋体" w:hAnsi="宋体" w:cs="宋体"/>
          <w:b/>
          <w:color w:val="auto"/>
          <w:sz w:val="24"/>
          <w:highlight w:val="none"/>
        </w:rPr>
      </w:pPr>
    </w:p>
    <w:p>
      <w:pPr>
        <w:rPr>
          <w:rFonts w:ascii="宋体" w:hAnsi="宋体" w:cs="宋体"/>
          <w:b/>
          <w:color w:val="auto"/>
          <w:sz w:val="24"/>
          <w:highlight w:val="none"/>
        </w:rPr>
      </w:pPr>
    </w:p>
    <w:p>
      <w:pPr>
        <w:rPr>
          <w:rFonts w:ascii="宋体" w:hAnsi="宋体" w:cs="宋体"/>
          <w:b/>
          <w:color w:val="auto"/>
          <w:sz w:val="24"/>
          <w:highlight w:val="none"/>
        </w:rPr>
      </w:pPr>
    </w:p>
    <w:p>
      <w:pPr>
        <w:rPr>
          <w:rFonts w:ascii="宋体" w:hAnsi="宋体" w:cs="宋体"/>
          <w:b/>
          <w:color w:val="auto"/>
          <w:sz w:val="24"/>
          <w:highlight w:val="none"/>
        </w:rPr>
      </w:pPr>
    </w:p>
    <w:p>
      <w:pPr>
        <w:rPr>
          <w:rFonts w:ascii="宋体" w:hAnsi="宋体" w:cs="宋体"/>
          <w:b/>
          <w:color w:val="auto"/>
          <w:sz w:val="24"/>
          <w:highlight w:val="none"/>
        </w:rPr>
      </w:pPr>
    </w:p>
    <w:p>
      <w:pPr>
        <w:rPr>
          <w:rFonts w:ascii="宋体" w:hAnsi="宋体" w:cs="宋体"/>
          <w:b/>
          <w:color w:val="auto"/>
          <w:sz w:val="24"/>
          <w:highlight w:val="none"/>
        </w:rPr>
      </w:pPr>
    </w:p>
    <w:p>
      <w:pPr>
        <w:rPr>
          <w:rFonts w:ascii="宋体" w:hAnsi="宋体" w:cs="宋体"/>
          <w:b/>
          <w:color w:val="auto"/>
          <w:sz w:val="24"/>
          <w:highlight w:val="none"/>
        </w:rPr>
      </w:pPr>
    </w:p>
    <w:p>
      <w:pPr>
        <w:rPr>
          <w:rFonts w:ascii="宋体" w:hAnsi="宋体" w:cs="宋体"/>
          <w:b/>
          <w:color w:val="auto"/>
          <w:sz w:val="24"/>
          <w:highlight w:val="none"/>
        </w:rPr>
      </w:pPr>
    </w:p>
    <w:p>
      <w:pPr>
        <w:pStyle w:val="2"/>
        <w:rPr>
          <w:rFonts w:ascii="宋体" w:hAnsi="宋体" w:cs="宋体"/>
          <w:b/>
          <w:color w:val="auto"/>
          <w:sz w:val="24"/>
          <w:highlight w:val="none"/>
        </w:rPr>
      </w:pPr>
    </w:p>
    <w:p>
      <w:pPr>
        <w:rPr>
          <w:color w:val="auto"/>
          <w:highlight w:val="none"/>
        </w:rPr>
      </w:pPr>
    </w:p>
    <w:p>
      <w:pPr>
        <w:rPr>
          <w:rFonts w:ascii="宋体" w:hAnsi="宋体" w:cs="宋体"/>
          <w:b/>
          <w:color w:val="auto"/>
          <w:sz w:val="24"/>
          <w:highlight w:val="none"/>
        </w:rPr>
      </w:pPr>
    </w:p>
    <w:p>
      <w:pPr>
        <w:spacing w:line="360" w:lineRule="auto"/>
        <w:rPr>
          <w:rFonts w:ascii="宋体" w:hAnsi="宋体" w:cs="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7"/>
        <w:spacing w:line="400" w:lineRule="exact"/>
        <w:rPr>
          <w:rFonts w:hAnsi="宋体" w:cs="宋体"/>
          <w:color w:val="auto"/>
          <w:kern w:val="0"/>
          <w:sz w:val="24"/>
          <w:szCs w:val="24"/>
          <w:highlight w:val="none"/>
        </w:rPr>
      </w:pP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1）所附投标报价表中规定的应提供和支付的设备和服务投标总价为（人民币）</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 即</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pStyle w:val="2"/>
        <w:rPr>
          <w:color w:val="auto"/>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cs="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cs="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2"/>
        <w:rPr>
          <w:color w:val="auto"/>
          <w:highlight w:val="none"/>
        </w:rPr>
      </w:pPr>
    </w:p>
    <w:p>
      <w:pPr>
        <w:rPr>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snapToGrid w:val="0"/>
        <w:spacing w:before="50" w:after="50"/>
        <w:rPr>
          <w:rFonts w:ascii="宋体" w:hAnsi="宋体" w:cs="宋体"/>
          <w:b/>
          <w:color w:val="auto"/>
          <w:sz w:val="24"/>
          <w:szCs w:val="24"/>
          <w:highlight w:val="none"/>
        </w:rPr>
      </w:pPr>
      <w:r>
        <w:rPr>
          <w:rFonts w:hint="eastAsia" w:ascii="宋体" w:hAnsi="宋体" w:cs="宋体"/>
          <w:b/>
          <w:color w:val="auto"/>
          <w:sz w:val="24"/>
          <w:szCs w:val="24"/>
          <w:highlight w:val="none"/>
        </w:rPr>
        <w:t>附件五、报价一览表</w:t>
      </w:r>
    </w:p>
    <w:p>
      <w:pPr>
        <w:snapToGrid w:val="0"/>
        <w:spacing w:before="50" w:after="50"/>
        <w:jc w:val="center"/>
        <w:rPr>
          <w:rFonts w:ascii="宋体" w:hAnsi="宋体" w:cs="宋体"/>
          <w:b/>
          <w:color w:val="auto"/>
          <w:sz w:val="24"/>
          <w:szCs w:val="24"/>
          <w:highlight w:val="none"/>
        </w:rPr>
      </w:pPr>
      <w:r>
        <w:rPr>
          <w:rFonts w:hint="eastAsia" w:ascii="宋体" w:hAnsi="宋体" w:cs="宋体"/>
          <w:b/>
          <w:color w:val="auto"/>
          <w:sz w:val="24"/>
          <w:szCs w:val="24"/>
          <w:highlight w:val="none"/>
        </w:rPr>
        <w:t>报价一览表</w:t>
      </w:r>
    </w:p>
    <w:p>
      <w:pPr>
        <w:snapToGrid w:val="0"/>
        <w:spacing w:before="50" w:after="50"/>
        <w:rPr>
          <w:rFonts w:ascii="宋体" w:hAnsi="宋体" w:cs="宋体"/>
          <w:color w:val="auto"/>
          <w:sz w:val="24"/>
          <w:szCs w:val="24"/>
          <w:highlight w:val="none"/>
        </w:rPr>
      </w:pPr>
      <w:r>
        <w:rPr>
          <w:rFonts w:hint="eastAsia" w:ascii="宋体" w:hAnsi="宋体" w:cs="宋体"/>
          <w:color w:val="auto"/>
          <w:sz w:val="24"/>
          <w:szCs w:val="24"/>
          <w:highlight w:val="none"/>
        </w:rPr>
        <w:t>招标编号：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单位：元                        </w:t>
      </w:r>
    </w:p>
    <w:tbl>
      <w:tblPr>
        <w:tblStyle w:val="16"/>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b/>
                <w:color w:val="auto"/>
                <w:sz w:val="24"/>
                <w:szCs w:val="24"/>
                <w:highlight w:val="none"/>
              </w:rPr>
            </w:pPr>
            <w:r>
              <w:rPr>
                <w:rFonts w:hint="eastAsia" w:ascii="宋体" w:hAnsi="宋体" w:cs="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b/>
                <w:color w:val="auto"/>
                <w:sz w:val="24"/>
                <w:szCs w:val="24"/>
                <w:highlight w:val="none"/>
              </w:rPr>
            </w:pPr>
            <w:r>
              <w:rPr>
                <w:rFonts w:hint="eastAsia" w:ascii="宋体" w:hAnsi="宋体" w:cs="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b/>
                <w:color w:val="auto"/>
                <w:sz w:val="24"/>
                <w:szCs w:val="24"/>
                <w:highlight w:val="none"/>
              </w:rPr>
            </w:pPr>
            <w:r>
              <w:rPr>
                <w:rFonts w:hint="eastAsia" w:ascii="宋体" w:hAnsi="宋体" w:cs="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b/>
                <w:color w:val="auto"/>
                <w:sz w:val="24"/>
                <w:szCs w:val="24"/>
                <w:highlight w:val="none"/>
              </w:rPr>
            </w:pPr>
            <w:r>
              <w:rPr>
                <w:rFonts w:hint="eastAsia" w:ascii="宋体" w:hAnsi="宋体" w:cs="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szCs w:val="24"/>
                <w:highlight w:val="none"/>
              </w:rPr>
            </w:pPr>
            <w:r>
              <w:rPr>
                <w:rFonts w:hint="eastAsia" w:ascii="宋体" w:hAnsi="宋体" w:cs="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s="宋体"/>
                <w:color w:val="auto"/>
                <w:sz w:val="24"/>
                <w:szCs w:val="24"/>
                <w:highlight w:val="none"/>
              </w:rPr>
            </w:pPr>
            <w:r>
              <w:rPr>
                <w:rFonts w:hint="eastAsia" w:ascii="宋体" w:hAnsi="宋体" w:cs="宋体"/>
                <w:color w:val="auto"/>
                <w:sz w:val="24"/>
                <w:szCs w:val="24"/>
                <w:highlight w:val="none"/>
              </w:rPr>
              <w:t>合计金额大写：                                     ￥</w:t>
            </w:r>
            <w:r>
              <w:rPr>
                <w:rFonts w:hint="eastAsia" w:ascii="宋体" w:hAnsi="宋体" w:cs="宋体"/>
                <w:color w:val="auto"/>
                <w:sz w:val="24"/>
                <w:szCs w:val="24"/>
                <w:highlight w:val="none"/>
                <w:u w:val="single"/>
              </w:rPr>
              <w:t xml:space="preserve">            </w:t>
            </w:r>
          </w:p>
          <w:p>
            <w:pPr>
              <w:snapToGrid w:val="0"/>
              <w:spacing w:before="50" w:after="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w:t>
            </w:r>
          </w:p>
        </w:tc>
      </w:tr>
    </w:tbl>
    <w:p>
      <w:pPr>
        <w:snapToGrid w:val="0"/>
        <w:spacing w:before="50" w:after="50" w:line="4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注: 1、报价一经涂改，应在涂改处加盖单位公章或者由法定代表人或授权委托人签字或盖章，否则其投标作无效标处理。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4、以上报价应与“投标设备报价明细表”中的“投标总价”相一致。</w:t>
      </w:r>
    </w:p>
    <w:p>
      <w:pPr>
        <w:snapToGrid w:val="0"/>
        <w:spacing w:before="50" w:after="50"/>
        <w:ind w:left="-3" w:leftChars="-72" w:right="-817" w:rightChars="-389" w:hanging="148" w:hangingChars="62"/>
        <w:rPr>
          <w:rFonts w:ascii="宋体" w:hAnsi="宋体" w:cs="宋体"/>
          <w:color w:val="auto"/>
          <w:sz w:val="24"/>
          <w:szCs w:val="24"/>
          <w:highlight w:val="none"/>
        </w:rPr>
      </w:pPr>
    </w:p>
    <w:p>
      <w:pPr>
        <w:snapToGrid w:val="0"/>
        <w:spacing w:before="50" w:after="50"/>
        <w:ind w:left="-3" w:leftChars="-72" w:right="-817" w:rightChars="-389" w:hanging="148" w:hangingChars="62"/>
        <w:rPr>
          <w:rFonts w:ascii="宋体" w:hAnsi="宋体" w:cs="宋体"/>
          <w:color w:val="auto"/>
          <w:sz w:val="24"/>
          <w:szCs w:val="24"/>
          <w:highlight w:val="none"/>
        </w:rPr>
      </w:pPr>
    </w:p>
    <w:p>
      <w:pPr>
        <w:snapToGrid w:val="0"/>
        <w:spacing w:before="50" w:after="50"/>
        <w:ind w:left="-3" w:leftChars="-72" w:right="-817" w:rightChars="-389" w:hanging="148" w:hangingChars="62"/>
        <w:rPr>
          <w:rFonts w:ascii="宋体" w:hAnsi="宋体" w:cs="宋体"/>
          <w:color w:val="auto"/>
          <w:sz w:val="24"/>
          <w:szCs w:val="24"/>
          <w:highlight w:val="none"/>
        </w:rPr>
      </w:pPr>
    </w:p>
    <w:p>
      <w:pPr>
        <w:snapToGrid w:val="0"/>
        <w:spacing w:before="50" w:after="50"/>
        <w:ind w:left="-3" w:leftChars="-72" w:right="-817" w:rightChars="-389" w:hanging="148" w:hangingChars="62"/>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法定代表人或授权代表（签字或盖章）：                    </w:t>
      </w:r>
    </w:p>
    <w:p>
      <w:pPr>
        <w:snapToGrid w:val="0"/>
        <w:spacing w:before="50" w:after="50"/>
        <w:ind w:left="-3" w:leftChars="-72" w:right="-817" w:rightChars="-389" w:hanging="148" w:hangingChars="62"/>
        <w:rPr>
          <w:rFonts w:ascii="宋体" w:hAnsi="宋体" w:cs="宋体"/>
          <w:color w:val="auto"/>
          <w:sz w:val="24"/>
          <w:szCs w:val="24"/>
          <w:highlight w:val="none"/>
        </w:rPr>
      </w:pPr>
    </w:p>
    <w:p>
      <w:pPr>
        <w:snapToGrid w:val="0"/>
        <w:spacing w:before="50" w:after="50"/>
        <w:ind w:left="-3" w:leftChars="-72" w:right="-817" w:rightChars="-389" w:hanging="148" w:hangingChars="62"/>
        <w:rPr>
          <w:rFonts w:ascii="宋体" w:hAnsi="宋体" w:cs="宋体"/>
          <w:color w:val="auto"/>
          <w:sz w:val="24"/>
          <w:szCs w:val="24"/>
          <w:highlight w:val="none"/>
        </w:rPr>
      </w:pPr>
    </w:p>
    <w:p>
      <w:pPr>
        <w:snapToGrid w:val="0"/>
        <w:spacing w:before="50" w:after="50"/>
        <w:ind w:left="-3" w:leftChars="-72" w:right="-817" w:rightChars="-389" w:hanging="148" w:hangingChars="62"/>
        <w:rPr>
          <w:rFonts w:ascii="宋体" w:hAnsi="宋体" w:cs="宋体"/>
          <w:color w:val="auto"/>
          <w:sz w:val="24"/>
          <w:szCs w:val="24"/>
          <w:highlight w:val="none"/>
        </w:rPr>
      </w:pPr>
    </w:p>
    <w:p>
      <w:pPr>
        <w:snapToGrid w:val="0"/>
        <w:spacing w:before="50" w:after="50"/>
        <w:ind w:left="-3" w:leftChars="-72" w:right="-817" w:rightChars="-389" w:hanging="148" w:hangingChars="62"/>
        <w:rPr>
          <w:rFonts w:ascii="宋体" w:hAnsi="宋体" w:cs="宋体"/>
          <w:color w:val="auto"/>
          <w:sz w:val="24"/>
          <w:szCs w:val="24"/>
          <w:highlight w:val="none"/>
        </w:rPr>
      </w:pPr>
    </w:p>
    <w:p>
      <w:pPr>
        <w:snapToGrid w:val="0"/>
        <w:spacing w:before="50" w:after="50"/>
        <w:ind w:left="-3" w:leftChars="-72" w:right="-817" w:rightChars="-389" w:hanging="148" w:hangingChars="62"/>
        <w:rPr>
          <w:rFonts w:ascii="宋体" w:hAnsi="宋体" w:cs="宋体"/>
          <w:color w:val="auto"/>
          <w:sz w:val="24"/>
          <w:szCs w:val="24"/>
          <w:highlight w:val="none"/>
        </w:rPr>
      </w:pPr>
      <w:r>
        <w:rPr>
          <w:rFonts w:hint="eastAsia" w:ascii="宋体" w:hAnsi="宋体" w:cs="宋体"/>
          <w:color w:val="auto"/>
          <w:sz w:val="24"/>
          <w:szCs w:val="24"/>
          <w:highlight w:val="none"/>
        </w:rPr>
        <w:t>投标人名称（盖章）：                               日期：    年   月   日</w:t>
      </w:r>
    </w:p>
    <w:p>
      <w:pPr>
        <w:pStyle w:val="7"/>
        <w:snapToGrid w:val="0"/>
        <w:spacing w:before="295" w:after="295"/>
        <w:rPr>
          <w:rFonts w:hAnsi="宋体" w:cs="宋体"/>
          <w:b/>
          <w:color w:val="auto"/>
          <w:highlight w:val="none"/>
        </w:rPr>
      </w:pPr>
    </w:p>
    <w:p>
      <w:pPr>
        <w:pStyle w:val="7"/>
        <w:snapToGrid w:val="0"/>
        <w:spacing w:before="295" w:after="295"/>
        <w:rPr>
          <w:rFonts w:hAnsi="宋体" w:cs="宋体"/>
          <w:b/>
          <w:color w:val="auto"/>
          <w:highlight w:val="none"/>
        </w:rPr>
      </w:pPr>
    </w:p>
    <w:p>
      <w:pPr>
        <w:pStyle w:val="7"/>
        <w:snapToGrid w:val="0"/>
        <w:spacing w:before="295" w:after="295"/>
        <w:rPr>
          <w:rFonts w:hAnsi="宋体" w:cs="宋体"/>
          <w:b/>
          <w:color w:val="auto"/>
          <w:highlight w:val="none"/>
        </w:rPr>
      </w:pPr>
    </w:p>
    <w:p>
      <w:pPr>
        <w:pStyle w:val="7"/>
        <w:snapToGrid w:val="0"/>
        <w:spacing w:before="295" w:after="295"/>
        <w:rPr>
          <w:rFonts w:hAnsi="宋体" w:cs="宋体"/>
          <w:b/>
          <w:color w:val="auto"/>
          <w:highlight w:val="none"/>
        </w:rPr>
      </w:pPr>
    </w:p>
    <w:p>
      <w:pPr>
        <w:pStyle w:val="7"/>
        <w:snapToGrid w:val="0"/>
        <w:spacing w:before="295" w:after="295"/>
        <w:rPr>
          <w:rFonts w:hAnsi="宋体" w:cs="宋体"/>
          <w:b/>
          <w:color w:val="auto"/>
          <w:highlight w:val="none"/>
        </w:rPr>
      </w:pPr>
    </w:p>
    <w:p>
      <w:pPr>
        <w:pStyle w:val="7"/>
        <w:snapToGrid w:val="0"/>
        <w:spacing w:before="295" w:after="295"/>
        <w:rPr>
          <w:rFonts w:hAnsi="宋体" w:cs="宋体"/>
          <w:b/>
          <w:color w:val="auto"/>
          <w:highlight w:val="none"/>
        </w:rPr>
      </w:pPr>
    </w:p>
    <w:p>
      <w:pPr>
        <w:pStyle w:val="7"/>
        <w:snapToGrid w:val="0"/>
        <w:spacing w:before="295" w:after="295"/>
        <w:rPr>
          <w:rFonts w:hAnsi="宋体" w:cs="宋体"/>
          <w:b/>
          <w:color w:val="auto"/>
          <w:highlight w:val="none"/>
        </w:rPr>
      </w:pPr>
    </w:p>
    <w:p>
      <w:pPr>
        <w:pStyle w:val="7"/>
        <w:snapToGrid w:val="0"/>
        <w:spacing w:before="295" w:after="295"/>
        <w:rPr>
          <w:rFonts w:hAnsi="宋体" w:cs="宋体"/>
          <w:b/>
          <w:color w:val="auto"/>
          <w:highlight w:val="none"/>
        </w:rPr>
      </w:pPr>
    </w:p>
    <w:p>
      <w:pPr>
        <w:pStyle w:val="7"/>
        <w:snapToGrid w:val="0"/>
        <w:spacing w:before="295" w:after="295"/>
        <w:rPr>
          <w:rFonts w:hAnsi="宋体" w:cs="宋体"/>
          <w:b/>
          <w:color w:val="auto"/>
          <w:sz w:val="24"/>
          <w:szCs w:val="24"/>
          <w:highlight w:val="none"/>
        </w:rPr>
      </w:pPr>
      <w:r>
        <w:rPr>
          <w:rFonts w:hint="eastAsia" w:hAnsi="宋体" w:cs="宋体"/>
          <w:b/>
          <w:color w:val="auto"/>
          <w:sz w:val="24"/>
          <w:szCs w:val="24"/>
          <w:highlight w:val="none"/>
        </w:rPr>
        <w:t xml:space="preserve">附件六 投标报价明细表格式：       </w:t>
      </w:r>
    </w:p>
    <w:p>
      <w:pPr>
        <w:pStyle w:val="7"/>
        <w:snapToGrid w:val="0"/>
        <w:spacing w:before="295" w:after="295"/>
        <w:jc w:val="center"/>
        <w:rPr>
          <w:rFonts w:hAnsi="宋体" w:cs="宋体"/>
          <w:color w:val="auto"/>
          <w:sz w:val="24"/>
          <w:szCs w:val="24"/>
          <w:highlight w:val="none"/>
        </w:rPr>
      </w:pPr>
      <w:r>
        <w:rPr>
          <w:rFonts w:hint="eastAsia" w:hAnsi="宋体" w:cs="宋体"/>
          <w:color w:val="auto"/>
          <w:sz w:val="24"/>
          <w:szCs w:val="24"/>
          <w:highlight w:val="none"/>
        </w:rPr>
        <w:t>投标报价明细表</w:t>
      </w:r>
    </w:p>
    <w:p>
      <w:pPr>
        <w:pStyle w:val="7"/>
        <w:snapToGrid w:val="0"/>
        <w:spacing w:before="295" w:after="295"/>
        <w:rPr>
          <w:rFonts w:hAnsi="宋体" w:cs="宋体"/>
          <w:color w:val="auto"/>
          <w:sz w:val="24"/>
          <w:szCs w:val="24"/>
          <w:highlight w:val="none"/>
        </w:rPr>
      </w:pPr>
      <w:r>
        <w:rPr>
          <w:rFonts w:hint="eastAsia" w:hAnsi="宋体" w:cs="宋体"/>
          <w:color w:val="auto"/>
          <w:sz w:val="24"/>
          <w:szCs w:val="24"/>
          <w:highlight w:val="none"/>
        </w:rPr>
        <w:t>标项：</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金额单位：人民币（元）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35"/>
        <w:gridCol w:w="1417"/>
        <w:gridCol w:w="851"/>
        <w:gridCol w:w="708"/>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835"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141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85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708"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13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单价</w:t>
            </w:r>
          </w:p>
        </w:tc>
        <w:tc>
          <w:tcPr>
            <w:tcW w:w="1134"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835"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IG-541气瓶检测充气</w:t>
            </w:r>
          </w:p>
        </w:tc>
        <w:tc>
          <w:tcPr>
            <w:tcW w:w="141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90L</w:t>
            </w:r>
          </w:p>
        </w:tc>
        <w:tc>
          <w:tcPr>
            <w:tcW w:w="85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708"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67</w:t>
            </w:r>
          </w:p>
        </w:tc>
        <w:tc>
          <w:tcPr>
            <w:tcW w:w="113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1134" w:type="dxa"/>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835"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七氟丙烷气瓶检测充气</w:t>
            </w:r>
          </w:p>
        </w:tc>
        <w:tc>
          <w:tcPr>
            <w:tcW w:w="141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90L</w:t>
            </w:r>
          </w:p>
        </w:tc>
        <w:tc>
          <w:tcPr>
            <w:tcW w:w="85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708"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13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1134" w:type="dxa"/>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835"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七氟丙烷气瓶检测充气</w:t>
            </w:r>
          </w:p>
        </w:tc>
        <w:tc>
          <w:tcPr>
            <w:tcW w:w="141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120L</w:t>
            </w:r>
          </w:p>
        </w:tc>
        <w:tc>
          <w:tcPr>
            <w:tcW w:w="85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708"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134" w:type="dxa"/>
            <w:vAlign w:val="center"/>
          </w:tcPr>
          <w:p>
            <w:pPr>
              <w:spacing w:line="360" w:lineRule="auto"/>
              <w:rPr>
                <w:rFonts w:ascii="宋体" w:hAnsi="宋体" w:cs="宋体"/>
                <w:color w:val="auto"/>
                <w:sz w:val="24"/>
                <w:szCs w:val="24"/>
                <w:highlight w:val="none"/>
              </w:rPr>
            </w:pPr>
          </w:p>
        </w:tc>
        <w:tc>
          <w:tcPr>
            <w:tcW w:w="1134" w:type="dxa"/>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835"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七氟丙烷气瓶检测充气</w:t>
            </w:r>
          </w:p>
        </w:tc>
        <w:tc>
          <w:tcPr>
            <w:tcW w:w="141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15L</w:t>
            </w:r>
          </w:p>
        </w:tc>
        <w:tc>
          <w:tcPr>
            <w:tcW w:w="85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708"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13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1134" w:type="dxa"/>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835"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七氟丙烷气瓶检测充气</w:t>
            </w:r>
          </w:p>
        </w:tc>
        <w:tc>
          <w:tcPr>
            <w:tcW w:w="141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26L</w:t>
            </w:r>
          </w:p>
        </w:tc>
        <w:tc>
          <w:tcPr>
            <w:tcW w:w="85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708"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134" w:type="dxa"/>
            <w:vAlign w:val="center"/>
          </w:tcPr>
          <w:p>
            <w:pPr>
              <w:spacing w:line="360" w:lineRule="auto"/>
              <w:rPr>
                <w:rFonts w:ascii="宋体" w:hAnsi="宋体" w:cs="宋体"/>
                <w:color w:val="auto"/>
                <w:sz w:val="24"/>
                <w:szCs w:val="24"/>
                <w:highlight w:val="none"/>
              </w:rPr>
            </w:pPr>
          </w:p>
        </w:tc>
        <w:tc>
          <w:tcPr>
            <w:tcW w:w="1134" w:type="dxa"/>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835"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七氟丙烷气瓶检测充气</w:t>
            </w:r>
          </w:p>
        </w:tc>
        <w:tc>
          <w:tcPr>
            <w:tcW w:w="141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150L</w:t>
            </w:r>
          </w:p>
        </w:tc>
        <w:tc>
          <w:tcPr>
            <w:tcW w:w="85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708"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134" w:type="dxa"/>
            <w:vAlign w:val="center"/>
          </w:tcPr>
          <w:p>
            <w:pPr>
              <w:spacing w:line="360" w:lineRule="auto"/>
              <w:rPr>
                <w:rFonts w:ascii="宋体" w:hAnsi="宋体" w:cs="宋体"/>
                <w:color w:val="auto"/>
                <w:sz w:val="24"/>
                <w:szCs w:val="24"/>
                <w:highlight w:val="none"/>
              </w:rPr>
            </w:pPr>
          </w:p>
        </w:tc>
        <w:tc>
          <w:tcPr>
            <w:tcW w:w="1134" w:type="dxa"/>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835"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启动瓶检测充装</w:t>
            </w:r>
          </w:p>
        </w:tc>
        <w:tc>
          <w:tcPr>
            <w:tcW w:w="141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40L</w:t>
            </w:r>
          </w:p>
        </w:tc>
        <w:tc>
          <w:tcPr>
            <w:tcW w:w="85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瓶组</w:t>
            </w:r>
          </w:p>
        </w:tc>
        <w:tc>
          <w:tcPr>
            <w:tcW w:w="708"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13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1134" w:type="dxa"/>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8079" w:type="dxa"/>
            <w:gridSpan w:val="6"/>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合计：大写：                     小写：</w:t>
            </w:r>
          </w:p>
        </w:tc>
      </w:tr>
    </w:tbl>
    <w:p>
      <w:pPr>
        <w:tabs>
          <w:tab w:val="left" w:pos="1418"/>
        </w:tabs>
        <w:snapToGrid w:val="0"/>
        <w:spacing w:before="50" w:after="50"/>
        <w:ind w:left="1418" w:hanging="567"/>
        <w:jc w:val="center"/>
        <w:rPr>
          <w:rFonts w:ascii="宋体" w:hAnsi="宋体" w:cs="宋体"/>
          <w:color w:val="auto"/>
          <w:spacing w:val="20"/>
          <w:sz w:val="24"/>
          <w:szCs w:val="24"/>
          <w:highlight w:val="none"/>
          <w:u w:val="single"/>
        </w:rPr>
      </w:pPr>
    </w:p>
    <w:p>
      <w:pPr>
        <w:snapToGrid w:val="0"/>
        <w:spacing w:before="50" w:after="50"/>
        <w:rPr>
          <w:rFonts w:ascii="宋体" w:hAnsi="宋体" w:cs="宋体"/>
          <w:color w:val="auto"/>
          <w:spacing w:val="20"/>
          <w:sz w:val="24"/>
          <w:szCs w:val="24"/>
          <w:highlight w:val="none"/>
          <w:u w:val="single"/>
        </w:rPr>
      </w:pPr>
      <w:r>
        <w:rPr>
          <w:rFonts w:hint="eastAsia" w:ascii="宋体" w:hAnsi="宋体" w:cs="宋体"/>
          <w:color w:val="auto"/>
          <w:spacing w:val="20"/>
          <w:sz w:val="24"/>
          <w:szCs w:val="24"/>
          <w:highlight w:val="none"/>
        </w:rPr>
        <w:t>授权代表签名：</w:t>
      </w:r>
      <w:r>
        <w:rPr>
          <w:rFonts w:hint="eastAsia" w:ascii="宋体" w:hAnsi="宋体" w:cs="宋体"/>
          <w:color w:val="auto"/>
          <w:spacing w:val="20"/>
          <w:sz w:val="24"/>
          <w:szCs w:val="24"/>
          <w:highlight w:val="none"/>
          <w:u w:val="single"/>
        </w:rPr>
        <w:t xml:space="preserve">             </w:t>
      </w:r>
    </w:p>
    <w:p>
      <w:pPr>
        <w:snapToGrid w:val="0"/>
        <w:spacing w:before="50" w:after="50"/>
        <w:rPr>
          <w:rFonts w:ascii="宋体" w:hAnsi="宋体" w:cs="宋体"/>
          <w:color w:val="auto"/>
          <w:spacing w:val="20"/>
          <w:sz w:val="24"/>
          <w:szCs w:val="24"/>
          <w:highlight w:val="none"/>
        </w:rPr>
      </w:pPr>
    </w:p>
    <w:p>
      <w:pPr>
        <w:snapToGrid w:val="0"/>
        <w:spacing w:before="50" w:after="50"/>
        <w:rPr>
          <w:rFonts w:ascii="宋体" w:hAnsi="宋体" w:cs="宋体"/>
          <w:color w:val="auto"/>
          <w:spacing w:val="20"/>
          <w:sz w:val="24"/>
          <w:szCs w:val="24"/>
          <w:highlight w:val="none"/>
        </w:rPr>
      </w:pPr>
    </w:p>
    <w:p>
      <w:pPr>
        <w:snapToGrid w:val="0"/>
        <w:spacing w:before="50" w:after="50"/>
        <w:rPr>
          <w:rFonts w:ascii="宋体" w:hAnsi="宋体" w:cs="宋体"/>
          <w:color w:val="auto"/>
          <w:spacing w:val="20"/>
          <w:sz w:val="24"/>
          <w:szCs w:val="24"/>
          <w:highlight w:val="none"/>
          <w:u w:val="single"/>
        </w:rPr>
      </w:pPr>
      <w:r>
        <w:rPr>
          <w:rFonts w:hint="eastAsia" w:ascii="宋体" w:hAnsi="宋体" w:cs="宋体"/>
          <w:color w:val="auto"/>
          <w:spacing w:val="20"/>
          <w:sz w:val="24"/>
          <w:szCs w:val="24"/>
          <w:highlight w:val="none"/>
        </w:rPr>
        <w:t>投标人盖章：</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 xml:space="preserve">           日  期：</w:t>
      </w:r>
      <w:r>
        <w:rPr>
          <w:rFonts w:hint="eastAsia" w:ascii="宋体" w:hAnsi="宋体" w:cs="宋体"/>
          <w:color w:val="auto"/>
          <w:spacing w:val="20"/>
          <w:sz w:val="24"/>
          <w:szCs w:val="24"/>
          <w:highlight w:val="none"/>
          <w:u w:val="single"/>
        </w:rPr>
        <w:t xml:space="preserve">         </w:t>
      </w:r>
    </w:p>
    <w:p>
      <w:pPr>
        <w:pStyle w:val="7"/>
        <w:snapToGrid w:val="0"/>
        <w:spacing w:before="295" w:after="295"/>
        <w:ind w:firstLine="480" w:firstLineChars="200"/>
        <w:rPr>
          <w:rFonts w:hAnsi="宋体" w:cs="宋体"/>
          <w:color w:val="auto"/>
          <w:sz w:val="24"/>
          <w:szCs w:val="24"/>
          <w:highlight w:val="none"/>
        </w:rPr>
      </w:pPr>
    </w:p>
    <w:p>
      <w:pPr>
        <w:snapToGrid w:val="0"/>
        <w:spacing w:before="50" w:after="50" w:line="4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2、以上单价必须是最终报价，与投标总价相对应，不允许在总价基础上再报优惠价。</w:t>
      </w:r>
    </w:p>
    <w:p>
      <w:pPr>
        <w:rPr>
          <w:rFonts w:ascii="宋体" w:hAnsi="宋体" w:cs="宋体"/>
          <w:color w:val="auto"/>
          <w:highlight w:val="none"/>
        </w:rPr>
      </w:pPr>
    </w:p>
    <w:p>
      <w:pPr>
        <w:rPr>
          <w:rFonts w:ascii="宋体" w:hAnsi="宋体" w:cs="宋体"/>
          <w:color w:val="auto"/>
          <w:highlight w:val="none"/>
        </w:rPr>
      </w:pPr>
    </w:p>
    <w:p>
      <w:pPr>
        <w:widowControl/>
        <w:jc w:val="left"/>
        <w:rPr>
          <w:rFonts w:ascii="宋体" w:hAnsi="宋体" w:cs="宋体"/>
          <w:color w:val="auto"/>
          <w:highlight w:val="none"/>
        </w:rPr>
      </w:pPr>
      <w:r>
        <w:rPr>
          <w:rFonts w:hint="eastAsia" w:ascii="宋体" w:hAnsi="宋体" w:cs="宋体"/>
          <w:color w:val="auto"/>
          <w:highlight w:val="none"/>
        </w:rPr>
        <w:br w:type="page"/>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附件七 各类气瓶和对应阀门报价单</w:t>
      </w:r>
    </w:p>
    <w:tbl>
      <w:tblPr>
        <w:tblStyle w:val="16"/>
        <w:tblW w:w="0" w:type="auto"/>
        <w:jc w:val="center"/>
        <w:tblLayout w:type="fixed"/>
        <w:tblCellMar>
          <w:top w:w="0" w:type="dxa"/>
          <w:left w:w="108" w:type="dxa"/>
          <w:bottom w:w="0" w:type="dxa"/>
          <w:right w:w="108" w:type="dxa"/>
        </w:tblCellMar>
      </w:tblPr>
      <w:tblGrid>
        <w:gridCol w:w="710"/>
        <w:gridCol w:w="2125"/>
        <w:gridCol w:w="1136"/>
        <w:gridCol w:w="851"/>
        <w:gridCol w:w="1134"/>
        <w:gridCol w:w="1278"/>
        <w:gridCol w:w="1556"/>
      </w:tblGrid>
      <w:tr>
        <w:tblPrEx>
          <w:tblCellMar>
            <w:top w:w="0" w:type="dxa"/>
            <w:left w:w="108" w:type="dxa"/>
            <w:bottom w:w="0" w:type="dxa"/>
            <w:right w:w="108" w:type="dxa"/>
          </w:tblCellMar>
        </w:tblPrEx>
        <w:trPr>
          <w:trHeight w:val="63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2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11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851"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钢瓶单价</w:t>
            </w:r>
          </w:p>
        </w:tc>
        <w:tc>
          <w:tcPr>
            <w:tcW w:w="127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阀门单价</w:t>
            </w:r>
          </w:p>
        </w:tc>
        <w:tc>
          <w:tcPr>
            <w:tcW w:w="155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CellMar>
            <w:top w:w="0" w:type="dxa"/>
            <w:left w:w="108" w:type="dxa"/>
            <w:bottom w:w="0" w:type="dxa"/>
            <w:right w:w="108" w:type="dxa"/>
          </w:tblCellMar>
        </w:tblPrEx>
        <w:trPr>
          <w:trHeight w:val="563" w:hRule="atLeast"/>
          <w:jc w:val="center"/>
        </w:trPr>
        <w:tc>
          <w:tcPr>
            <w:tcW w:w="71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2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IG-541气瓶</w:t>
            </w:r>
          </w:p>
        </w:tc>
        <w:tc>
          <w:tcPr>
            <w:tcW w:w="1136"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90L</w:t>
            </w:r>
          </w:p>
        </w:tc>
        <w:tc>
          <w:tcPr>
            <w:tcW w:w="851"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瓶组</w:t>
            </w:r>
          </w:p>
        </w:tc>
        <w:tc>
          <w:tcPr>
            <w:tcW w:w="1134"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78"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dxa"/>
            <w:vMerge w:val="restart"/>
            <w:tcBorders>
              <w:top w:val="nil"/>
              <w:left w:val="single" w:color="auto" w:sz="4" w:space="0"/>
              <w:right w:val="single" w:color="auto" w:sz="4" w:space="0"/>
            </w:tcBorders>
            <w:vAlign w:val="center"/>
          </w:tcPr>
          <w:p>
            <w:pPr>
              <w:jc w:val="center"/>
              <w:rPr>
                <w:rFonts w:ascii="宋体" w:hAnsi="宋体" w:cs="宋体"/>
                <w:color w:val="auto"/>
                <w:kern w:val="0"/>
                <w:sz w:val="20"/>
                <w:highlight w:val="none"/>
              </w:rPr>
            </w:pPr>
            <w:r>
              <w:rPr>
                <w:rFonts w:hint="eastAsia" w:ascii="宋体" w:hAnsi="宋体" w:cs="宋体"/>
                <w:color w:val="auto"/>
                <w:kern w:val="0"/>
                <w:sz w:val="20"/>
                <w:highlight w:val="none"/>
              </w:rPr>
              <w:t>若有更换需求，按实际更换量结算</w:t>
            </w:r>
          </w:p>
        </w:tc>
      </w:tr>
      <w:tr>
        <w:tblPrEx>
          <w:tblCellMar>
            <w:top w:w="0" w:type="dxa"/>
            <w:left w:w="108" w:type="dxa"/>
            <w:bottom w:w="0" w:type="dxa"/>
            <w:right w:w="108" w:type="dxa"/>
          </w:tblCellMar>
        </w:tblPrEx>
        <w:trPr>
          <w:trHeight w:val="556" w:hRule="atLeast"/>
          <w:jc w:val="center"/>
        </w:trPr>
        <w:tc>
          <w:tcPr>
            <w:tcW w:w="71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2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七氟丙烷气瓶</w:t>
            </w:r>
          </w:p>
        </w:tc>
        <w:tc>
          <w:tcPr>
            <w:tcW w:w="1136"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90L</w:t>
            </w:r>
          </w:p>
        </w:tc>
        <w:tc>
          <w:tcPr>
            <w:tcW w:w="851"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瓶组</w:t>
            </w:r>
          </w:p>
        </w:tc>
        <w:tc>
          <w:tcPr>
            <w:tcW w:w="1134"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78"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dxa"/>
            <w:vMerge w:val="continue"/>
            <w:tcBorders>
              <w:left w:val="single" w:color="auto" w:sz="4" w:space="0"/>
              <w:right w:val="single" w:color="auto" w:sz="4" w:space="0"/>
            </w:tcBorders>
            <w:vAlign w:val="center"/>
          </w:tcPr>
          <w:p>
            <w:pPr>
              <w:jc w:val="left"/>
              <w:rPr>
                <w:rFonts w:ascii="宋体" w:hAnsi="宋体" w:cs="宋体"/>
                <w:color w:val="auto"/>
                <w:kern w:val="0"/>
                <w:sz w:val="20"/>
                <w:highlight w:val="none"/>
              </w:rPr>
            </w:pPr>
          </w:p>
        </w:tc>
      </w:tr>
      <w:tr>
        <w:tblPrEx>
          <w:tblCellMar>
            <w:top w:w="0" w:type="dxa"/>
            <w:left w:w="108" w:type="dxa"/>
            <w:bottom w:w="0" w:type="dxa"/>
            <w:right w:w="108" w:type="dxa"/>
          </w:tblCellMar>
        </w:tblPrEx>
        <w:trPr>
          <w:trHeight w:val="564" w:hRule="atLeast"/>
          <w:jc w:val="center"/>
        </w:trPr>
        <w:tc>
          <w:tcPr>
            <w:tcW w:w="71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2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七氟丙烷气瓶</w:t>
            </w:r>
          </w:p>
        </w:tc>
        <w:tc>
          <w:tcPr>
            <w:tcW w:w="1136"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120L</w:t>
            </w:r>
          </w:p>
        </w:tc>
        <w:tc>
          <w:tcPr>
            <w:tcW w:w="851"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瓶组</w:t>
            </w:r>
          </w:p>
        </w:tc>
        <w:tc>
          <w:tcPr>
            <w:tcW w:w="1134"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78"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dxa"/>
            <w:vMerge w:val="continue"/>
            <w:tcBorders>
              <w:left w:val="single" w:color="auto" w:sz="4" w:space="0"/>
              <w:right w:val="single" w:color="auto" w:sz="4" w:space="0"/>
            </w:tcBorders>
            <w:vAlign w:val="center"/>
          </w:tcPr>
          <w:p>
            <w:pPr>
              <w:jc w:val="left"/>
              <w:rPr>
                <w:rFonts w:ascii="宋体" w:hAnsi="宋体" w:cs="宋体"/>
                <w:color w:val="auto"/>
                <w:kern w:val="0"/>
                <w:sz w:val="20"/>
                <w:highlight w:val="none"/>
              </w:rPr>
            </w:pPr>
          </w:p>
        </w:tc>
      </w:tr>
      <w:tr>
        <w:tblPrEx>
          <w:tblCellMar>
            <w:top w:w="0" w:type="dxa"/>
            <w:left w:w="108" w:type="dxa"/>
            <w:bottom w:w="0" w:type="dxa"/>
            <w:right w:w="108" w:type="dxa"/>
          </w:tblCellMar>
        </w:tblPrEx>
        <w:trPr>
          <w:trHeight w:val="558" w:hRule="atLeast"/>
          <w:jc w:val="center"/>
        </w:trPr>
        <w:tc>
          <w:tcPr>
            <w:tcW w:w="71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2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七氟丙烷气瓶</w:t>
            </w:r>
          </w:p>
        </w:tc>
        <w:tc>
          <w:tcPr>
            <w:tcW w:w="1136"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15L</w:t>
            </w:r>
          </w:p>
        </w:tc>
        <w:tc>
          <w:tcPr>
            <w:tcW w:w="851"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瓶组</w:t>
            </w:r>
          </w:p>
        </w:tc>
        <w:tc>
          <w:tcPr>
            <w:tcW w:w="1134"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78"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dxa"/>
            <w:vMerge w:val="continue"/>
            <w:tcBorders>
              <w:left w:val="single" w:color="auto" w:sz="4" w:space="0"/>
              <w:right w:val="single" w:color="auto" w:sz="4" w:space="0"/>
            </w:tcBorders>
            <w:vAlign w:val="center"/>
          </w:tcPr>
          <w:p>
            <w:pPr>
              <w:jc w:val="left"/>
              <w:rPr>
                <w:rFonts w:ascii="宋体" w:hAnsi="宋体" w:cs="宋体"/>
                <w:color w:val="auto"/>
                <w:kern w:val="0"/>
                <w:sz w:val="20"/>
                <w:highlight w:val="none"/>
              </w:rPr>
            </w:pPr>
          </w:p>
        </w:tc>
      </w:tr>
      <w:tr>
        <w:tblPrEx>
          <w:tblCellMar>
            <w:top w:w="0" w:type="dxa"/>
            <w:left w:w="108" w:type="dxa"/>
            <w:bottom w:w="0" w:type="dxa"/>
            <w:right w:w="108" w:type="dxa"/>
          </w:tblCellMar>
        </w:tblPrEx>
        <w:trPr>
          <w:trHeight w:val="552" w:hRule="atLeast"/>
          <w:jc w:val="center"/>
        </w:trPr>
        <w:tc>
          <w:tcPr>
            <w:tcW w:w="71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2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七氟丙烷气瓶</w:t>
            </w:r>
          </w:p>
        </w:tc>
        <w:tc>
          <w:tcPr>
            <w:tcW w:w="1136"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26L</w:t>
            </w:r>
          </w:p>
        </w:tc>
        <w:tc>
          <w:tcPr>
            <w:tcW w:w="851"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瓶组</w:t>
            </w:r>
          </w:p>
        </w:tc>
        <w:tc>
          <w:tcPr>
            <w:tcW w:w="1134"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78"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dxa"/>
            <w:vMerge w:val="continue"/>
            <w:tcBorders>
              <w:left w:val="single" w:color="auto" w:sz="4" w:space="0"/>
              <w:right w:val="single" w:color="auto" w:sz="4" w:space="0"/>
            </w:tcBorders>
            <w:vAlign w:val="center"/>
          </w:tcPr>
          <w:p>
            <w:pPr>
              <w:jc w:val="left"/>
              <w:rPr>
                <w:rFonts w:ascii="宋体" w:hAnsi="宋体" w:cs="宋体"/>
                <w:color w:val="auto"/>
                <w:kern w:val="0"/>
                <w:sz w:val="20"/>
                <w:highlight w:val="none"/>
              </w:rPr>
            </w:pPr>
          </w:p>
        </w:tc>
      </w:tr>
      <w:tr>
        <w:tblPrEx>
          <w:tblCellMar>
            <w:top w:w="0" w:type="dxa"/>
            <w:left w:w="108" w:type="dxa"/>
            <w:bottom w:w="0" w:type="dxa"/>
            <w:right w:w="108" w:type="dxa"/>
          </w:tblCellMar>
        </w:tblPrEx>
        <w:trPr>
          <w:trHeight w:val="546" w:hRule="atLeast"/>
          <w:jc w:val="center"/>
        </w:trPr>
        <w:tc>
          <w:tcPr>
            <w:tcW w:w="71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2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七氟丙烷气瓶</w:t>
            </w:r>
          </w:p>
        </w:tc>
        <w:tc>
          <w:tcPr>
            <w:tcW w:w="1136"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150L</w:t>
            </w:r>
          </w:p>
        </w:tc>
        <w:tc>
          <w:tcPr>
            <w:tcW w:w="851"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瓶组</w:t>
            </w:r>
          </w:p>
        </w:tc>
        <w:tc>
          <w:tcPr>
            <w:tcW w:w="1134"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p>
        </w:tc>
        <w:tc>
          <w:tcPr>
            <w:tcW w:w="1278"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p>
        </w:tc>
        <w:tc>
          <w:tcPr>
            <w:tcW w:w="1556" w:type="dxa"/>
            <w:vMerge w:val="continue"/>
            <w:tcBorders>
              <w:left w:val="single" w:color="auto" w:sz="4" w:space="0"/>
              <w:right w:val="single" w:color="auto" w:sz="4" w:space="0"/>
            </w:tcBorders>
            <w:vAlign w:val="center"/>
          </w:tcPr>
          <w:p>
            <w:pPr>
              <w:jc w:val="left"/>
              <w:rPr>
                <w:rFonts w:ascii="宋体" w:hAnsi="宋体" w:cs="宋体"/>
                <w:color w:val="auto"/>
                <w:kern w:val="0"/>
                <w:sz w:val="20"/>
                <w:highlight w:val="none"/>
              </w:rPr>
            </w:pPr>
          </w:p>
        </w:tc>
      </w:tr>
      <w:tr>
        <w:tblPrEx>
          <w:tblCellMar>
            <w:top w:w="0" w:type="dxa"/>
            <w:left w:w="108" w:type="dxa"/>
            <w:bottom w:w="0" w:type="dxa"/>
            <w:right w:w="108" w:type="dxa"/>
          </w:tblCellMar>
        </w:tblPrEx>
        <w:trPr>
          <w:trHeight w:val="568" w:hRule="atLeast"/>
          <w:jc w:val="center"/>
        </w:trPr>
        <w:tc>
          <w:tcPr>
            <w:tcW w:w="71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212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启动瓶</w:t>
            </w:r>
          </w:p>
        </w:tc>
        <w:tc>
          <w:tcPr>
            <w:tcW w:w="1136"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40L</w:t>
            </w:r>
          </w:p>
        </w:tc>
        <w:tc>
          <w:tcPr>
            <w:tcW w:w="851"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瓶组</w:t>
            </w:r>
          </w:p>
        </w:tc>
        <w:tc>
          <w:tcPr>
            <w:tcW w:w="1134"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78" w:type="dxa"/>
            <w:tcBorders>
              <w:top w:val="nil"/>
              <w:left w:val="nil"/>
              <w:bottom w:val="single" w:color="auto" w:sz="4" w:space="0"/>
              <w:right w:val="single" w:color="auto" w:sz="4" w:space="0"/>
            </w:tcBorders>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56" w:type="dxa"/>
            <w:vMerge w:val="continue"/>
            <w:tcBorders>
              <w:left w:val="single" w:color="auto" w:sz="4" w:space="0"/>
              <w:bottom w:val="single" w:color="auto" w:sz="4" w:space="0"/>
              <w:right w:val="single" w:color="auto" w:sz="4" w:space="0"/>
            </w:tcBorders>
            <w:vAlign w:val="center"/>
          </w:tcPr>
          <w:p>
            <w:pPr>
              <w:jc w:val="left"/>
              <w:rPr>
                <w:rFonts w:ascii="宋体" w:hAnsi="宋体" w:cs="宋体"/>
                <w:color w:val="auto"/>
                <w:kern w:val="0"/>
                <w:sz w:val="20"/>
                <w:highlight w:val="none"/>
              </w:rPr>
            </w:pPr>
          </w:p>
        </w:tc>
      </w:tr>
    </w:tbl>
    <w:p>
      <w:pPr>
        <w:pStyle w:val="2"/>
        <w:rPr>
          <w:rFonts w:hAnsi="宋体" w:cs="宋体"/>
          <w:color w:val="auto"/>
          <w:sz w:val="24"/>
          <w:szCs w:val="24"/>
          <w:highlight w:val="none"/>
        </w:rPr>
      </w:pPr>
    </w:p>
    <w:p>
      <w:pPr>
        <w:rPr>
          <w:rFonts w:ascii="宋体" w:hAnsi="宋体" w:cs="宋体"/>
          <w:color w:val="auto"/>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附件八 技术规格偏离表格式</w:t>
      </w: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技术规格偏离表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招标编号：</w:t>
      </w:r>
      <w:r>
        <w:rPr>
          <w:rFonts w:hint="eastAsia" w:ascii="宋体" w:hAnsi="宋体" w:cs="宋体"/>
          <w:color w:val="auto"/>
          <w:sz w:val="24"/>
          <w:szCs w:val="24"/>
          <w:highlight w:val="none"/>
          <w:u w:val="single"/>
        </w:rPr>
        <w:t xml:space="preserve">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250"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招标文件条目号</w:t>
            </w:r>
          </w:p>
        </w:tc>
        <w:tc>
          <w:tcPr>
            <w:tcW w:w="1440"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招标要求</w:t>
            </w:r>
          </w:p>
        </w:tc>
        <w:tc>
          <w:tcPr>
            <w:tcW w:w="1980"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投标响应情况</w:t>
            </w:r>
          </w:p>
        </w:tc>
        <w:tc>
          <w:tcPr>
            <w:tcW w:w="882"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偏离</w:t>
            </w:r>
          </w:p>
        </w:tc>
        <w:tc>
          <w:tcPr>
            <w:tcW w:w="1638"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1440" w:type="dxa"/>
          </w:tcPr>
          <w:p>
            <w:pPr>
              <w:spacing w:line="360" w:lineRule="auto"/>
              <w:rPr>
                <w:rFonts w:ascii="宋体" w:hAnsi="宋体" w:cs="宋体"/>
                <w:color w:val="auto"/>
                <w:sz w:val="24"/>
                <w:szCs w:val="24"/>
                <w:highlight w:val="none"/>
              </w:rPr>
            </w:pPr>
          </w:p>
        </w:tc>
        <w:tc>
          <w:tcPr>
            <w:tcW w:w="1980" w:type="dxa"/>
          </w:tcPr>
          <w:p>
            <w:pPr>
              <w:spacing w:line="360" w:lineRule="auto"/>
              <w:rPr>
                <w:rFonts w:ascii="宋体" w:hAnsi="宋体" w:cs="宋体"/>
                <w:color w:val="auto"/>
                <w:sz w:val="24"/>
                <w:szCs w:val="24"/>
                <w:highlight w:val="none"/>
              </w:rPr>
            </w:pPr>
          </w:p>
        </w:tc>
        <w:tc>
          <w:tcPr>
            <w:tcW w:w="882" w:type="dxa"/>
          </w:tcPr>
          <w:p>
            <w:pPr>
              <w:spacing w:line="360" w:lineRule="auto"/>
              <w:rPr>
                <w:rFonts w:ascii="宋体" w:hAnsi="宋体" w:cs="宋体"/>
                <w:color w:val="auto"/>
                <w:sz w:val="24"/>
                <w:szCs w:val="24"/>
                <w:highlight w:val="none"/>
              </w:rPr>
            </w:pPr>
          </w:p>
        </w:tc>
        <w:tc>
          <w:tcPr>
            <w:tcW w:w="1638"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1440" w:type="dxa"/>
          </w:tcPr>
          <w:p>
            <w:pPr>
              <w:spacing w:line="360" w:lineRule="auto"/>
              <w:rPr>
                <w:rFonts w:ascii="宋体" w:hAnsi="宋体" w:cs="宋体"/>
                <w:color w:val="auto"/>
                <w:sz w:val="24"/>
                <w:szCs w:val="24"/>
                <w:highlight w:val="none"/>
              </w:rPr>
            </w:pPr>
          </w:p>
        </w:tc>
        <w:tc>
          <w:tcPr>
            <w:tcW w:w="1980" w:type="dxa"/>
          </w:tcPr>
          <w:p>
            <w:pPr>
              <w:spacing w:line="360" w:lineRule="auto"/>
              <w:rPr>
                <w:rFonts w:ascii="宋体" w:hAnsi="宋体" w:cs="宋体"/>
                <w:color w:val="auto"/>
                <w:sz w:val="24"/>
                <w:szCs w:val="24"/>
                <w:highlight w:val="none"/>
              </w:rPr>
            </w:pPr>
          </w:p>
        </w:tc>
        <w:tc>
          <w:tcPr>
            <w:tcW w:w="882" w:type="dxa"/>
          </w:tcPr>
          <w:p>
            <w:pPr>
              <w:spacing w:line="360" w:lineRule="auto"/>
              <w:rPr>
                <w:rFonts w:ascii="宋体" w:hAnsi="宋体" w:cs="宋体"/>
                <w:color w:val="auto"/>
                <w:sz w:val="24"/>
                <w:szCs w:val="24"/>
                <w:highlight w:val="none"/>
              </w:rPr>
            </w:pPr>
          </w:p>
        </w:tc>
        <w:tc>
          <w:tcPr>
            <w:tcW w:w="1638"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1440" w:type="dxa"/>
          </w:tcPr>
          <w:p>
            <w:pPr>
              <w:spacing w:line="360" w:lineRule="auto"/>
              <w:rPr>
                <w:rFonts w:ascii="宋体" w:hAnsi="宋体" w:cs="宋体"/>
                <w:color w:val="auto"/>
                <w:sz w:val="24"/>
                <w:szCs w:val="24"/>
                <w:highlight w:val="none"/>
              </w:rPr>
            </w:pPr>
          </w:p>
        </w:tc>
        <w:tc>
          <w:tcPr>
            <w:tcW w:w="1980" w:type="dxa"/>
          </w:tcPr>
          <w:p>
            <w:pPr>
              <w:spacing w:line="360" w:lineRule="auto"/>
              <w:rPr>
                <w:rFonts w:ascii="宋体" w:hAnsi="宋体" w:cs="宋体"/>
                <w:color w:val="auto"/>
                <w:sz w:val="24"/>
                <w:szCs w:val="24"/>
                <w:highlight w:val="none"/>
              </w:rPr>
            </w:pPr>
          </w:p>
        </w:tc>
        <w:tc>
          <w:tcPr>
            <w:tcW w:w="882" w:type="dxa"/>
          </w:tcPr>
          <w:p>
            <w:pPr>
              <w:spacing w:line="360" w:lineRule="auto"/>
              <w:rPr>
                <w:rFonts w:ascii="宋体" w:hAnsi="宋体" w:cs="宋体"/>
                <w:color w:val="auto"/>
                <w:sz w:val="24"/>
                <w:szCs w:val="24"/>
                <w:highlight w:val="none"/>
              </w:rPr>
            </w:pPr>
          </w:p>
        </w:tc>
        <w:tc>
          <w:tcPr>
            <w:tcW w:w="1638"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1440" w:type="dxa"/>
          </w:tcPr>
          <w:p>
            <w:pPr>
              <w:spacing w:line="360" w:lineRule="auto"/>
              <w:rPr>
                <w:rFonts w:ascii="宋体" w:hAnsi="宋体" w:cs="宋体"/>
                <w:color w:val="auto"/>
                <w:sz w:val="24"/>
                <w:szCs w:val="24"/>
                <w:highlight w:val="none"/>
              </w:rPr>
            </w:pPr>
          </w:p>
        </w:tc>
        <w:tc>
          <w:tcPr>
            <w:tcW w:w="1980" w:type="dxa"/>
          </w:tcPr>
          <w:p>
            <w:pPr>
              <w:spacing w:line="360" w:lineRule="auto"/>
              <w:rPr>
                <w:rFonts w:ascii="宋体" w:hAnsi="宋体" w:cs="宋体"/>
                <w:color w:val="auto"/>
                <w:sz w:val="24"/>
                <w:szCs w:val="24"/>
                <w:highlight w:val="none"/>
              </w:rPr>
            </w:pPr>
          </w:p>
        </w:tc>
        <w:tc>
          <w:tcPr>
            <w:tcW w:w="882" w:type="dxa"/>
          </w:tcPr>
          <w:p>
            <w:pPr>
              <w:spacing w:line="360" w:lineRule="auto"/>
              <w:rPr>
                <w:rFonts w:ascii="宋体" w:hAnsi="宋体" w:cs="宋体"/>
                <w:color w:val="auto"/>
                <w:sz w:val="24"/>
                <w:szCs w:val="24"/>
                <w:highlight w:val="none"/>
              </w:rPr>
            </w:pPr>
          </w:p>
        </w:tc>
        <w:tc>
          <w:tcPr>
            <w:tcW w:w="1638"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1440" w:type="dxa"/>
          </w:tcPr>
          <w:p>
            <w:pPr>
              <w:spacing w:line="360" w:lineRule="auto"/>
              <w:rPr>
                <w:rFonts w:ascii="宋体" w:hAnsi="宋体" w:cs="宋体"/>
                <w:color w:val="auto"/>
                <w:sz w:val="24"/>
                <w:szCs w:val="24"/>
                <w:highlight w:val="none"/>
              </w:rPr>
            </w:pPr>
          </w:p>
        </w:tc>
        <w:tc>
          <w:tcPr>
            <w:tcW w:w="1980" w:type="dxa"/>
          </w:tcPr>
          <w:p>
            <w:pPr>
              <w:spacing w:line="360" w:lineRule="auto"/>
              <w:rPr>
                <w:rFonts w:ascii="宋体" w:hAnsi="宋体" w:cs="宋体"/>
                <w:color w:val="auto"/>
                <w:sz w:val="24"/>
                <w:szCs w:val="24"/>
                <w:highlight w:val="none"/>
              </w:rPr>
            </w:pPr>
          </w:p>
        </w:tc>
        <w:tc>
          <w:tcPr>
            <w:tcW w:w="882" w:type="dxa"/>
          </w:tcPr>
          <w:p>
            <w:pPr>
              <w:spacing w:line="360" w:lineRule="auto"/>
              <w:rPr>
                <w:rFonts w:ascii="宋体" w:hAnsi="宋体" w:cs="宋体"/>
                <w:color w:val="auto"/>
                <w:sz w:val="24"/>
                <w:szCs w:val="24"/>
                <w:highlight w:val="none"/>
              </w:rPr>
            </w:pPr>
          </w:p>
        </w:tc>
        <w:tc>
          <w:tcPr>
            <w:tcW w:w="1638"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1440" w:type="dxa"/>
          </w:tcPr>
          <w:p>
            <w:pPr>
              <w:spacing w:line="360" w:lineRule="auto"/>
              <w:rPr>
                <w:rFonts w:ascii="宋体" w:hAnsi="宋体" w:cs="宋体"/>
                <w:color w:val="auto"/>
                <w:sz w:val="24"/>
                <w:szCs w:val="24"/>
                <w:highlight w:val="none"/>
              </w:rPr>
            </w:pPr>
          </w:p>
        </w:tc>
        <w:tc>
          <w:tcPr>
            <w:tcW w:w="1980" w:type="dxa"/>
          </w:tcPr>
          <w:p>
            <w:pPr>
              <w:spacing w:line="360" w:lineRule="auto"/>
              <w:rPr>
                <w:rFonts w:ascii="宋体" w:hAnsi="宋体" w:cs="宋体"/>
                <w:color w:val="auto"/>
                <w:sz w:val="24"/>
                <w:szCs w:val="24"/>
                <w:highlight w:val="none"/>
              </w:rPr>
            </w:pPr>
          </w:p>
        </w:tc>
        <w:tc>
          <w:tcPr>
            <w:tcW w:w="882" w:type="dxa"/>
          </w:tcPr>
          <w:p>
            <w:pPr>
              <w:spacing w:line="360" w:lineRule="auto"/>
              <w:rPr>
                <w:rFonts w:ascii="宋体" w:hAnsi="宋体" w:cs="宋体"/>
                <w:color w:val="auto"/>
                <w:sz w:val="24"/>
                <w:szCs w:val="24"/>
                <w:highlight w:val="none"/>
              </w:rPr>
            </w:pPr>
          </w:p>
        </w:tc>
        <w:tc>
          <w:tcPr>
            <w:tcW w:w="1638"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1440" w:type="dxa"/>
          </w:tcPr>
          <w:p>
            <w:pPr>
              <w:spacing w:line="360" w:lineRule="auto"/>
              <w:rPr>
                <w:rFonts w:ascii="宋体" w:hAnsi="宋体" w:cs="宋体"/>
                <w:color w:val="auto"/>
                <w:sz w:val="24"/>
                <w:szCs w:val="24"/>
                <w:highlight w:val="none"/>
              </w:rPr>
            </w:pPr>
          </w:p>
        </w:tc>
        <w:tc>
          <w:tcPr>
            <w:tcW w:w="1980" w:type="dxa"/>
          </w:tcPr>
          <w:p>
            <w:pPr>
              <w:spacing w:line="360" w:lineRule="auto"/>
              <w:rPr>
                <w:rFonts w:ascii="宋体" w:hAnsi="宋体" w:cs="宋体"/>
                <w:color w:val="auto"/>
                <w:sz w:val="24"/>
                <w:szCs w:val="24"/>
                <w:highlight w:val="none"/>
              </w:rPr>
            </w:pPr>
          </w:p>
        </w:tc>
        <w:tc>
          <w:tcPr>
            <w:tcW w:w="882" w:type="dxa"/>
          </w:tcPr>
          <w:p>
            <w:pPr>
              <w:spacing w:line="360" w:lineRule="auto"/>
              <w:rPr>
                <w:rFonts w:ascii="宋体" w:hAnsi="宋体" w:cs="宋体"/>
                <w:color w:val="auto"/>
                <w:sz w:val="24"/>
                <w:szCs w:val="24"/>
                <w:highlight w:val="none"/>
              </w:rPr>
            </w:pPr>
          </w:p>
        </w:tc>
        <w:tc>
          <w:tcPr>
            <w:tcW w:w="1638"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1440" w:type="dxa"/>
          </w:tcPr>
          <w:p>
            <w:pPr>
              <w:spacing w:line="360" w:lineRule="auto"/>
              <w:rPr>
                <w:rFonts w:ascii="宋体" w:hAnsi="宋体" w:cs="宋体"/>
                <w:color w:val="auto"/>
                <w:sz w:val="24"/>
                <w:szCs w:val="24"/>
                <w:highlight w:val="none"/>
              </w:rPr>
            </w:pPr>
          </w:p>
        </w:tc>
        <w:tc>
          <w:tcPr>
            <w:tcW w:w="1980" w:type="dxa"/>
          </w:tcPr>
          <w:p>
            <w:pPr>
              <w:spacing w:line="360" w:lineRule="auto"/>
              <w:rPr>
                <w:rFonts w:ascii="宋体" w:hAnsi="宋体" w:cs="宋体"/>
                <w:color w:val="auto"/>
                <w:sz w:val="24"/>
                <w:szCs w:val="24"/>
                <w:highlight w:val="none"/>
              </w:rPr>
            </w:pPr>
          </w:p>
        </w:tc>
        <w:tc>
          <w:tcPr>
            <w:tcW w:w="882" w:type="dxa"/>
          </w:tcPr>
          <w:p>
            <w:pPr>
              <w:spacing w:line="360" w:lineRule="auto"/>
              <w:rPr>
                <w:rFonts w:ascii="宋体" w:hAnsi="宋体" w:cs="宋体"/>
                <w:color w:val="auto"/>
                <w:sz w:val="24"/>
                <w:szCs w:val="24"/>
                <w:highlight w:val="none"/>
              </w:rPr>
            </w:pPr>
          </w:p>
        </w:tc>
        <w:tc>
          <w:tcPr>
            <w:tcW w:w="1638"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1440" w:type="dxa"/>
          </w:tcPr>
          <w:p>
            <w:pPr>
              <w:spacing w:line="360" w:lineRule="auto"/>
              <w:rPr>
                <w:rFonts w:ascii="宋体" w:hAnsi="宋体" w:cs="宋体"/>
                <w:color w:val="auto"/>
                <w:sz w:val="24"/>
                <w:szCs w:val="24"/>
                <w:highlight w:val="none"/>
              </w:rPr>
            </w:pPr>
          </w:p>
        </w:tc>
        <w:tc>
          <w:tcPr>
            <w:tcW w:w="1980" w:type="dxa"/>
          </w:tcPr>
          <w:p>
            <w:pPr>
              <w:spacing w:line="360" w:lineRule="auto"/>
              <w:rPr>
                <w:rFonts w:ascii="宋体" w:hAnsi="宋体" w:cs="宋体"/>
                <w:color w:val="auto"/>
                <w:sz w:val="24"/>
                <w:szCs w:val="24"/>
                <w:highlight w:val="none"/>
              </w:rPr>
            </w:pPr>
          </w:p>
        </w:tc>
        <w:tc>
          <w:tcPr>
            <w:tcW w:w="882" w:type="dxa"/>
          </w:tcPr>
          <w:p>
            <w:pPr>
              <w:spacing w:line="360" w:lineRule="auto"/>
              <w:rPr>
                <w:rFonts w:ascii="宋体" w:hAnsi="宋体" w:cs="宋体"/>
                <w:color w:val="auto"/>
                <w:sz w:val="24"/>
                <w:szCs w:val="24"/>
                <w:highlight w:val="none"/>
              </w:rPr>
            </w:pPr>
          </w:p>
        </w:tc>
        <w:tc>
          <w:tcPr>
            <w:tcW w:w="1638"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1440" w:type="dxa"/>
          </w:tcPr>
          <w:p>
            <w:pPr>
              <w:spacing w:line="360" w:lineRule="auto"/>
              <w:rPr>
                <w:rFonts w:ascii="宋体" w:hAnsi="宋体" w:cs="宋体"/>
                <w:color w:val="auto"/>
                <w:sz w:val="24"/>
                <w:szCs w:val="24"/>
                <w:highlight w:val="none"/>
              </w:rPr>
            </w:pPr>
          </w:p>
        </w:tc>
        <w:tc>
          <w:tcPr>
            <w:tcW w:w="1980" w:type="dxa"/>
          </w:tcPr>
          <w:p>
            <w:pPr>
              <w:spacing w:line="360" w:lineRule="auto"/>
              <w:rPr>
                <w:rFonts w:ascii="宋体" w:hAnsi="宋体" w:cs="宋体"/>
                <w:color w:val="auto"/>
                <w:sz w:val="24"/>
                <w:szCs w:val="24"/>
                <w:highlight w:val="none"/>
              </w:rPr>
            </w:pPr>
          </w:p>
        </w:tc>
        <w:tc>
          <w:tcPr>
            <w:tcW w:w="882" w:type="dxa"/>
          </w:tcPr>
          <w:p>
            <w:pPr>
              <w:spacing w:line="360" w:lineRule="auto"/>
              <w:rPr>
                <w:rFonts w:ascii="宋体" w:hAnsi="宋体" w:cs="宋体"/>
                <w:color w:val="auto"/>
                <w:sz w:val="24"/>
                <w:szCs w:val="24"/>
                <w:highlight w:val="none"/>
              </w:rPr>
            </w:pPr>
          </w:p>
        </w:tc>
        <w:tc>
          <w:tcPr>
            <w:tcW w:w="1638" w:type="dxa"/>
          </w:tcPr>
          <w:p>
            <w:pPr>
              <w:spacing w:line="360" w:lineRule="auto"/>
              <w:rPr>
                <w:rFonts w:ascii="宋体" w:hAnsi="宋体" w:cs="宋体"/>
                <w:color w:val="auto"/>
                <w:sz w:val="24"/>
                <w:szCs w:val="24"/>
                <w:highlight w:val="none"/>
              </w:rPr>
            </w:pPr>
          </w:p>
        </w:tc>
      </w:tr>
    </w:tbl>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s="宋体"/>
          <w:color w:val="auto"/>
          <w:sz w:val="24"/>
          <w:szCs w:val="24"/>
          <w:highlight w:val="none"/>
        </w:rPr>
      </w:pP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投标人：（盖章）       </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法定代表人或授权代表人：（签字或盖章）</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日期：</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highlight w:val="none"/>
        </w:rPr>
        <w:br w:type="page"/>
      </w:r>
      <w:r>
        <w:rPr>
          <w:rFonts w:hint="eastAsia" w:ascii="宋体" w:hAnsi="宋体" w:cs="宋体"/>
          <w:color w:val="auto"/>
          <w:sz w:val="24"/>
          <w:szCs w:val="24"/>
          <w:highlight w:val="none"/>
        </w:rPr>
        <w:t>附件九 商务条款偏离表</w:t>
      </w:r>
    </w:p>
    <w:p>
      <w:pPr>
        <w:spacing w:line="360" w:lineRule="auto"/>
        <w:rPr>
          <w:rFonts w:ascii="宋体" w:hAnsi="宋体" w:cs="宋体"/>
          <w:b/>
          <w:color w:val="auto"/>
          <w:sz w:val="24"/>
          <w:szCs w:val="24"/>
          <w:highlight w:val="none"/>
        </w:rPr>
      </w:pP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商务条款偏离表</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招标编号：</w:t>
      </w:r>
      <w:r>
        <w:rPr>
          <w:rFonts w:hint="eastAsia" w:ascii="宋体" w:hAnsi="宋体" w:cs="宋体"/>
          <w:color w:val="auto"/>
          <w:sz w:val="24"/>
          <w:szCs w:val="24"/>
          <w:highlight w:val="none"/>
          <w:u w:val="single"/>
        </w:rPr>
        <w:t xml:space="preserve">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250"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招标文件条目号</w:t>
            </w:r>
          </w:p>
        </w:tc>
        <w:tc>
          <w:tcPr>
            <w:tcW w:w="2160"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招标文件的商务条款</w:t>
            </w:r>
          </w:p>
        </w:tc>
        <w:tc>
          <w:tcPr>
            <w:tcW w:w="2730"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投标文件的商务条款</w:t>
            </w:r>
          </w:p>
        </w:tc>
        <w:tc>
          <w:tcPr>
            <w:tcW w:w="94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2160" w:type="dxa"/>
          </w:tcPr>
          <w:p>
            <w:pPr>
              <w:spacing w:line="360" w:lineRule="auto"/>
              <w:rPr>
                <w:rFonts w:ascii="宋体" w:hAnsi="宋体" w:cs="宋体"/>
                <w:color w:val="auto"/>
                <w:sz w:val="24"/>
                <w:szCs w:val="24"/>
                <w:highlight w:val="none"/>
              </w:rPr>
            </w:pPr>
          </w:p>
        </w:tc>
        <w:tc>
          <w:tcPr>
            <w:tcW w:w="2730" w:type="dxa"/>
          </w:tcPr>
          <w:p>
            <w:pPr>
              <w:spacing w:line="360" w:lineRule="auto"/>
              <w:rPr>
                <w:rFonts w:ascii="宋体" w:hAnsi="宋体" w:cs="宋体"/>
                <w:color w:val="auto"/>
                <w:sz w:val="24"/>
                <w:szCs w:val="24"/>
                <w:highlight w:val="none"/>
              </w:rPr>
            </w:pPr>
          </w:p>
        </w:tc>
        <w:tc>
          <w:tcPr>
            <w:tcW w:w="945"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2160" w:type="dxa"/>
          </w:tcPr>
          <w:p>
            <w:pPr>
              <w:spacing w:line="360" w:lineRule="auto"/>
              <w:rPr>
                <w:rFonts w:ascii="宋体" w:hAnsi="宋体" w:cs="宋体"/>
                <w:color w:val="auto"/>
                <w:sz w:val="24"/>
                <w:szCs w:val="24"/>
                <w:highlight w:val="none"/>
              </w:rPr>
            </w:pPr>
          </w:p>
        </w:tc>
        <w:tc>
          <w:tcPr>
            <w:tcW w:w="2730" w:type="dxa"/>
          </w:tcPr>
          <w:p>
            <w:pPr>
              <w:spacing w:line="360" w:lineRule="auto"/>
              <w:rPr>
                <w:rFonts w:ascii="宋体" w:hAnsi="宋体" w:cs="宋体"/>
                <w:color w:val="auto"/>
                <w:sz w:val="24"/>
                <w:szCs w:val="24"/>
                <w:highlight w:val="none"/>
              </w:rPr>
            </w:pPr>
          </w:p>
        </w:tc>
        <w:tc>
          <w:tcPr>
            <w:tcW w:w="945"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2160" w:type="dxa"/>
          </w:tcPr>
          <w:p>
            <w:pPr>
              <w:spacing w:line="360" w:lineRule="auto"/>
              <w:rPr>
                <w:rFonts w:ascii="宋体" w:hAnsi="宋体" w:cs="宋体"/>
                <w:color w:val="auto"/>
                <w:sz w:val="24"/>
                <w:szCs w:val="24"/>
                <w:highlight w:val="none"/>
              </w:rPr>
            </w:pPr>
          </w:p>
        </w:tc>
        <w:tc>
          <w:tcPr>
            <w:tcW w:w="2730" w:type="dxa"/>
          </w:tcPr>
          <w:p>
            <w:pPr>
              <w:spacing w:line="360" w:lineRule="auto"/>
              <w:rPr>
                <w:rFonts w:ascii="宋体" w:hAnsi="宋体" w:cs="宋体"/>
                <w:color w:val="auto"/>
                <w:sz w:val="24"/>
                <w:szCs w:val="24"/>
                <w:highlight w:val="none"/>
              </w:rPr>
            </w:pPr>
          </w:p>
        </w:tc>
        <w:tc>
          <w:tcPr>
            <w:tcW w:w="945"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2160" w:type="dxa"/>
          </w:tcPr>
          <w:p>
            <w:pPr>
              <w:spacing w:line="360" w:lineRule="auto"/>
              <w:rPr>
                <w:rFonts w:ascii="宋体" w:hAnsi="宋体" w:cs="宋体"/>
                <w:color w:val="auto"/>
                <w:sz w:val="24"/>
                <w:szCs w:val="24"/>
                <w:highlight w:val="none"/>
              </w:rPr>
            </w:pPr>
          </w:p>
        </w:tc>
        <w:tc>
          <w:tcPr>
            <w:tcW w:w="2730" w:type="dxa"/>
          </w:tcPr>
          <w:p>
            <w:pPr>
              <w:spacing w:line="360" w:lineRule="auto"/>
              <w:rPr>
                <w:rFonts w:ascii="宋体" w:hAnsi="宋体" w:cs="宋体"/>
                <w:color w:val="auto"/>
                <w:sz w:val="24"/>
                <w:szCs w:val="24"/>
                <w:highlight w:val="none"/>
              </w:rPr>
            </w:pPr>
          </w:p>
        </w:tc>
        <w:tc>
          <w:tcPr>
            <w:tcW w:w="945"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2160" w:type="dxa"/>
          </w:tcPr>
          <w:p>
            <w:pPr>
              <w:spacing w:line="360" w:lineRule="auto"/>
              <w:rPr>
                <w:rFonts w:ascii="宋体" w:hAnsi="宋体" w:cs="宋体"/>
                <w:color w:val="auto"/>
                <w:sz w:val="24"/>
                <w:szCs w:val="24"/>
                <w:highlight w:val="none"/>
              </w:rPr>
            </w:pPr>
          </w:p>
        </w:tc>
        <w:tc>
          <w:tcPr>
            <w:tcW w:w="2730" w:type="dxa"/>
          </w:tcPr>
          <w:p>
            <w:pPr>
              <w:spacing w:line="360" w:lineRule="auto"/>
              <w:rPr>
                <w:rFonts w:ascii="宋体" w:hAnsi="宋体" w:cs="宋体"/>
                <w:color w:val="auto"/>
                <w:sz w:val="24"/>
                <w:szCs w:val="24"/>
                <w:highlight w:val="none"/>
              </w:rPr>
            </w:pPr>
          </w:p>
        </w:tc>
        <w:tc>
          <w:tcPr>
            <w:tcW w:w="945"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2160" w:type="dxa"/>
          </w:tcPr>
          <w:p>
            <w:pPr>
              <w:spacing w:line="360" w:lineRule="auto"/>
              <w:rPr>
                <w:rFonts w:ascii="宋体" w:hAnsi="宋体" w:cs="宋体"/>
                <w:color w:val="auto"/>
                <w:sz w:val="24"/>
                <w:szCs w:val="24"/>
                <w:highlight w:val="none"/>
              </w:rPr>
            </w:pPr>
          </w:p>
        </w:tc>
        <w:tc>
          <w:tcPr>
            <w:tcW w:w="2730" w:type="dxa"/>
          </w:tcPr>
          <w:p>
            <w:pPr>
              <w:spacing w:line="360" w:lineRule="auto"/>
              <w:rPr>
                <w:rFonts w:ascii="宋体" w:hAnsi="宋体" w:cs="宋体"/>
                <w:color w:val="auto"/>
                <w:sz w:val="24"/>
                <w:szCs w:val="24"/>
                <w:highlight w:val="none"/>
              </w:rPr>
            </w:pPr>
          </w:p>
        </w:tc>
        <w:tc>
          <w:tcPr>
            <w:tcW w:w="945"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2160" w:type="dxa"/>
          </w:tcPr>
          <w:p>
            <w:pPr>
              <w:spacing w:line="360" w:lineRule="auto"/>
              <w:rPr>
                <w:rFonts w:ascii="宋体" w:hAnsi="宋体" w:cs="宋体"/>
                <w:color w:val="auto"/>
                <w:sz w:val="24"/>
                <w:szCs w:val="24"/>
                <w:highlight w:val="none"/>
              </w:rPr>
            </w:pPr>
          </w:p>
        </w:tc>
        <w:tc>
          <w:tcPr>
            <w:tcW w:w="2730" w:type="dxa"/>
          </w:tcPr>
          <w:p>
            <w:pPr>
              <w:spacing w:line="360" w:lineRule="auto"/>
              <w:rPr>
                <w:rFonts w:ascii="宋体" w:hAnsi="宋体" w:cs="宋体"/>
                <w:color w:val="auto"/>
                <w:sz w:val="24"/>
                <w:szCs w:val="24"/>
                <w:highlight w:val="none"/>
              </w:rPr>
            </w:pPr>
          </w:p>
        </w:tc>
        <w:tc>
          <w:tcPr>
            <w:tcW w:w="945" w:type="dxa"/>
          </w:tcPr>
          <w:p>
            <w:pPr>
              <w:spacing w:line="360" w:lineRule="auto"/>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s="宋体"/>
                <w:color w:val="auto"/>
                <w:sz w:val="24"/>
                <w:szCs w:val="24"/>
                <w:highlight w:val="none"/>
              </w:rPr>
            </w:pPr>
          </w:p>
        </w:tc>
        <w:tc>
          <w:tcPr>
            <w:tcW w:w="2250" w:type="dxa"/>
          </w:tcPr>
          <w:p>
            <w:pPr>
              <w:spacing w:line="360" w:lineRule="auto"/>
              <w:rPr>
                <w:rFonts w:ascii="宋体" w:hAnsi="宋体" w:cs="宋体"/>
                <w:color w:val="auto"/>
                <w:sz w:val="24"/>
                <w:szCs w:val="24"/>
                <w:highlight w:val="none"/>
              </w:rPr>
            </w:pPr>
          </w:p>
        </w:tc>
        <w:tc>
          <w:tcPr>
            <w:tcW w:w="2160" w:type="dxa"/>
          </w:tcPr>
          <w:p>
            <w:pPr>
              <w:spacing w:line="360" w:lineRule="auto"/>
              <w:rPr>
                <w:rFonts w:ascii="宋体" w:hAnsi="宋体" w:cs="宋体"/>
                <w:color w:val="auto"/>
                <w:sz w:val="24"/>
                <w:szCs w:val="24"/>
                <w:highlight w:val="none"/>
              </w:rPr>
            </w:pPr>
          </w:p>
        </w:tc>
        <w:tc>
          <w:tcPr>
            <w:tcW w:w="2730" w:type="dxa"/>
          </w:tcPr>
          <w:p>
            <w:pPr>
              <w:spacing w:line="360" w:lineRule="auto"/>
              <w:rPr>
                <w:rFonts w:ascii="宋体" w:hAnsi="宋体" w:cs="宋体"/>
                <w:color w:val="auto"/>
                <w:sz w:val="24"/>
                <w:szCs w:val="24"/>
                <w:highlight w:val="none"/>
              </w:rPr>
            </w:pPr>
          </w:p>
        </w:tc>
        <w:tc>
          <w:tcPr>
            <w:tcW w:w="945" w:type="dxa"/>
          </w:tcPr>
          <w:p>
            <w:pPr>
              <w:spacing w:line="360" w:lineRule="auto"/>
              <w:rPr>
                <w:rFonts w:ascii="宋体" w:hAnsi="宋体" w:cs="宋体"/>
                <w:color w:val="auto"/>
                <w:sz w:val="24"/>
                <w:szCs w:val="24"/>
                <w:highlight w:val="none"/>
              </w:rPr>
            </w:pPr>
          </w:p>
        </w:tc>
      </w:tr>
    </w:tbl>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备注：本表不填写或未填写的内容，视作完全响应招标文件的要求。</w:t>
      </w:r>
    </w:p>
    <w:p>
      <w:pPr>
        <w:spacing w:line="360" w:lineRule="auto"/>
        <w:rPr>
          <w:rFonts w:ascii="宋体" w:hAnsi="宋体" w:cs="宋体"/>
          <w:color w:val="auto"/>
          <w:sz w:val="24"/>
          <w:szCs w:val="24"/>
          <w:highlight w:val="none"/>
        </w:rPr>
      </w:pP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投标人：（盖章）       </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法定代表人或授权代表人：（签字或盖章）</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日期：</w:t>
      </w:r>
    </w:p>
    <w:p>
      <w:pPr>
        <w:spacing w:line="360" w:lineRule="auto"/>
        <w:rPr>
          <w:rFonts w:ascii="宋体" w:hAnsi="宋体" w:cs="宋体"/>
          <w:color w:val="auto"/>
          <w:sz w:val="24"/>
          <w:highlight w:val="none"/>
        </w:rPr>
      </w:pPr>
    </w:p>
    <w:sectPr>
      <w:type w:val="continuous"/>
      <w:pgSz w:w="11906" w:h="16838"/>
      <w:pgMar w:top="851" w:right="991" w:bottom="1134" w:left="1247" w:header="567" w:footer="68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21</w:t>
                          </w:r>
                          <w:r>
                            <w:rPr>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21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BE98D"/>
    <w:multiLevelType w:val="singleLevel"/>
    <w:tmpl w:val="DFEBE98D"/>
    <w:lvl w:ilvl="0" w:tentative="0">
      <w:start w:val="1"/>
      <w:numFmt w:val="decimal"/>
      <w:suff w:val="nothing"/>
      <w:lvlText w:val="%1、"/>
      <w:lvlJc w:val="left"/>
    </w:lvl>
  </w:abstractNum>
  <w:abstractNum w:abstractNumId="1">
    <w:nsid w:val="26D56FA0"/>
    <w:multiLevelType w:val="multilevel"/>
    <w:tmpl w:val="26D56FA0"/>
    <w:lvl w:ilvl="0" w:tentative="0">
      <w:start w:val="1"/>
      <w:numFmt w:val="decimal"/>
      <w:lvlText w:val="%1、"/>
      <w:lvlJc w:val="left"/>
      <w:pPr>
        <w:ind w:left="982" w:hanging="360"/>
      </w:pPr>
      <w:rPr>
        <w:rFonts w:hint="default"/>
      </w:rPr>
    </w:lvl>
    <w:lvl w:ilvl="1" w:tentative="0">
      <w:start w:val="1"/>
      <w:numFmt w:val="lowerLetter"/>
      <w:lvlText w:val="%2)"/>
      <w:lvlJc w:val="left"/>
      <w:pPr>
        <w:ind w:left="1462" w:hanging="420"/>
      </w:pPr>
    </w:lvl>
    <w:lvl w:ilvl="2" w:tentative="0">
      <w:start w:val="1"/>
      <w:numFmt w:val="lowerRoman"/>
      <w:lvlText w:val="%3."/>
      <w:lvlJc w:val="right"/>
      <w:pPr>
        <w:ind w:left="1882" w:hanging="420"/>
      </w:pPr>
    </w:lvl>
    <w:lvl w:ilvl="3" w:tentative="0">
      <w:start w:val="1"/>
      <w:numFmt w:val="decimal"/>
      <w:lvlText w:val="%4."/>
      <w:lvlJc w:val="left"/>
      <w:pPr>
        <w:ind w:left="2302" w:hanging="420"/>
      </w:pPr>
    </w:lvl>
    <w:lvl w:ilvl="4" w:tentative="0">
      <w:start w:val="1"/>
      <w:numFmt w:val="lowerLetter"/>
      <w:lvlText w:val="%5)"/>
      <w:lvlJc w:val="left"/>
      <w:pPr>
        <w:ind w:left="2722" w:hanging="420"/>
      </w:pPr>
    </w:lvl>
    <w:lvl w:ilvl="5" w:tentative="0">
      <w:start w:val="1"/>
      <w:numFmt w:val="lowerRoman"/>
      <w:lvlText w:val="%6."/>
      <w:lvlJc w:val="right"/>
      <w:pPr>
        <w:ind w:left="3142" w:hanging="420"/>
      </w:pPr>
    </w:lvl>
    <w:lvl w:ilvl="6" w:tentative="0">
      <w:start w:val="1"/>
      <w:numFmt w:val="decimal"/>
      <w:lvlText w:val="%7."/>
      <w:lvlJc w:val="left"/>
      <w:pPr>
        <w:ind w:left="3562" w:hanging="420"/>
      </w:pPr>
    </w:lvl>
    <w:lvl w:ilvl="7" w:tentative="0">
      <w:start w:val="1"/>
      <w:numFmt w:val="lowerLetter"/>
      <w:lvlText w:val="%8)"/>
      <w:lvlJc w:val="left"/>
      <w:pPr>
        <w:ind w:left="3982" w:hanging="420"/>
      </w:pPr>
    </w:lvl>
    <w:lvl w:ilvl="8" w:tentative="0">
      <w:start w:val="1"/>
      <w:numFmt w:val="lowerRoman"/>
      <w:lvlText w:val="%9."/>
      <w:lvlJc w:val="right"/>
      <w:pPr>
        <w:ind w:left="4402" w:hanging="420"/>
      </w:pPr>
    </w:lvl>
  </w:abstractNum>
  <w:abstractNum w:abstractNumId="2">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5398"/>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709"/>
    <w:rsid w:val="000E5EA2"/>
    <w:rsid w:val="000E6EFC"/>
    <w:rsid w:val="000E6F4C"/>
    <w:rsid w:val="000F61AB"/>
    <w:rsid w:val="00100F1D"/>
    <w:rsid w:val="001050F9"/>
    <w:rsid w:val="00105FD5"/>
    <w:rsid w:val="00110D6E"/>
    <w:rsid w:val="00112E0E"/>
    <w:rsid w:val="001155BB"/>
    <w:rsid w:val="00115999"/>
    <w:rsid w:val="00123DF6"/>
    <w:rsid w:val="001300B2"/>
    <w:rsid w:val="0013066C"/>
    <w:rsid w:val="00130FF7"/>
    <w:rsid w:val="001321CA"/>
    <w:rsid w:val="00132894"/>
    <w:rsid w:val="001335EB"/>
    <w:rsid w:val="00134F43"/>
    <w:rsid w:val="001358C6"/>
    <w:rsid w:val="0013797F"/>
    <w:rsid w:val="001427E4"/>
    <w:rsid w:val="00143659"/>
    <w:rsid w:val="00145F4C"/>
    <w:rsid w:val="001461F3"/>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2363"/>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C7BA0"/>
    <w:rsid w:val="001C7CAC"/>
    <w:rsid w:val="001D1BA0"/>
    <w:rsid w:val="001D4394"/>
    <w:rsid w:val="001D444B"/>
    <w:rsid w:val="001E12C5"/>
    <w:rsid w:val="001E73B5"/>
    <w:rsid w:val="001E79B1"/>
    <w:rsid w:val="001F23A9"/>
    <w:rsid w:val="001F3150"/>
    <w:rsid w:val="001F3405"/>
    <w:rsid w:val="001F3ED1"/>
    <w:rsid w:val="001F4220"/>
    <w:rsid w:val="00200C45"/>
    <w:rsid w:val="00200F38"/>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2764E"/>
    <w:rsid w:val="0023068F"/>
    <w:rsid w:val="00230B0C"/>
    <w:rsid w:val="00234F93"/>
    <w:rsid w:val="00240EF9"/>
    <w:rsid w:val="00245765"/>
    <w:rsid w:val="00251CF5"/>
    <w:rsid w:val="002524A5"/>
    <w:rsid w:val="00252A0B"/>
    <w:rsid w:val="002537B6"/>
    <w:rsid w:val="002558C7"/>
    <w:rsid w:val="00257400"/>
    <w:rsid w:val="0026471F"/>
    <w:rsid w:val="00273967"/>
    <w:rsid w:val="00274557"/>
    <w:rsid w:val="0027460E"/>
    <w:rsid w:val="00275343"/>
    <w:rsid w:val="00275CCF"/>
    <w:rsid w:val="002766EE"/>
    <w:rsid w:val="00276C18"/>
    <w:rsid w:val="00276D54"/>
    <w:rsid w:val="00277FFC"/>
    <w:rsid w:val="00283194"/>
    <w:rsid w:val="002848A8"/>
    <w:rsid w:val="00284B87"/>
    <w:rsid w:val="00285220"/>
    <w:rsid w:val="00287C7F"/>
    <w:rsid w:val="002924F6"/>
    <w:rsid w:val="00294FBF"/>
    <w:rsid w:val="002964EF"/>
    <w:rsid w:val="002974DE"/>
    <w:rsid w:val="002A187D"/>
    <w:rsid w:val="002A1BD1"/>
    <w:rsid w:val="002A3D24"/>
    <w:rsid w:val="002B148A"/>
    <w:rsid w:val="002B1703"/>
    <w:rsid w:val="002B346E"/>
    <w:rsid w:val="002B3775"/>
    <w:rsid w:val="002B6232"/>
    <w:rsid w:val="002C1C3A"/>
    <w:rsid w:val="002C1C47"/>
    <w:rsid w:val="002C2A3F"/>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3710"/>
    <w:rsid w:val="002F4AA0"/>
    <w:rsid w:val="002F6841"/>
    <w:rsid w:val="002F6B3B"/>
    <w:rsid w:val="00300E0D"/>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54A"/>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28EC"/>
    <w:rsid w:val="003B50A9"/>
    <w:rsid w:val="003B55CF"/>
    <w:rsid w:val="003B7508"/>
    <w:rsid w:val="003B7BC0"/>
    <w:rsid w:val="003C5E8A"/>
    <w:rsid w:val="003D7B47"/>
    <w:rsid w:val="003E0286"/>
    <w:rsid w:val="003E0FD0"/>
    <w:rsid w:val="003E1C1C"/>
    <w:rsid w:val="003E2448"/>
    <w:rsid w:val="003E26C9"/>
    <w:rsid w:val="003E384F"/>
    <w:rsid w:val="003E4F22"/>
    <w:rsid w:val="003E637C"/>
    <w:rsid w:val="003F22BA"/>
    <w:rsid w:val="003F7158"/>
    <w:rsid w:val="00400758"/>
    <w:rsid w:val="004063FB"/>
    <w:rsid w:val="004079EE"/>
    <w:rsid w:val="00410784"/>
    <w:rsid w:val="0041214E"/>
    <w:rsid w:val="0041315B"/>
    <w:rsid w:val="00415002"/>
    <w:rsid w:val="004150ED"/>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3A8A"/>
    <w:rsid w:val="004B56F1"/>
    <w:rsid w:val="004C1FA1"/>
    <w:rsid w:val="004C335E"/>
    <w:rsid w:val="004C5738"/>
    <w:rsid w:val="004C6AD2"/>
    <w:rsid w:val="004C7DA9"/>
    <w:rsid w:val="004D0B4F"/>
    <w:rsid w:val="004D3015"/>
    <w:rsid w:val="004D3F16"/>
    <w:rsid w:val="004D42B2"/>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2A6A"/>
    <w:rsid w:val="00513228"/>
    <w:rsid w:val="00515131"/>
    <w:rsid w:val="00517D66"/>
    <w:rsid w:val="00522A83"/>
    <w:rsid w:val="00525000"/>
    <w:rsid w:val="005254B2"/>
    <w:rsid w:val="00527FA4"/>
    <w:rsid w:val="00532953"/>
    <w:rsid w:val="005337ED"/>
    <w:rsid w:val="00537C17"/>
    <w:rsid w:val="00541DED"/>
    <w:rsid w:val="00543298"/>
    <w:rsid w:val="00546F1A"/>
    <w:rsid w:val="005507F0"/>
    <w:rsid w:val="00553F90"/>
    <w:rsid w:val="00554C7C"/>
    <w:rsid w:val="00557A8A"/>
    <w:rsid w:val="005612C2"/>
    <w:rsid w:val="00562D93"/>
    <w:rsid w:val="00563963"/>
    <w:rsid w:val="00565034"/>
    <w:rsid w:val="005661D4"/>
    <w:rsid w:val="00566ABB"/>
    <w:rsid w:val="005670E9"/>
    <w:rsid w:val="00571B0D"/>
    <w:rsid w:val="005720F7"/>
    <w:rsid w:val="0057370A"/>
    <w:rsid w:val="0057558A"/>
    <w:rsid w:val="00584AC1"/>
    <w:rsid w:val="00585FFB"/>
    <w:rsid w:val="00587968"/>
    <w:rsid w:val="00591E6D"/>
    <w:rsid w:val="00596C06"/>
    <w:rsid w:val="005A2C2B"/>
    <w:rsid w:val="005A47ED"/>
    <w:rsid w:val="005B0AD8"/>
    <w:rsid w:val="005B390E"/>
    <w:rsid w:val="005B4396"/>
    <w:rsid w:val="005B632D"/>
    <w:rsid w:val="005C0090"/>
    <w:rsid w:val="005C07C7"/>
    <w:rsid w:val="005C39DA"/>
    <w:rsid w:val="005C4378"/>
    <w:rsid w:val="005C534F"/>
    <w:rsid w:val="005C595C"/>
    <w:rsid w:val="005C5C77"/>
    <w:rsid w:val="005C6DDA"/>
    <w:rsid w:val="005D0EE5"/>
    <w:rsid w:val="005D27AF"/>
    <w:rsid w:val="005D32C6"/>
    <w:rsid w:val="005D6CB7"/>
    <w:rsid w:val="005E0EE6"/>
    <w:rsid w:val="005E2D68"/>
    <w:rsid w:val="005E7396"/>
    <w:rsid w:val="005E7FEB"/>
    <w:rsid w:val="005F2E8A"/>
    <w:rsid w:val="005F714F"/>
    <w:rsid w:val="005F74CB"/>
    <w:rsid w:val="006035F5"/>
    <w:rsid w:val="00604C71"/>
    <w:rsid w:val="00612DEE"/>
    <w:rsid w:val="00616353"/>
    <w:rsid w:val="0061717D"/>
    <w:rsid w:val="00617354"/>
    <w:rsid w:val="00622125"/>
    <w:rsid w:val="00624409"/>
    <w:rsid w:val="0062634E"/>
    <w:rsid w:val="00627A08"/>
    <w:rsid w:val="00630F4C"/>
    <w:rsid w:val="00631C2F"/>
    <w:rsid w:val="0063356B"/>
    <w:rsid w:val="0063603C"/>
    <w:rsid w:val="00645F24"/>
    <w:rsid w:val="00650252"/>
    <w:rsid w:val="00652305"/>
    <w:rsid w:val="006527D0"/>
    <w:rsid w:val="0066063B"/>
    <w:rsid w:val="00663D48"/>
    <w:rsid w:val="00663E6F"/>
    <w:rsid w:val="00665B3D"/>
    <w:rsid w:val="0066755F"/>
    <w:rsid w:val="0067762C"/>
    <w:rsid w:val="00681EEE"/>
    <w:rsid w:val="0068329F"/>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1353"/>
    <w:rsid w:val="006D2968"/>
    <w:rsid w:val="006D484F"/>
    <w:rsid w:val="006D6283"/>
    <w:rsid w:val="006E0C1B"/>
    <w:rsid w:val="006E2BE7"/>
    <w:rsid w:val="006F2488"/>
    <w:rsid w:val="006F5627"/>
    <w:rsid w:val="006F6500"/>
    <w:rsid w:val="007047C6"/>
    <w:rsid w:val="0070669A"/>
    <w:rsid w:val="00710064"/>
    <w:rsid w:val="0071123D"/>
    <w:rsid w:val="00711667"/>
    <w:rsid w:val="0071354E"/>
    <w:rsid w:val="00713DB8"/>
    <w:rsid w:val="00714C2B"/>
    <w:rsid w:val="007157B8"/>
    <w:rsid w:val="00715E15"/>
    <w:rsid w:val="00720EFC"/>
    <w:rsid w:val="0072162A"/>
    <w:rsid w:val="00722582"/>
    <w:rsid w:val="007254DE"/>
    <w:rsid w:val="00725732"/>
    <w:rsid w:val="00726D15"/>
    <w:rsid w:val="00727BF4"/>
    <w:rsid w:val="00734426"/>
    <w:rsid w:val="007344A9"/>
    <w:rsid w:val="00736BBF"/>
    <w:rsid w:val="00737925"/>
    <w:rsid w:val="0074150D"/>
    <w:rsid w:val="00742B7C"/>
    <w:rsid w:val="0074427B"/>
    <w:rsid w:val="0074510A"/>
    <w:rsid w:val="00756B16"/>
    <w:rsid w:val="007608B9"/>
    <w:rsid w:val="0076123C"/>
    <w:rsid w:val="00762838"/>
    <w:rsid w:val="00764C2C"/>
    <w:rsid w:val="00766C43"/>
    <w:rsid w:val="00767C4F"/>
    <w:rsid w:val="00770459"/>
    <w:rsid w:val="007719D3"/>
    <w:rsid w:val="00771FBF"/>
    <w:rsid w:val="007739F9"/>
    <w:rsid w:val="00776027"/>
    <w:rsid w:val="00777BB5"/>
    <w:rsid w:val="00780B7B"/>
    <w:rsid w:val="00782A19"/>
    <w:rsid w:val="00782B14"/>
    <w:rsid w:val="007845FF"/>
    <w:rsid w:val="00784EFD"/>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3D0F"/>
    <w:rsid w:val="007C4076"/>
    <w:rsid w:val="007C5748"/>
    <w:rsid w:val="007D1378"/>
    <w:rsid w:val="007D2540"/>
    <w:rsid w:val="007D4D46"/>
    <w:rsid w:val="007D5BAD"/>
    <w:rsid w:val="007D6D61"/>
    <w:rsid w:val="007D74FB"/>
    <w:rsid w:val="007E058F"/>
    <w:rsid w:val="007E206E"/>
    <w:rsid w:val="007E3813"/>
    <w:rsid w:val="007E76D3"/>
    <w:rsid w:val="007F7624"/>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14BB"/>
    <w:rsid w:val="00862E1E"/>
    <w:rsid w:val="00864853"/>
    <w:rsid w:val="00864E68"/>
    <w:rsid w:val="00865AFE"/>
    <w:rsid w:val="00866D84"/>
    <w:rsid w:val="00867BE2"/>
    <w:rsid w:val="008712F5"/>
    <w:rsid w:val="008713BD"/>
    <w:rsid w:val="00871905"/>
    <w:rsid w:val="0087359E"/>
    <w:rsid w:val="008738D3"/>
    <w:rsid w:val="0087430F"/>
    <w:rsid w:val="00875421"/>
    <w:rsid w:val="008849BE"/>
    <w:rsid w:val="00886957"/>
    <w:rsid w:val="00887737"/>
    <w:rsid w:val="008908C3"/>
    <w:rsid w:val="008937C5"/>
    <w:rsid w:val="008948B8"/>
    <w:rsid w:val="008958F2"/>
    <w:rsid w:val="00896EBB"/>
    <w:rsid w:val="008975AD"/>
    <w:rsid w:val="008A240E"/>
    <w:rsid w:val="008A59A5"/>
    <w:rsid w:val="008B0A8D"/>
    <w:rsid w:val="008B2CF4"/>
    <w:rsid w:val="008B479E"/>
    <w:rsid w:val="008B685A"/>
    <w:rsid w:val="008C19E1"/>
    <w:rsid w:val="008C6E2B"/>
    <w:rsid w:val="008D3C36"/>
    <w:rsid w:val="008D51F8"/>
    <w:rsid w:val="008D5C0F"/>
    <w:rsid w:val="008E07C9"/>
    <w:rsid w:val="008E0F79"/>
    <w:rsid w:val="008E2525"/>
    <w:rsid w:val="008E2D15"/>
    <w:rsid w:val="008E7321"/>
    <w:rsid w:val="008F22B0"/>
    <w:rsid w:val="008F2A62"/>
    <w:rsid w:val="008F53FE"/>
    <w:rsid w:val="008F6037"/>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6526A"/>
    <w:rsid w:val="00972473"/>
    <w:rsid w:val="009724F3"/>
    <w:rsid w:val="0097250E"/>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E69B2"/>
    <w:rsid w:val="009F0000"/>
    <w:rsid w:val="009F362B"/>
    <w:rsid w:val="009F38D0"/>
    <w:rsid w:val="009F550D"/>
    <w:rsid w:val="009F6645"/>
    <w:rsid w:val="00A03903"/>
    <w:rsid w:val="00A045A9"/>
    <w:rsid w:val="00A10F67"/>
    <w:rsid w:val="00A16741"/>
    <w:rsid w:val="00A176A1"/>
    <w:rsid w:val="00A17B23"/>
    <w:rsid w:val="00A17D84"/>
    <w:rsid w:val="00A20161"/>
    <w:rsid w:val="00A22CAA"/>
    <w:rsid w:val="00A310AD"/>
    <w:rsid w:val="00A32892"/>
    <w:rsid w:val="00A35D2E"/>
    <w:rsid w:val="00A40027"/>
    <w:rsid w:val="00A41033"/>
    <w:rsid w:val="00A41AA0"/>
    <w:rsid w:val="00A439B7"/>
    <w:rsid w:val="00A44783"/>
    <w:rsid w:val="00A44B27"/>
    <w:rsid w:val="00A52BA9"/>
    <w:rsid w:val="00A55F4E"/>
    <w:rsid w:val="00A575B9"/>
    <w:rsid w:val="00A6494F"/>
    <w:rsid w:val="00A64E41"/>
    <w:rsid w:val="00A65CEC"/>
    <w:rsid w:val="00A66895"/>
    <w:rsid w:val="00A67B4E"/>
    <w:rsid w:val="00A71A81"/>
    <w:rsid w:val="00A72001"/>
    <w:rsid w:val="00A73B8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B73F3"/>
    <w:rsid w:val="00AC038C"/>
    <w:rsid w:val="00AC0461"/>
    <w:rsid w:val="00AC7708"/>
    <w:rsid w:val="00AD0103"/>
    <w:rsid w:val="00AD0313"/>
    <w:rsid w:val="00AD1055"/>
    <w:rsid w:val="00AD3ABF"/>
    <w:rsid w:val="00AD5A6A"/>
    <w:rsid w:val="00AD66C4"/>
    <w:rsid w:val="00AE1141"/>
    <w:rsid w:val="00AE17E2"/>
    <w:rsid w:val="00AE1A4F"/>
    <w:rsid w:val="00AE63DD"/>
    <w:rsid w:val="00AF1C7A"/>
    <w:rsid w:val="00AF5213"/>
    <w:rsid w:val="00AF5706"/>
    <w:rsid w:val="00AF6BB5"/>
    <w:rsid w:val="00AF6C0E"/>
    <w:rsid w:val="00AF6F0E"/>
    <w:rsid w:val="00B02C50"/>
    <w:rsid w:val="00B02D22"/>
    <w:rsid w:val="00B032E4"/>
    <w:rsid w:val="00B0476E"/>
    <w:rsid w:val="00B062CA"/>
    <w:rsid w:val="00B1253B"/>
    <w:rsid w:val="00B22042"/>
    <w:rsid w:val="00B224A9"/>
    <w:rsid w:val="00B234C9"/>
    <w:rsid w:val="00B239D3"/>
    <w:rsid w:val="00B2660E"/>
    <w:rsid w:val="00B2753B"/>
    <w:rsid w:val="00B338A0"/>
    <w:rsid w:val="00B3705B"/>
    <w:rsid w:val="00B41026"/>
    <w:rsid w:val="00B4301E"/>
    <w:rsid w:val="00B43659"/>
    <w:rsid w:val="00B459F7"/>
    <w:rsid w:val="00B45B95"/>
    <w:rsid w:val="00B47357"/>
    <w:rsid w:val="00B511F5"/>
    <w:rsid w:val="00B55AD6"/>
    <w:rsid w:val="00B567CA"/>
    <w:rsid w:val="00B62B9F"/>
    <w:rsid w:val="00B63F90"/>
    <w:rsid w:val="00B64137"/>
    <w:rsid w:val="00B7428C"/>
    <w:rsid w:val="00B75EF4"/>
    <w:rsid w:val="00B85E4A"/>
    <w:rsid w:val="00B87E48"/>
    <w:rsid w:val="00B907A8"/>
    <w:rsid w:val="00B91EF6"/>
    <w:rsid w:val="00B92406"/>
    <w:rsid w:val="00B92FD5"/>
    <w:rsid w:val="00B93185"/>
    <w:rsid w:val="00B9389E"/>
    <w:rsid w:val="00B93CAA"/>
    <w:rsid w:val="00B94B93"/>
    <w:rsid w:val="00B95134"/>
    <w:rsid w:val="00BA1B10"/>
    <w:rsid w:val="00BA2DD1"/>
    <w:rsid w:val="00BA2E17"/>
    <w:rsid w:val="00BA3E26"/>
    <w:rsid w:val="00BA3F2D"/>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2A4"/>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1F99"/>
    <w:rsid w:val="00C33692"/>
    <w:rsid w:val="00C35EE4"/>
    <w:rsid w:val="00C36408"/>
    <w:rsid w:val="00C40E45"/>
    <w:rsid w:val="00C41810"/>
    <w:rsid w:val="00C42BEF"/>
    <w:rsid w:val="00C45471"/>
    <w:rsid w:val="00C479D1"/>
    <w:rsid w:val="00C51C8B"/>
    <w:rsid w:val="00C52406"/>
    <w:rsid w:val="00C53AAB"/>
    <w:rsid w:val="00C53C9F"/>
    <w:rsid w:val="00C55239"/>
    <w:rsid w:val="00C56B66"/>
    <w:rsid w:val="00C577D2"/>
    <w:rsid w:val="00C673B6"/>
    <w:rsid w:val="00C71CD9"/>
    <w:rsid w:val="00C72637"/>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A65DE"/>
    <w:rsid w:val="00CB04E3"/>
    <w:rsid w:val="00CB25C5"/>
    <w:rsid w:val="00CB2F0B"/>
    <w:rsid w:val="00CB2F4F"/>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4D94"/>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371A6"/>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67B"/>
    <w:rsid w:val="00D74ACF"/>
    <w:rsid w:val="00D74E56"/>
    <w:rsid w:val="00D80DDE"/>
    <w:rsid w:val="00D827C0"/>
    <w:rsid w:val="00D841B2"/>
    <w:rsid w:val="00D86568"/>
    <w:rsid w:val="00D876ED"/>
    <w:rsid w:val="00D91946"/>
    <w:rsid w:val="00D927C3"/>
    <w:rsid w:val="00D9475F"/>
    <w:rsid w:val="00D973AA"/>
    <w:rsid w:val="00DA39DB"/>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74E"/>
    <w:rsid w:val="00DF4917"/>
    <w:rsid w:val="00DF53BF"/>
    <w:rsid w:val="00DF6BFA"/>
    <w:rsid w:val="00E01356"/>
    <w:rsid w:val="00E019A9"/>
    <w:rsid w:val="00E01EE7"/>
    <w:rsid w:val="00E032AA"/>
    <w:rsid w:val="00E04A3A"/>
    <w:rsid w:val="00E04B7A"/>
    <w:rsid w:val="00E064CE"/>
    <w:rsid w:val="00E139BC"/>
    <w:rsid w:val="00E1681C"/>
    <w:rsid w:val="00E172B5"/>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253"/>
    <w:rsid w:val="00E56D62"/>
    <w:rsid w:val="00E6134C"/>
    <w:rsid w:val="00E62268"/>
    <w:rsid w:val="00E63923"/>
    <w:rsid w:val="00E64DF9"/>
    <w:rsid w:val="00E65B96"/>
    <w:rsid w:val="00E67AF1"/>
    <w:rsid w:val="00E67E46"/>
    <w:rsid w:val="00E73981"/>
    <w:rsid w:val="00E74B0E"/>
    <w:rsid w:val="00E74EC5"/>
    <w:rsid w:val="00E909C4"/>
    <w:rsid w:val="00E95A6A"/>
    <w:rsid w:val="00E963DC"/>
    <w:rsid w:val="00EA059C"/>
    <w:rsid w:val="00EA0DAB"/>
    <w:rsid w:val="00EA4604"/>
    <w:rsid w:val="00EB02D8"/>
    <w:rsid w:val="00EB240A"/>
    <w:rsid w:val="00EB2638"/>
    <w:rsid w:val="00EB2AEF"/>
    <w:rsid w:val="00EB3979"/>
    <w:rsid w:val="00EB5C4A"/>
    <w:rsid w:val="00EB62CC"/>
    <w:rsid w:val="00EB6F5A"/>
    <w:rsid w:val="00EC3E53"/>
    <w:rsid w:val="00EC4927"/>
    <w:rsid w:val="00EC4B06"/>
    <w:rsid w:val="00ED08EF"/>
    <w:rsid w:val="00ED1514"/>
    <w:rsid w:val="00ED4423"/>
    <w:rsid w:val="00ED498E"/>
    <w:rsid w:val="00ED4BA1"/>
    <w:rsid w:val="00ED5C09"/>
    <w:rsid w:val="00ED7320"/>
    <w:rsid w:val="00ED7C14"/>
    <w:rsid w:val="00EE2153"/>
    <w:rsid w:val="00EE21C9"/>
    <w:rsid w:val="00EE3D21"/>
    <w:rsid w:val="00EE6509"/>
    <w:rsid w:val="00EE6C1E"/>
    <w:rsid w:val="00EF0991"/>
    <w:rsid w:val="00EF2504"/>
    <w:rsid w:val="00EF2580"/>
    <w:rsid w:val="00EF2B55"/>
    <w:rsid w:val="00EF3CAA"/>
    <w:rsid w:val="00EF4ECD"/>
    <w:rsid w:val="00F01487"/>
    <w:rsid w:val="00F04C43"/>
    <w:rsid w:val="00F05EB2"/>
    <w:rsid w:val="00F05FBE"/>
    <w:rsid w:val="00F07DF7"/>
    <w:rsid w:val="00F13056"/>
    <w:rsid w:val="00F16EF0"/>
    <w:rsid w:val="00F233A3"/>
    <w:rsid w:val="00F23891"/>
    <w:rsid w:val="00F262CB"/>
    <w:rsid w:val="00F31F69"/>
    <w:rsid w:val="00F32164"/>
    <w:rsid w:val="00F32B5A"/>
    <w:rsid w:val="00F348BE"/>
    <w:rsid w:val="00F35ED0"/>
    <w:rsid w:val="00F400A0"/>
    <w:rsid w:val="00F4064C"/>
    <w:rsid w:val="00F40DD2"/>
    <w:rsid w:val="00F4203F"/>
    <w:rsid w:val="00F432FD"/>
    <w:rsid w:val="00F45C1F"/>
    <w:rsid w:val="00F50AD0"/>
    <w:rsid w:val="00F5160B"/>
    <w:rsid w:val="00F53185"/>
    <w:rsid w:val="00F53609"/>
    <w:rsid w:val="00F61258"/>
    <w:rsid w:val="00F640B0"/>
    <w:rsid w:val="00F654EF"/>
    <w:rsid w:val="00F66388"/>
    <w:rsid w:val="00F67F7F"/>
    <w:rsid w:val="00F71C86"/>
    <w:rsid w:val="00F7215A"/>
    <w:rsid w:val="00F75492"/>
    <w:rsid w:val="00F77F0D"/>
    <w:rsid w:val="00F85B58"/>
    <w:rsid w:val="00F86E78"/>
    <w:rsid w:val="00F94211"/>
    <w:rsid w:val="00F978FE"/>
    <w:rsid w:val="00F97C04"/>
    <w:rsid w:val="00FA3304"/>
    <w:rsid w:val="00FA4E57"/>
    <w:rsid w:val="00FB0839"/>
    <w:rsid w:val="00FB0CAB"/>
    <w:rsid w:val="00FB4C05"/>
    <w:rsid w:val="00FB6E7A"/>
    <w:rsid w:val="00FB77A3"/>
    <w:rsid w:val="00FC043D"/>
    <w:rsid w:val="00FC0793"/>
    <w:rsid w:val="00FC09D5"/>
    <w:rsid w:val="00FD5551"/>
    <w:rsid w:val="00FD57C2"/>
    <w:rsid w:val="00FD6E22"/>
    <w:rsid w:val="00FE0B50"/>
    <w:rsid w:val="00FE21AF"/>
    <w:rsid w:val="00FE3830"/>
    <w:rsid w:val="00FE5C80"/>
    <w:rsid w:val="00FE7F29"/>
    <w:rsid w:val="00FF2756"/>
    <w:rsid w:val="00FF456C"/>
    <w:rsid w:val="00FF4C69"/>
    <w:rsid w:val="034C7AB0"/>
    <w:rsid w:val="07F04574"/>
    <w:rsid w:val="0D201B1D"/>
    <w:rsid w:val="0FC71E9A"/>
    <w:rsid w:val="14973315"/>
    <w:rsid w:val="1742207E"/>
    <w:rsid w:val="196654F1"/>
    <w:rsid w:val="1E852914"/>
    <w:rsid w:val="21353FAA"/>
    <w:rsid w:val="23302D9E"/>
    <w:rsid w:val="24AA3130"/>
    <w:rsid w:val="258C4FCF"/>
    <w:rsid w:val="2CF550F2"/>
    <w:rsid w:val="2FEA22EC"/>
    <w:rsid w:val="32C02A94"/>
    <w:rsid w:val="38FF25CE"/>
    <w:rsid w:val="3DD80F91"/>
    <w:rsid w:val="3F73566E"/>
    <w:rsid w:val="403C0DD2"/>
    <w:rsid w:val="41E625EB"/>
    <w:rsid w:val="462507EE"/>
    <w:rsid w:val="47BE75C1"/>
    <w:rsid w:val="50B9391E"/>
    <w:rsid w:val="548F1073"/>
    <w:rsid w:val="58611D16"/>
    <w:rsid w:val="5D812F27"/>
    <w:rsid w:val="62BA0B89"/>
    <w:rsid w:val="6BC92D81"/>
    <w:rsid w:val="6EF4623C"/>
    <w:rsid w:val="741B3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line="380" w:lineRule="exact"/>
      <w:jc w:val="center"/>
      <w:outlineLvl w:val="0"/>
    </w:pPr>
    <w:rPr>
      <w:rFonts w:ascii="宋体"/>
      <w:b/>
      <w:bCs/>
      <w:sz w:val="28"/>
    </w:rPr>
  </w:style>
  <w:style w:type="paragraph" w:styleId="3">
    <w:name w:val="heading 2"/>
    <w:basedOn w:val="1"/>
    <w:next w:val="1"/>
    <w:link w:val="108"/>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eastAsia="仿宋_GB2312"/>
      <w:sz w:val="32"/>
    </w:rPr>
  </w:style>
  <w:style w:type="paragraph" w:styleId="5">
    <w:name w:val="annotation text"/>
    <w:basedOn w:val="1"/>
    <w:semiHidden/>
    <w:unhideWhenUsed/>
    <w:qFormat/>
    <w:uiPriority w:val="99"/>
    <w:pPr>
      <w:jc w:val="left"/>
    </w:pPr>
  </w:style>
  <w:style w:type="paragraph" w:styleId="6">
    <w:name w:val="Body Text"/>
    <w:basedOn w:val="1"/>
    <w:link w:val="105"/>
    <w:semiHidden/>
    <w:unhideWhenUsed/>
    <w:qFormat/>
    <w:uiPriority w:val="99"/>
    <w:pPr>
      <w:spacing w:after="120"/>
    </w:pPr>
  </w:style>
  <w:style w:type="paragraph" w:styleId="7">
    <w:name w:val="Plain Text"/>
    <w:basedOn w:val="1"/>
    <w:link w:val="26"/>
    <w:unhideWhenUsed/>
    <w:qFormat/>
    <w:uiPriority w:val="0"/>
    <w:rPr>
      <w:rFonts w:ascii="宋体" w:hAnsi="Courier New" w:cs="Courier New"/>
      <w:szCs w:val="21"/>
    </w:rPr>
  </w:style>
  <w:style w:type="paragraph" w:styleId="8">
    <w:name w:val="Date"/>
    <w:basedOn w:val="1"/>
    <w:next w:val="1"/>
    <w:link w:val="31"/>
    <w:qFormat/>
    <w:uiPriority w:val="0"/>
    <w:pPr>
      <w:adjustRightInd w:val="0"/>
      <w:spacing w:line="312" w:lineRule="atLeast"/>
      <w:textAlignment w:val="baseline"/>
    </w:pPr>
    <w:rPr>
      <w:rFonts w:ascii="仿宋_GB2312" w:eastAsia="仿宋_GB2312"/>
      <w:kern w:val="0"/>
      <w:sz w:val="28"/>
    </w:rPr>
  </w:style>
  <w:style w:type="paragraph" w:styleId="9">
    <w:name w:val="Body Text Indent 2"/>
    <w:basedOn w:val="1"/>
    <w:link w:val="28"/>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0">
    <w:name w:val="Balloon Text"/>
    <w:basedOn w:val="1"/>
    <w:link w:val="107"/>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109"/>
    <w:qFormat/>
    <w:uiPriority w:val="0"/>
    <w:pPr>
      <w:spacing w:after="120" w:line="480" w:lineRule="auto"/>
    </w:pPr>
    <w:rPr>
      <w:szCs w:val="24"/>
    </w:rPr>
  </w:style>
  <w:style w:type="paragraph" w:styleId="14">
    <w:name w:val="HTML Preformatted"/>
    <w:basedOn w:val="1"/>
    <w:link w:val="25"/>
    <w:unhideWhenUsed/>
    <w:qFormat/>
    <w:uiPriority w:val="99"/>
    <w:rPr>
      <w:rFonts w:ascii="Courier New" w:hAnsi="Courier New" w:cs="Courier New" w:eastAsiaTheme="minorEastAsia"/>
      <w:szCs w:val="22"/>
    </w:r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8">
    <w:name w:val="Strong"/>
    <w:basedOn w:val="17"/>
    <w:qFormat/>
    <w:uiPriority w:val="0"/>
    <w:rPr>
      <w:b/>
      <w:bCs/>
    </w:rPr>
  </w:style>
  <w:style w:type="character" w:styleId="19">
    <w:name w:val="page number"/>
    <w:basedOn w:val="17"/>
    <w:qFormat/>
    <w:uiPriority w:val="0"/>
  </w:style>
  <w:style w:type="character" w:styleId="20">
    <w:name w:val="FollowedHyperlink"/>
    <w:basedOn w:val="17"/>
    <w:semiHidden/>
    <w:unhideWhenUsed/>
    <w:qFormat/>
    <w:uiPriority w:val="99"/>
    <w:rPr>
      <w:color w:val="800080"/>
      <w:u w:val="single"/>
    </w:rPr>
  </w:style>
  <w:style w:type="character" w:styleId="21">
    <w:name w:val="Hyperlink"/>
    <w:basedOn w:val="17"/>
    <w:unhideWhenUsed/>
    <w:qFormat/>
    <w:uiPriority w:val="99"/>
    <w:rPr>
      <w:color w:val="0000FF"/>
      <w:u w:val="single"/>
    </w:rPr>
  </w:style>
  <w:style w:type="character" w:styleId="22">
    <w:name w:val="annotation reference"/>
    <w:basedOn w:val="17"/>
    <w:semiHidden/>
    <w:unhideWhenUsed/>
    <w:qFormat/>
    <w:uiPriority w:val="99"/>
    <w:rPr>
      <w:sz w:val="21"/>
      <w:szCs w:val="21"/>
    </w:rPr>
  </w:style>
  <w:style w:type="character" w:customStyle="1" w:styleId="23">
    <w:name w:val="页眉 Char"/>
    <w:basedOn w:val="17"/>
    <w:link w:val="12"/>
    <w:qFormat/>
    <w:uiPriority w:val="99"/>
    <w:rPr>
      <w:sz w:val="18"/>
      <w:szCs w:val="18"/>
    </w:rPr>
  </w:style>
  <w:style w:type="character" w:customStyle="1" w:styleId="24">
    <w:name w:val="页脚 Char"/>
    <w:basedOn w:val="17"/>
    <w:link w:val="11"/>
    <w:qFormat/>
    <w:uiPriority w:val="99"/>
    <w:rPr>
      <w:sz w:val="18"/>
      <w:szCs w:val="18"/>
    </w:rPr>
  </w:style>
  <w:style w:type="character" w:customStyle="1" w:styleId="25">
    <w:name w:val="HTML 预设格式 Char"/>
    <w:link w:val="14"/>
    <w:qFormat/>
    <w:uiPriority w:val="99"/>
    <w:rPr>
      <w:rFonts w:ascii="Courier New" w:hAnsi="Courier New" w:cs="Courier New"/>
    </w:rPr>
  </w:style>
  <w:style w:type="character" w:customStyle="1" w:styleId="26">
    <w:name w:val="纯文本 Char"/>
    <w:basedOn w:val="17"/>
    <w:link w:val="7"/>
    <w:qFormat/>
    <w:uiPriority w:val="6"/>
    <w:rPr>
      <w:rFonts w:ascii="宋体" w:hAnsi="Courier New" w:eastAsia="宋体" w:cs="Courier New"/>
      <w:szCs w:val="21"/>
    </w:rPr>
  </w:style>
  <w:style w:type="character" w:customStyle="1" w:styleId="27">
    <w:name w:val="HTML 预设格式 Char1"/>
    <w:basedOn w:val="17"/>
    <w:semiHidden/>
    <w:qFormat/>
    <w:uiPriority w:val="99"/>
    <w:rPr>
      <w:rFonts w:ascii="Courier New" w:hAnsi="Courier New" w:eastAsia="宋体" w:cs="Courier New"/>
      <w:sz w:val="20"/>
      <w:szCs w:val="20"/>
    </w:rPr>
  </w:style>
  <w:style w:type="character" w:customStyle="1" w:styleId="28">
    <w:name w:val="正文文本缩进 2 Char"/>
    <w:basedOn w:val="17"/>
    <w:link w:val="9"/>
    <w:semiHidden/>
    <w:qFormat/>
    <w:uiPriority w:val="0"/>
    <w:rPr>
      <w:rFonts w:ascii="仿宋_GB2312" w:hAnsi="Times New Roman" w:eastAsia="仿宋_GB2312" w:cs="Times New Roman"/>
      <w:kern w:val="0"/>
      <w:sz w:val="28"/>
      <w:szCs w:val="20"/>
    </w:rPr>
  </w:style>
  <w:style w:type="paragraph" w:styleId="29">
    <w:name w:val="List Paragraph"/>
    <w:basedOn w:val="1"/>
    <w:qFormat/>
    <w:uiPriority w:val="34"/>
    <w:pPr>
      <w:ind w:firstLine="420" w:firstLineChars="200"/>
    </w:pPr>
  </w:style>
  <w:style w:type="character" w:customStyle="1" w:styleId="30">
    <w:name w:val="tpc_content1"/>
    <w:basedOn w:val="17"/>
    <w:qFormat/>
    <w:uiPriority w:val="0"/>
    <w:rPr>
      <w:sz w:val="20"/>
      <w:szCs w:val="20"/>
    </w:rPr>
  </w:style>
  <w:style w:type="character" w:customStyle="1" w:styleId="31">
    <w:name w:val="日期 Char"/>
    <w:basedOn w:val="17"/>
    <w:link w:val="8"/>
    <w:semiHidden/>
    <w:qFormat/>
    <w:uiPriority w:val="0"/>
    <w:rPr>
      <w:rFonts w:ascii="仿宋_GB2312" w:hAnsi="Times New Roman" w:eastAsia="仿宋_GB2312" w:cs="Times New Roman"/>
      <w:kern w:val="0"/>
      <w:sz w:val="28"/>
      <w:szCs w:val="20"/>
    </w:rPr>
  </w:style>
  <w:style w:type="paragraph" w:customStyle="1" w:styleId="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5">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6">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font10"/>
    <w:basedOn w:val="1"/>
    <w:qFormat/>
    <w:uiPriority w:val="0"/>
    <w:pPr>
      <w:widowControl/>
      <w:spacing w:before="100" w:beforeAutospacing="1" w:after="100" w:afterAutospacing="1"/>
      <w:jc w:val="left"/>
    </w:pPr>
    <w:rPr>
      <w:kern w:val="0"/>
      <w:sz w:val="24"/>
      <w:szCs w:val="24"/>
    </w:rPr>
  </w:style>
  <w:style w:type="paragraph" w:customStyle="1" w:styleId="3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1">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3">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8">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6">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4">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5">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6">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8">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9">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0">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2">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1">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2">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3">
    <w:name w:val="纯文本 Char1"/>
    <w:qFormat/>
    <w:uiPriority w:val="0"/>
    <w:rPr>
      <w:rFonts w:ascii="宋体" w:hAnsi="Courier New" w:eastAsia="宋体"/>
      <w:kern w:val="2"/>
      <w:sz w:val="24"/>
      <w:szCs w:val="24"/>
      <w:lang w:val="en-US" w:eastAsia="zh-CN" w:bidi="ar-SA"/>
    </w:rPr>
  </w:style>
  <w:style w:type="paragraph" w:customStyle="1" w:styleId="104">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5">
    <w:name w:val="正文文本 Char"/>
    <w:basedOn w:val="17"/>
    <w:link w:val="6"/>
    <w:semiHidden/>
    <w:qFormat/>
    <w:uiPriority w:val="99"/>
    <w:rPr>
      <w:rFonts w:ascii="Times New Roman" w:hAnsi="Times New Roman" w:eastAsia="宋体" w:cs="Times New Roman"/>
      <w:szCs w:val="20"/>
    </w:rPr>
  </w:style>
  <w:style w:type="paragraph" w:customStyle="1" w:styleId="106">
    <w:name w:val="默认段落字体 Para Char Char Char Char Char Char Char Char Char1 Char Char Char Char"/>
    <w:basedOn w:val="1"/>
    <w:qFormat/>
    <w:uiPriority w:val="0"/>
    <w:rPr>
      <w:rFonts w:ascii="Tahoma" w:hAnsi="Tahoma"/>
      <w:sz w:val="24"/>
    </w:rPr>
  </w:style>
  <w:style w:type="character" w:customStyle="1" w:styleId="107">
    <w:name w:val="批注框文本 Char"/>
    <w:basedOn w:val="17"/>
    <w:link w:val="10"/>
    <w:semiHidden/>
    <w:qFormat/>
    <w:uiPriority w:val="99"/>
    <w:rPr>
      <w:rFonts w:ascii="Times New Roman" w:hAnsi="Times New Roman" w:eastAsia="宋体" w:cs="Times New Roman"/>
      <w:sz w:val="18"/>
      <w:szCs w:val="18"/>
    </w:rPr>
  </w:style>
  <w:style w:type="character" w:customStyle="1" w:styleId="108">
    <w:name w:val="标题 2 Char"/>
    <w:basedOn w:val="17"/>
    <w:link w:val="3"/>
    <w:qFormat/>
    <w:uiPriority w:val="0"/>
    <w:rPr>
      <w:rFonts w:ascii="Arial" w:hAnsi="Arial" w:eastAsia="黑体" w:cs="Times New Roman"/>
      <w:b/>
      <w:bCs/>
      <w:sz w:val="32"/>
      <w:szCs w:val="32"/>
    </w:rPr>
  </w:style>
  <w:style w:type="character" w:customStyle="1" w:styleId="109">
    <w:name w:val="正文文本 2 Char"/>
    <w:basedOn w:val="17"/>
    <w:link w:val="13"/>
    <w:qFormat/>
    <w:uiPriority w:val="0"/>
    <w:rPr>
      <w:rFonts w:ascii="Times New Roman" w:hAnsi="Times New Roman" w:eastAsia="宋体" w:cs="Times New Roman"/>
      <w:szCs w:val="24"/>
    </w:rPr>
  </w:style>
  <w:style w:type="character" w:customStyle="1" w:styleId="110">
    <w:name w:val="纯文本 Char2"/>
    <w:qFormat/>
    <w:uiPriority w:val="99"/>
    <w:rPr>
      <w:rFonts w:ascii="宋体" w:hAnsi="Courier New" w:eastAsia="宋体"/>
      <w:kern w:val="2"/>
      <w:sz w:val="21"/>
      <w:lang w:val="en-US" w:eastAsia="zh-CN" w:bidi="ar-SA"/>
    </w:rPr>
  </w:style>
  <w:style w:type="character" w:customStyle="1" w:styleId="11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A61681-2F4A-4797-99FC-C5544DA89BD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1788</Words>
  <Characters>10198</Characters>
  <Lines>84</Lines>
  <Paragraphs>23</Paragraphs>
  <TotalTime>9</TotalTime>
  <ScaleCrop>false</ScaleCrop>
  <LinksUpToDate>false</LinksUpToDate>
  <CharactersWithSpaces>11963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2021-11-19T10:12:00Z</dcterms:created>
  <dc:creator>lenovo</dc:creator>
  <cp:lastModifiedBy>ZJU4H</cp:lastModifiedBy>
  <cp:lastPrinted>2015-07-08T07:44:00Z</cp:lastPrinted>
  <dcterms:modified xsi:type="dcterms:W3CDTF">2021-11-24T08:54:34Z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3E49499B09AE4579B6064BEF0B8E100B</vt:lpwstr>
  </property>
</Properties>
</file>