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浙江大学医学院附属第四医院咖啡吧水果采购招标文件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根据浙江大学医学院附属第四医院咖啡吧水果采购的要求, 对我院咖啡吧水果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 xml:space="preserve">项目编号: </w:t>
      </w:r>
      <w:r>
        <w:rPr>
          <w:rFonts w:hint="eastAsia" w:ascii="宋体" w:hAnsi="宋体"/>
          <w:color w:val="auto"/>
          <w:sz w:val="24"/>
          <w:highlight w:val="none"/>
        </w:rPr>
        <w:t>ZSHQ-20</w:t>
      </w:r>
      <w:r>
        <w:rPr>
          <w:rFonts w:ascii="宋体" w:hAnsi="宋体"/>
          <w:color w:val="auto"/>
          <w:sz w:val="24"/>
          <w:highlight w:val="none"/>
        </w:rPr>
        <w:t>21</w:t>
      </w:r>
      <w:r>
        <w:rPr>
          <w:rFonts w:hint="eastAsia" w:ascii="宋体" w:hAnsi="宋体"/>
          <w:color w:val="auto"/>
          <w:sz w:val="24"/>
          <w:highlight w:val="none"/>
        </w:rPr>
        <w:t>W</w:t>
      </w:r>
      <w:r>
        <w:rPr>
          <w:rFonts w:hint="eastAsia" w:ascii="宋体" w:hAnsi="宋体"/>
          <w:color w:val="auto"/>
          <w:sz w:val="24"/>
          <w:highlight w:val="none"/>
          <w:lang w:val="en-US" w:eastAsia="zh-CN"/>
        </w:rPr>
        <w:t>26</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采购组织类型：自行采购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浙江大学医学院附属第四医院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采购内容：咖啡吧水果。</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rPr>
        <w:t>6</w:t>
      </w:r>
      <w:r>
        <w:rPr>
          <w:rFonts w:hint="eastAsia" w:ascii="宋体" w:hAnsi="宋体"/>
          <w:b/>
          <w:color w:val="auto"/>
          <w:sz w:val="24"/>
          <w:szCs w:val="24"/>
          <w:highlight w:val="none"/>
        </w:rPr>
        <w:t>万</w:t>
      </w:r>
      <w:r>
        <w:rPr>
          <w:rFonts w:hint="eastAsia" w:ascii="宋体" w:hAnsi="宋体"/>
          <w:b/>
          <w:color w:val="auto"/>
          <w:sz w:val="24"/>
          <w:szCs w:val="24"/>
          <w:highlight w:val="none"/>
        </w:rPr>
        <w:t>，</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olor w:val="auto"/>
          <w:sz w:val="24"/>
          <w:highlight w:val="none"/>
        </w:rPr>
        <w:t>。</w:t>
      </w:r>
      <w:bookmarkStart w:id="2" w:name="_GoBack"/>
      <w:bookmarkEnd w:id="2"/>
    </w:p>
    <w:p>
      <w:pPr>
        <w:numPr>
          <w:ilvl w:val="0"/>
          <w:numId w:val="1"/>
        </w:numPr>
        <w:spacing w:line="360" w:lineRule="auto"/>
        <w:rPr>
          <w:rFonts w:ascii="宋体" w:hAnsi="宋体"/>
          <w:color w:val="auto"/>
          <w:sz w:val="24"/>
          <w:highlight w:val="none"/>
        </w:rPr>
      </w:pPr>
      <w:r>
        <w:rPr>
          <w:rFonts w:ascii="宋体" w:hAnsi="宋体"/>
          <w:color w:val="auto"/>
          <w:sz w:val="24"/>
          <w:highlight w:val="none"/>
        </w:rPr>
        <w:t>评标</w:t>
      </w:r>
      <w:r>
        <w:rPr>
          <w:rFonts w:hint="eastAsia" w:ascii="宋体" w:hAnsi="宋体"/>
          <w:color w:val="auto"/>
          <w:sz w:val="24"/>
          <w:highlight w:val="none"/>
        </w:rPr>
        <w:t>方法：最低评标价法。</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w:t>
      </w:r>
      <w:r>
        <w:rPr>
          <w:rFonts w:ascii="宋体" w:hAnsi="宋体"/>
          <w:color w:val="auto"/>
          <w:sz w:val="24"/>
          <w:highlight w:val="none"/>
        </w:rPr>
        <w:t>一年。</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3"/>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符合《中华人民共和国政府采购法》第二十二条对供应商的要求。</w:t>
      </w:r>
    </w:p>
    <w:p>
      <w:pPr>
        <w:pStyle w:val="23"/>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具有本项目所需货物的服务能力，并能为招标人提供便捷的售后服务，本项目不接受联合体投标。</w:t>
      </w:r>
    </w:p>
    <w:p>
      <w:pPr>
        <w:pStyle w:val="23"/>
        <w:widowControl/>
        <w:spacing w:line="360" w:lineRule="auto"/>
        <w:ind w:left="480" w:firstLine="0" w:firstLineChars="0"/>
        <w:jc w:val="left"/>
        <w:rPr>
          <w:rFonts w:ascii="宋体" w:hAnsi="宋体"/>
          <w:color w:val="auto"/>
          <w:sz w:val="24"/>
          <w:highlight w:val="none"/>
        </w:rPr>
      </w:pPr>
      <w:r>
        <w:rPr>
          <w:rFonts w:hint="eastAsia" w:ascii="宋体" w:hAnsi="宋体" w:cs="宋体"/>
          <w:color w:val="auto"/>
          <w:kern w:val="0"/>
          <w:sz w:val="24"/>
          <w:szCs w:val="24"/>
          <w:highlight w:val="none"/>
        </w:rPr>
        <w:t>3、</w:t>
      </w:r>
      <w:r>
        <w:rPr>
          <w:rFonts w:hint="eastAsia" w:ascii="宋体" w:hAnsi="宋体"/>
          <w:color w:val="auto"/>
          <w:sz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23"/>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olor w:val="auto"/>
          <w:sz w:val="24"/>
          <w:highlight w:val="none"/>
        </w:rPr>
        <w:t>4、</w:t>
      </w:r>
      <w:r>
        <w:rPr>
          <w:rFonts w:hint="eastAsia" w:ascii="宋体" w:hAnsi="宋体"/>
          <w:color w:val="auto"/>
          <w:sz w:val="24"/>
          <w:highlight w:val="none"/>
        </w:rPr>
        <w:t>该行业国家规定必备的资质、资格。</w:t>
      </w:r>
      <w:r>
        <w:rPr>
          <w:rFonts w:hint="eastAsia" w:ascii="宋体" w:hAnsi="宋体"/>
          <w:b/>
          <w:color w:val="auto"/>
          <w:sz w:val="24"/>
          <w:szCs w:val="24"/>
          <w:highlight w:val="none"/>
        </w:rPr>
        <w:t>营业执照中须含有:</w:t>
      </w:r>
      <w:r>
        <w:rPr>
          <w:rFonts w:ascii="宋体" w:hAnsi="宋体"/>
          <w:b/>
          <w:color w:val="auto"/>
          <w:sz w:val="24"/>
          <w:szCs w:val="24"/>
          <w:highlight w:val="none"/>
        </w:rPr>
        <w:t>水果、食品经营许可证</w:t>
      </w:r>
      <w:r>
        <w:rPr>
          <w:rFonts w:hint="eastAsia" w:ascii="宋体" w:hAnsi="宋体"/>
          <w:color w:val="auto"/>
          <w:sz w:val="24"/>
          <w:szCs w:val="24"/>
          <w:highlight w:val="none"/>
        </w:rPr>
        <w:t>。</w:t>
      </w:r>
    </w:p>
    <w:p>
      <w:pPr>
        <w:pStyle w:val="23"/>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招标文件发放方式：浙江大学医学院附属第四医院网站免费下载</w:t>
      </w:r>
    </w:p>
    <w:p>
      <w:pPr>
        <w:pStyle w:val="23"/>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none"/>
        </w:rPr>
        <w:t>2021</w:t>
      </w:r>
      <w:r>
        <w:rPr>
          <w:rFonts w:hint="eastAsia" w:ascii="宋体" w:hAnsi="宋体"/>
          <w:color w:val="auto"/>
          <w:sz w:val="24"/>
          <w:highlight w:val="none"/>
        </w:rPr>
        <w:t>年</w:t>
      </w:r>
      <w:r>
        <w:rPr>
          <w:rFonts w:hint="eastAsia" w:ascii="宋体" w:hAnsi="宋体" w:cs="Tahoma"/>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2</w:t>
      </w:r>
      <w:r>
        <w:rPr>
          <w:rFonts w:hint="eastAsia" w:ascii="宋体" w:hAnsi="宋体"/>
          <w:color w:val="auto"/>
          <w:sz w:val="24"/>
          <w:highlight w:val="none"/>
        </w:rPr>
        <w:t>日17:00之前将</w:t>
      </w:r>
      <w:r>
        <w:rPr>
          <w:b/>
          <w:color w:val="auto"/>
          <w:sz w:val="24"/>
          <w:highlight w:val="none"/>
        </w:rPr>
        <w:t>单位营业执照</w:t>
      </w:r>
      <w:r>
        <w:rPr>
          <w:rFonts w:hint="eastAsia" w:ascii="宋体" w:hAnsi="宋体"/>
          <w:color w:val="auto"/>
          <w:sz w:val="24"/>
          <w:highlight w:val="none"/>
        </w:rPr>
        <w:t>（加盖单位公章 红章）和</w:t>
      </w:r>
      <w:r>
        <w:rPr>
          <w:rFonts w:hint="eastAsia" w:ascii="宋体" w:hAnsi="宋体"/>
          <w:b/>
          <w:color w:val="auto"/>
          <w:sz w:val="24"/>
          <w:highlight w:val="none"/>
        </w:rPr>
        <w:t>授权投标人的身份证复印件</w:t>
      </w:r>
      <w:r>
        <w:rPr>
          <w:rFonts w:hint="eastAsia" w:ascii="宋体" w:hAnsi="宋体"/>
          <w:color w:val="auto"/>
          <w:sz w:val="24"/>
          <w:highlight w:val="none"/>
        </w:rPr>
        <w:t>（加盖单位公章）</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16"/>
          <w:rFonts w:hint="eastAsia" w:ascii="宋体" w:hAnsi="宋体"/>
          <w:color w:val="auto"/>
          <w:sz w:val="24"/>
          <w:highlight w:val="none"/>
        </w:rPr>
        <w:t>发送至邮箱</w:t>
      </w:r>
      <w:r>
        <w:rPr>
          <w:rStyle w:val="16"/>
          <w:rFonts w:ascii="宋体" w:hAnsi="宋体"/>
          <w:b/>
          <w:color w:val="auto"/>
          <w:sz w:val="24"/>
          <w:highlight w:val="none"/>
        </w:rPr>
        <w:t>zshqzb@163.com</w:t>
      </w:r>
      <w:r>
        <w:rPr>
          <w:rStyle w:val="16"/>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3"/>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单位营业执照（加盖单位公章 红章）；</w:t>
      </w:r>
    </w:p>
    <w:p>
      <w:pPr>
        <w:pStyle w:val="23"/>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3"/>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3"/>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none"/>
          <w:u w:val="single"/>
        </w:rPr>
        <w:t>2021</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日  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spacing w:line="360" w:lineRule="auto"/>
        <w:rPr>
          <w:rFonts w:ascii="宋体" w:hAnsi="宋体"/>
          <w:color w:val="auto"/>
          <w:sz w:val="24"/>
          <w:highlight w:val="none"/>
        </w:rPr>
      </w:pPr>
      <w:r>
        <w:rPr>
          <w:rFonts w:hint="eastAsia" w:ascii="宋体" w:hAnsi="宋体"/>
          <w:color w:val="auto"/>
          <w:sz w:val="24"/>
          <w:highlight w:val="none"/>
        </w:rPr>
        <w:t>十四、联系地址和电话：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  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 xml:space="preserve">联系人：吴老师 </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w:t>
      </w:r>
      <w:r>
        <w:rPr>
          <w:rFonts w:hint="eastAsia" w:ascii="宋体" w:hAnsi="宋体"/>
          <w:color w:val="auto"/>
          <w:sz w:val="24"/>
          <w:highlight w:val="none"/>
        </w:rPr>
        <w:t>五、</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spacing w:line="360" w:lineRule="auto"/>
        <w:rPr>
          <w:rFonts w:ascii="宋体" w:hAnsi="宋体"/>
          <w:color w:val="auto"/>
          <w:sz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浙江大学医学院附属第四医院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p>
    <w:p>
      <w:pPr>
        <w:spacing w:line="360" w:lineRule="auto"/>
        <w:ind w:firstLine="321" w:firstLineChars="100"/>
        <w:jc w:val="center"/>
        <w:rPr>
          <w:rFonts w:ascii="宋体" w:hAnsi="宋体"/>
          <w:b/>
          <w:color w:val="auto"/>
          <w:sz w:val="32"/>
          <w:szCs w:val="32"/>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 xml:space="preserve">第三章   </w:t>
      </w:r>
      <w:r>
        <w:rPr>
          <w:rFonts w:asciiTheme="minorEastAsia" w:hAnsiTheme="minorEastAsia"/>
          <w:b/>
          <w:color w:val="auto"/>
          <w:sz w:val="28"/>
          <w:szCs w:val="28"/>
          <w:highlight w:val="none"/>
        </w:rPr>
        <w:t>项目</w:t>
      </w:r>
      <w:r>
        <w:rPr>
          <w:rFonts w:hint="eastAsia" w:asciiTheme="minorEastAsia" w:hAnsiTheme="minorEastAsia"/>
          <w:b/>
          <w:color w:val="auto"/>
          <w:sz w:val="28"/>
          <w:szCs w:val="28"/>
          <w:highlight w:val="none"/>
        </w:rPr>
        <w:t>概况及技术要求</w:t>
      </w:r>
    </w:p>
    <w:p>
      <w:pPr>
        <w:spacing w:line="360" w:lineRule="auto"/>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一、项目概况</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1．本</w:t>
      </w:r>
      <w:r>
        <w:rPr>
          <w:rFonts w:asciiTheme="minorEastAsia" w:hAnsiTheme="minorEastAsia"/>
          <w:color w:val="auto"/>
          <w:sz w:val="24"/>
          <w:szCs w:val="24"/>
          <w:highlight w:val="none"/>
        </w:rPr>
        <w:t>项目地点：浙江大学医学院附属第四医院（义乌市商城大道N1号）</w:t>
      </w:r>
      <w:r>
        <w:rPr>
          <w:rFonts w:hint="eastAsia" w:asciiTheme="minorEastAsia" w:hAnsiTheme="minorEastAsia"/>
          <w:color w:val="auto"/>
          <w:sz w:val="24"/>
          <w:szCs w:val="24"/>
          <w:highlight w:val="none"/>
        </w:rPr>
        <w:t>咖啡吧。</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2．项目情况：本次招标为咖啡吧水果</w:t>
      </w:r>
      <w:r>
        <w:rPr>
          <w:rFonts w:asciiTheme="minorEastAsia" w:hAnsiTheme="minorEastAsia"/>
          <w:color w:val="auto"/>
          <w:sz w:val="24"/>
          <w:szCs w:val="24"/>
          <w:highlight w:val="none"/>
        </w:rPr>
        <w:t>配送</w:t>
      </w:r>
      <w:r>
        <w:rPr>
          <w:rFonts w:hint="eastAsia" w:asciiTheme="minorEastAsia" w:hAnsiTheme="minorEastAsia"/>
          <w:color w:val="auto"/>
          <w:sz w:val="24"/>
          <w:szCs w:val="24"/>
          <w:highlight w:val="none"/>
        </w:rPr>
        <w:t>，具体材料及设备见招标货物一览表</w:t>
      </w:r>
    </w:p>
    <w:p>
      <w:pPr>
        <w:spacing w:line="360" w:lineRule="auto"/>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w:t>
      </w:r>
      <w:r>
        <w:rPr>
          <w:rFonts w:asciiTheme="minorEastAsia" w:hAnsiTheme="minorEastAsia"/>
          <w:b/>
          <w:color w:val="auto"/>
          <w:sz w:val="24"/>
          <w:szCs w:val="24"/>
          <w:highlight w:val="none"/>
        </w:rPr>
        <w:t>、招标货物一览表</w:t>
      </w:r>
    </w:p>
    <w:tbl>
      <w:tblPr>
        <w:tblStyle w:val="12"/>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045"/>
        <w:gridCol w:w="2072"/>
        <w:gridCol w:w="803"/>
        <w:gridCol w:w="143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序号</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名称</w:t>
            </w:r>
          </w:p>
        </w:tc>
        <w:tc>
          <w:tcPr>
            <w:tcW w:w="2072" w:type="dxa"/>
          </w:tcPr>
          <w:p>
            <w:pPr>
              <w:spacing w:line="360" w:lineRule="auto"/>
              <w:jc w:val="center"/>
              <w:rPr>
                <w:rFonts w:asciiTheme="minorEastAsia" w:hAnsiTheme="minorEastAsia"/>
                <w:b/>
                <w:color w:val="auto"/>
                <w:sz w:val="24"/>
                <w:szCs w:val="24"/>
                <w:highlight w:val="none"/>
              </w:rPr>
            </w:pPr>
            <w:r>
              <w:rPr>
                <w:rFonts w:hint="eastAsia" w:ascii="宋体" w:hAnsi="宋体"/>
                <w:b/>
                <w:color w:val="auto"/>
                <w:kern w:val="0"/>
                <w:sz w:val="24"/>
                <w:szCs w:val="24"/>
                <w:highlight w:val="none"/>
              </w:rPr>
              <w:t>品种</w:t>
            </w:r>
            <w:r>
              <w:rPr>
                <w:rFonts w:ascii="宋体" w:hAnsi="宋体"/>
                <w:b/>
                <w:color w:val="auto"/>
                <w:kern w:val="0"/>
                <w:sz w:val="24"/>
                <w:szCs w:val="24"/>
                <w:highlight w:val="none"/>
              </w:rPr>
              <w:t>、</w:t>
            </w:r>
            <w:r>
              <w:rPr>
                <w:rFonts w:hint="eastAsia" w:ascii="宋体" w:hAnsi="宋体"/>
                <w:b/>
                <w:color w:val="auto"/>
                <w:kern w:val="0"/>
                <w:sz w:val="24"/>
                <w:szCs w:val="24"/>
                <w:highlight w:val="none"/>
              </w:rPr>
              <w:t>等级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单位</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年使用量</w:t>
            </w:r>
          </w:p>
        </w:tc>
        <w:tc>
          <w:tcPr>
            <w:tcW w:w="184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脐橙</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进口橙、中级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5000</w:t>
            </w:r>
          </w:p>
        </w:tc>
        <w:tc>
          <w:tcPr>
            <w:tcW w:w="184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2</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柠檬</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进口柠檬、中级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个</w:t>
            </w:r>
          </w:p>
        </w:tc>
        <w:tc>
          <w:tcPr>
            <w:tcW w:w="1436"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100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3</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长</w:t>
            </w:r>
            <w:r>
              <w:rPr>
                <w:rFonts w:asciiTheme="minorEastAsia" w:hAnsiTheme="minorEastAsia"/>
                <w:b/>
                <w:color w:val="auto"/>
                <w:sz w:val="24"/>
                <w:szCs w:val="24"/>
                <w:highlight w:val="none"/>
              </w:rPr>
              <w:t>香</w:t>
            </w:r>
            <w:r>
              <w:rPr>
                <w:rFonts w:hint="eastAsia" w:asciiTheme="minorEastAsia" w:hAnsiTheme="minorEastAsia"/>
                <w:b/>
                <w:color w:val="auto"/>
                <w:sz w:val="24"/>
                <w:szCs w:val="24"/>
                <w:highlight w:val="none"/>
              </w:rPr>
              <w:t>玉</w:t>
            </w:r>
            <w:r>
              <w:rPr>
                <w:rFonts w:asciiTheme="minorEastAsia" w:hAnsiTheme="minorEastAsia"/>
                <w:b/>
                <w:color w:val="auto"/>
                <w:sz w:val="24"/>
                <w:szCs w:val="24"/>
                <w:highlight w:val="none"/>
              </w:rPr>
              <w:t>哈密瓜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150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4</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皇冠雪梨</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w:t>
            </w:r>
            <w:r>
              <w:rPr>
                <w:rFonts w:asciiTheme="minorEastAsia" w:hAnsiTheme="minorEastAsia"/>
                <w:b/>
                <w:color w:val="auto"/>
                <w:sz w:val="24"/>
                <w:szCs w:val="24"/>
                <w:highlight w:val="none"/>
              </w:rPr>
              <w:t>000</w:t>
            </w:r>
          </w:p>
        </w:tc>
        <w:tc>
          <w:tcPr>
            <w:tcW w:w="184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苹果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9</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6</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芒果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水仙芒、特级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3</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需要提供样品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7</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红心红龙果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w:t>
            </w:r>
            <w:r>
              <w:rPr>
                <w:rFonts w:asciiTheme="minorEastAsia" w:hAnsiTheme="minorEastAsia"/>
                <w:b/>
                <w:color w:val="auto"/>
                <w:sz w:val="24"/>
                <w:szCs w:val="24"/>
                <w:highlight w:val="none"/>
              </w:rPr>
              <w:t>20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8</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进口</w:t>
            </w:r>
            <w:r>
              <w:rPr>
                <w:rFonts w:asciiTheme="minorEastAsia" w:hAnsiTheme="minorEastAsia"/>
                <w:b/>
                <w:color w:val="auto"/>
                <w:sz w:val="24"/>
                <w:szCs w:val="24"/>
                <w:highlight w:val="none"/>
              </w:rPr>
              <w:t>香蕉</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进口蕉、中级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9</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胡萝卜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2</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10</w:t>
            </w:r>
          </w:p>
        </w:tc>
        <w:tc>
          <w:tcPr>
            <w:tcW w:w="2045"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鸡蛋</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11</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麒麟</w:t>
            </w:r>
            <w:r>
              <w:rPr>
                <w:rFonts w:asciiTheme="minorEastAsia" w:hAnsiTheme="minorEastAsia"/>
                <w:b/>
                <w:color w:val="auto"/>
                <w:sz w:val="24"/>
                <w:szCs w:val="24"/>
                <w:highlight w:val="none"/>
              </w:rPr>
              <w:t>瓜</w:t>
            </w:r>
          </w:p>
        </w:tc>
        <w:tc>
          <w:tcPr>
            <w:tcW w:w="2072" w:type="dxa"/>
          </w:tcPr>
          <w:p>
            <w:pPr>
              <w:spacing w:line="360" w:lineRule="auto"/>
              <w:jc w:val="center"/>
              <w:rPr>
                <w:rFonts w:asciiTheme="minorEastAsia" w:hAnsiTheme="minorEastAsia"/>
                <w:b/>
                <w:color w:val="auto"/>
                <w:sz w:val="24"/>
                <w:szCs w:val="24"/>
                <w:highlight w:val="none"/>
              </w:rPr>
            </w:pPr>
            <w:r>
              <w:rPr>
                <w:rFonts w:asciiTheme="minorEastAsia" w:hAnsiTheme="minorEastAsia"/>
                <w:b/>
                <w:color w:val="auto"/>
                <w:sz w:val="24"/>
                <w:szCs w:val="24"/>
                <w:highlight w:val="none"/>
              </w:rPr>
              <w:t>中级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9</w:t>
            </w:r>
            <w:r>
              <w:rPr>
                <w:rFonts w:asciiTheme="minorEastAsia" w:hAnsiTheme="minorEastAsia"/>
                <w:b/>
                <w:color w:val="auto"/>
                <w:sz w:val="24"/>
                <w:szCs w:val="24"/>
                <w:highlight w:val="none"/>
              </w:rPr>
              <w:t>00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12</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草莓</w:t>
            </w:r>
          </w:p>
        </w:tc>
        <w:tc>
          <w:tcPr>
            <w:tcW w:w="207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13</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无</w:t>
            </w:r>
            <w:r>
              <w:rPr>
                <w:rFonts w:asciiTheme="minorEastAsia" w:hAnsiTheme="minorEastAsia"/>
                <w:b/>
                <w:color w:val="auto"/>
                <w:sz w:val="24"/>
                <w:szCs w:val="24"/>
                <w:highlight w:val="none"/>
              </w:rPr>
              <w:t>核青提</w:t>
            </w:r>
          </w:p>
        </w:tc>
        <w:tc>
          <w:tcPr>
            <w:tcW w:w="207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14</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新鲜</w:t>
            </w:r>
            <w:r>
              <w:rPr>
                <w:rFonts w:asciiTheme="minorEastAsia" w:hAnsiTheme="minorEastAsia"/>
                <w:b/>
                <w:color w:val="auto"/>
                <w:sz w:val="24"/>
                <w:szCs w:val="24"/>
                <w:highlight w:val="none"/>
              </w:rPr>
              <w:t>荔枝</w:t>
            </w:r>
          </w:p>
        </w:tc>
        <w:tc>
          <w:tcPr>
            <w:tcW w:w="207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15</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车厘子</w:t>
            </w:r>
          </w:p>
        </w:tc>
        <w:tc>
          <w:tcPr>
            <w:tcW w:w="207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w:t>
            </w:r>
          </w:p>
        </w:tc>
        <w:tc>
          <w:tcPr>
            <w:tcW w:w="1842" w:type="dxa"/>
          </w:tcPr>
          <w:p>
            <w:pPr>
              <w:spacing w:line="360" w:lineRule="auto"/>
              <w:jc w:val="center"/>
              <w:rPr>
                <w:rFonts w:asciiTheme="minorEastAsia" w:hAnsi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10"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16</w:t>
            </w:r>
          </w:p>
        </w:tc>
        <w:tc>
          <w:tcPr>
            <w:tcW w:w="2045"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冬枣</w:t>
            </w:r>
          </w:p>
        </w:tc>
        <w:tc>
          <w:tcPr>
            <w:tcW w:w="2072"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特级</w:t>
            </w:r>
          </w:p>
        </w:tc>
        <w:tc>
          <w:tcPr>
            <w:tcW w:w="803"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斤</w:t>
            </w:r>
          </w:p>
        </w:tc>
        <w:tc>
          <w:tcPr>
            <w:tcW w:w="1436" w:type="dxa"/>
          </w:tcPr>
          <w:p>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50</w:t>
            </w:r>
          </w:p>
        </w:tc>
        <w:tc>
          <w:tcPr>
            <w:tcW w:w="1842" w:type="dxa"/>
          </w:tcPr>
          <w:p>
            <w:pPr>
              <w:spacing w:line="360" w:lineRule="auto"/>
              <w:jc w:val="center"/>
              <w:rPr>
                <w:rFonts w:asciiTheme="minorEastAsia" w:hAnsiTheme="minorEastAsia"/>
                <w:b/>
                <w:color w:val="auto"/>
                <w:sz w:val="24"/>
                <w:szCs w:val="24"/>
                <w:highlight w:val="none"/>
              </w:rPr>
            </w:pPr>
          </w:p>
        </w:tc>
      </w:tr>
    </w:tbl>
    <w:p>
      <w:pPr>
        <w:spacing w:line="360" w:lineRule="auto"/>
        <w:rPr>
          <w:rFonts w:asciiTheme="minorEastAsia" w:hAnsiTheme="minorEastAsia"/>
          <w:color w:val="auto"/>
          <w:sz w:val="24"/>
          <w:szCs w:val="24"/>
          <w:highlight w:val="none"/>
        </w:rPr>
      </w:pP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注</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其中</w:t>
      </w:r>
      <w:r>
        <w:rPr>
          <w:rFonts w:asciiTheme="minorEastAsia" w:hAnsiTheme="minorEastAsia"/>
          <w:color w:val="auto"/>
          <w:sz w:val="24"/>
          <w:szCs w:val="24"/>
          <w:highlight w:val="none"/>
        </w:rPr>
        <w:t>橙子、</w:t>
      </w:r>
      <w:r>
        <w:rPr>
          <w:rFonts w:hint="eastAsia" w:asciiTheme="minorEastAsia" w:hAnsiTheme="minorEastAsia"/>
          <w:color w:val="auto"/>
          <w:sz w:val="24"/>
          <w:szCs w:val="24"/>
          <w:highlight w:val="none"/>
        </w:rPr>
        <w:t>皇冠雪梨</w:t>
      </w:r>
      <w:r>
        <w:rPr>
          <w:rFonts w:asciiTheme="minorEastAsia" w:hAnsiTheme="minorEastAsia"/>
          <w:color w:val="auto"/>
          <w:sz w:val="24"/>
          <w:szCs w:val="24"/>
          <w:highlight w:val="none"/>
        </w:rPr>
        <w:t>、苹果、芒果需要提供样品，作为后期供货参考样品</w:t>
      </w:r>
      <w:r>
        <w:rPr>
          <w:rFonts w:hint="eastAsia" w:asciiTheme="minorEastAsia" w:hAnsiTheme="minorEastAsia"/>
          <w:color w:val="auto"/>
          <w:sz w:val="24"/>
          <w:szCs w:val="24"/>
          <w:highlight w:val="none"/>
        </w:rPr>
        <w:t>。</w:t>
      </w:r>
    </w:p>
    <w:p>
      <w:pPr>
        <w:spacing w:line="360" w:lineRule="auto"/>
        <w:ind w:left="-283" w:leftChars="-135"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202</w:t>
      </w:r>
      <w:r>
        <w:rPr>
          <w:rFonts w:hint="eastAsia" w:asciiTheme="minorEastAsia" w:hAnsiTheme="minorEastAsia"/>
          <w:color w:val="auto"/>
          <w:sz w:val="24"/>
          <w:szCs w:val="24"/>
          <w:highlight w:val="none"/>
        </w:rPr>
        <w:t>1年</w:t>
      </w:r>
      <w:r>
        <w:rPr>
          <w:rFonts w:asciiTheme="minorEastAsia" w:hAnsiTheme="minorEastAsia"/>
          <w:color w:val="auto"/>
          <w:sz w:val="24"/>
          <w:szCs w:val="24"/>
          <w:highlight w:val="none"/>
        </w:rPr>
        <w:t>11</w:t>
      </w:r>
      <w:r>
        <w:rPr>
          <w:rFonts w:hint="eastAsia" w:asciiTheme="minorEastAsia" w:hAnsiTheme="minorEastAsia"/>
          <w:color w:val="auto"/>
          <w:sz w:val="24"/>
          <w:szCs w:val="24"/>
          <w:highlight w:val="none"/>
        </w:rPr>
        <w:t>月</w:t>
      </w:r>
      <w:r>
        <w:rPr>
          <w:rFonts w:asciiTheme="minorEastAsia" w:hAnsiTheme="minorEastAsia"/>
          <w:color w:val="auto"/>
          <w:sz w:val="24"/>
          <w:szCs w:val="24"/>
          <w:highlight w:val="none"/>
        </w:rPr>
        <w:t>8</w:t>
      </w:r>
      <w:r>
        <w:rPr>
          <w:rFonts w:hint="eastAsia" w:asciiTheme="minorEastAsia" w:hAnsiTheme="minorEastAsia"/>
          <w:color w:val="auto"/>
          <w:sz w:val="24"/>
          <w:szCs w:val="24"/>
          <w:highlight w:val="none"/>
        </w:rPr>
        <w:t>日-</w:t>
      </w:r>
      <w:r>
        <w:rPr>
          <w:rFonts w:asciiTheme="minorEastAsia" w:hAnsiTheme="minorEastAsia"/>
          <w:color w:val="auto"/>
          <w:sz w:val="24"/>
          <w:szCs w:val="24"/>
          <w:highlight w:val="none"/>
        </w:rPr>
        <w:t>14</w:t>
      </w:r>
      <w:r>
        <w:rPr>
          <w:rFonts w:hint="eastAsia" w:asciiTheme="minorEastAsia" w:hAnsiTheme="minorEastAsia"/>
          <w:color w:val="auto"/>
          <w:sz w:val="24"/>
          <w:szCs w:val="24"/>
          <w:highlight w:val="none"/>
        </w:rPr>
        <w:t>日</w:t>
      </w:r>
      <w:r>
        <w:rPr>
          <w:rFonts w:asciiTheme="minorEastAsia" w:hAnsiTheme="minorEastAsia"/>
          <w:color w:val="auto"/>
          <w:sz w:val="24"/>
          <w:szCs w:val="24"/>
          <w:highlight w:val="none"/>
        </w:rPr>
        <w:t>当天义乌市教育局（天下粮仓）</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http://ywec.nfcpwl.com/buyer/login</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的子入口指数所示价格作为基准价</w:t>
      </w:r>
      <w:r>
        <w:rPr>
          <w:rFonts w:hint="eastAsia" w:asciiTheme="minorEastAsia" w:hAnsiTheme="minorEastAsia"/>
          <w:color w:val="auto"/>
          <w:sz w:val="24"/>
          <w:szCs w:val="24"/>
          <w:highlight w:val="none"/>
        </w:rPr>
        <w:t>（详见招标公告附件）</w:t>
      </w:r>
      <w:r>
        <w:rPr>
          <w:rFonts w:asciiTheme="minorEastAsia" w:hAnsiTheme="minorEastAsia"/>
          <w:color w:val="auto"/>
          <w:sz w:val="24"/>
          <w:szCs w:val="24"/>
          <w:highlight w:val="none"/>
        </w:rPr>
        <w:t>，供投标单位参考</w:t>
      </w:r>
      <w:r>
        <w:rPr>
          <w:rFonts w:hint="eastAsia" w:asciiTheme="minorEastAsia" w:hAnsiTheme="minorEastAsia"/>
          <w:color w:val="auto"/>
          <w:sz w:val="24"/>
          <w:szCs w:val="24"/>
          <w:highlight w:val="none"/>
        </w:rPr>
        <w:t>。</w:t>
      </w:r>
    </w:p>
    <w:p>
      <w:pPr>
        <w:spacing w:line="360" w:lineRule="auto"/>
        <w:ind w:left="-283" w:leftChars="-135" w:firstLine="495"/>
        <w:rPr>
          <w:rFonts w:asciiTheme="minorEastAsia" w:hAnsiTheme="minorEastAsia"/>
          <w:b/>
          <w:color w:val="auto"/>
          <w:sz w:val="24"/>
          <w:szCs w:val="24"/>
          <w:highlight w:val="none"/>
        </w:rPr>
      </w:pPr>
      <w:r>
        <w:rPr>
          <w:rFonts w:asciiTheme="minorEastAsia" w:hAnsiTheme="minorEastAsia"/>
          <w:b/>
          <w:color w:val="auto"/>
          <w:sz w:val="24"/>
          <w:szCs w:val="24"/>
          <w:highlight w:val="none"/>
        </w:rPr>
        <w:t>让利幅度范围：</w:t>
      </w:r>
      <w:r>
        <w:rPr>
          <w:rFonts w:hint="eastAsia" w:asciiTheme="minorEastAsia" w:hAnsiTheme="minorEastAsia"/>
          <w:b/>
          <w:color w:val="auto"/>
          <w:sz w:val="24"/>
          <w:szCs w:val="24"/>
          <w:highlight w:val="none"/>
        </w:rPr>
        <w:t>10</w:t>
      </w:r>
      <w:r>
        <w:rPr>
          <w:rFonts w:asciiTheme="minorEastAsia" w:hAnsiTheme="minorEastAsia"/>
          <w:color w:val="auto"/>
          <w:sz w:val="24"/>
          <w:szCs w:val="24"/>
          <w:highlight w:val="none"/>
        </w:rPr>
        <w:t>～</w:t>
      </w:r>
      <w:r>
        <w:rPr>
          <w:rFonts w:hint="eastAsia" w:asciiTheme="minorEastAsia" w:hAnsiTheme="minorEastAsia"/>
          <w:b/>
          <w:color w:val="auto"/>
          <w:sz w:val="24"/>
          <w:szCs w:val="24"/>
          <w:highlight w:val="none"/>
        </w:rPr>
        <w:t>20</w:t>
      </w:r>
      <w:r>
        <w:rPr>
          <w:rFonts w:asciiTheme="minorEastAsia" w:hAnsiTheme="minorEastAsia"/>
          <w:b/>
          <w:color w:val="auto"/>
          <w:sz w:val="24"/>
          <w:szCs w:val="24"/>
          <w:highlight w:val="none"/>
        </w:rPr>
        <w:t>个百分点</w:t>
      </w:r>
      <w:r>
        <w:rPr>
          <w:rFonts w:asciiTheme="minorEastAsia" w:hAnsiTheme="minorEastAsia"/>
          <w:b/>
          <w:color w:val="auto"/>
          <w:sz w:val="24"/>
          <w:szCs w:val="24"/>
          <w:highlight w:val="none"/>
        </w:rPr>
        <w:t>（供应商让利幅度在此范围中自行确定，保留小数点后两位）。</w:t>
      </w:r>
    </w:p>
    <w:p>
      <w:pPr>
        <w:pStyle w:val="23"/>
        <w:numPr>
          <w:ilvl w:val="0"/>
          <w:numId w:val="3"/>
        </w:numPr>
        <w:spacing w:line="360" w:lineRule="auto"/>
        <w:ind w:firstLineChars="0"/>
        <w:rPr>
          <w:rFonts w:asciiTheme="minorEastAsia" w:hAnsiTheme="minorEastAsia"/>
          <w:color w:val="auto"/>
          <w:sz w:val="24"/>
          <w:szCs w:val="24"/>
          <w:highlight w:val="none"/>
        </w:rPr>
      </w:pPr>
      <w:r>
        <w:rPr>
          <w:rFonts w:asciiTheme="minorEastAsia" w:hAnsiTheme="minorEastAsia"/>
          <w:color w:val="auto"/>
          <w:sz w:val="24"/>
          <w:szCs w:val="24"/>
          <w:highlight w:val="none"/>
        </w:rPr>
        <w:t>所配送物品无公害无污染，须经义乌市农产品检测中心或其他相关检测部门检测产品合格后并必须符合卫生安全规定</w:t>
      </w:r>
      <w:r>
        <w:rPr>
          <w:rFonts w:hint="eastAsia" w:asciiTheme="minorEastAsia" w:hAnsiTheme="minorEastAsia"/>
          <w:color w:val="auto"/>
          <w:sz w:val="24"/>
          <w:szCs w:val="24"/>
          <w:highlight w:val="none"/>
        </w:rPr>
        <w:t>。</w:t>
      </w:r>
    </w:p>
    <w:p>
      <w:pPr>
        <w:pStyle w:val="23"/>
        <w:numPr>
          <w:ilvl w:val="0"/>
          <w:numId w:val="3"/>
        </w:numPr>
        <w:spacing w:line="360" w:lineRule="auto"/>
        <w:ind w:firstLineChars="0"/>
        <w:rPr>
          <w:rFonts w:asciiTheme="minorEastAsia" w:hAnsiTheme="minorEastAsia"/>
          <w:color w:val="auto"/>
          <w:sz w:val="24"/>
          <w:szCs w:val="24"/>
          <w:highlight w:val="none"/>
        </w:rPr>
      </w:pPr>
      <w:r>
        <w:rPr>
          <w:rFonts w:asciiTheme="minorEastAsia" w:hAnsiTheme="minorEastAsia"/>
          <w:color w:val="auto"/>
          <w:sz w:val="24"/>
          <w:szCs w:val="24"/>
          <w:highlight w:val="none"/>
        </w:rPr>
        <w:t>按采购人的要求配送专车进行准时准点免费配送，并做到随时所需随时送到，随配送车提供物品检验合格报告单。</w:t>
      </w:r>
    </w:p>
    <w:p>
      <w:pPr>
        <w:pStyle w:val="23"/>
        <w:numPr>
          <w:ilvl w:val="0"/>
          <w:numId w:val="3"/>
        </w:numPr>
        <w:spacing w:line="360" w:lineRule="auto"/>
        <w:ind w:firstLineChars="0"/>
        <w:rPr>
          <w:rFonts w:asciiTheme="minorEastAsia" w:hAnsiTheme="minorEastAsia"/>
          <w:color w:val="auto"/>
          <w:sz w:val="24"/>
          <w:szCs w:val="24"/>
          <w:highlight w:val="none"/>
        </w:rPr>
      </w:pPr>
      <w:r>
        <w:rPr>
          <w:rFonts w:asciiTheme="minorEastAsia" w:hAnsiTheme="minorEastAsia"/>
          <w:color w:val="auto"/>
          <w:sz w:val="24"/>
          <w:szCs w:val="24"/>
          <w:highlight w:val="none"/>
        </w:rPr>
        <w:t>供应商承诺所配送的</w:t>
      </w:r>
      <w:r>
        <w:rPr>
          <w:rFonts w:hint="eastAsia" w:asciiTheme="minorEastAsia" w:hAnsiTheme="minorEastAsia"/>
          <w:color w:val="auto"/>
          <w:sz w:val="24"/>
          <w:szCs w:val="24"/>
          <w:highlight w:val="none"/>
        </w:rPr>
        <w:t>水果因</w:t>
      </w:r>
      <w:r>
        <w:rPr>
          <w:rFonts w:asciiTheme="minorEastAsia" w:hAnsiTheme="minorEastAsia"/>
          <w:color w:val="auto"/>
          <w:sz w:val="24"/>
          <w:szCs w:val="24"/>
          <w:highlight w:val="none"/>
        </w:rPr>
        <w:t>质量问题引起食物中毒事件，配送方愿承担一切法律责任和经济责任。</w:t>
      </w:r>
    </w:p>
    <w:p>
      <w:pPr>
        <w:pStyle w:val="23"/>
        <w:numPr>
          <w:ilvl w:val="0"/>
          <w:numId w:val="3"/>
        </w:numPr>
        <w:spacing w:line="360" w:lineRule="auto"/>
        <w:ind w:firstLineChars="0"/>
        <w:rPr>
          <w:rFonts w:asciiTheme="minorEastAsia" w:hAnsiTheme="minorEastAsia"/>
          <w:color w:val="auto"/>
          <w:sz w:val="24"/>
          <w:szCs w:val="24"/>
          <w:highlight w:val="none"/>
        </w:rPr>
      </w:pPr>
      <w:r>
        <w:rPr>
          <w:rFonts w:asciiTheme="minorEastAsia" w:hAnsiTheme="minorEastAsia"/>
          <w:color w:val="auto"/>
          <w:sz w:val="24"/>
          <w:szCs w:val="24"/>
          <w:highlight w:val="none"/>
        </w:rPr>
        <w:t>如发现质量问题，医院可以无条件退货；若不能履约，医院有权中止合同</w:t>
      </w:r>
      <w:r>
        <w:rPr>
          <w:rFonts w:hint="eastAsia" w:asciiTheme="minorEastAsia" w:hAnsiTheme="minorEastAsia"/>
          <w:color w:val="auto"/>
          <w:sz w:val="24"/>
          <w:szCs w:val="24"/>
          <w:highlight w:val="none"/>
        </w:rPr>
        <w:t>。</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三</w:t>
      </w:r>
      <w:r>
        <w:rPr>
          <w:rFonts w:ascii="宋体" w:hAnsi="宋体"/>
          <w:b/>
          <w:color w:val="auto"/>
          <w:sz w:val="24"/>
          <w:szCs w:val="24"/>
          <w:highlight w:val="none"/>
        </w:rPr>
        <w:t>、</w:t>
      </w:r>
      <w:r>
        <w:rPr>
          <w:rFonts w:hint="eastAsia" w:ascii="宋体" w:hAnsi="宋体"/>
          <w:b/>
          <w:color w:val="auto"/>
          <w:sz w:val="24"/>
          <w:szCs w:val="24"/>
          <w:highlight w:val="none"/>
        </w:rPr>
        <w:t>合同期限</w:t>
      </w:r>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合同期限</w:t>
      </w:r>
      <w:r>
        <w:rPr>
          <w:rFonts w:hint="eastAsia" w:ascii="宋体" w:hAnsi="宋体"/>
          <w:color w:val="auto"/>
          <w:sz w:val="24"/>
          <w:szCs w:val="24"/>
          <w:highlight w:val="none"/>
        </w:rPr>
        <w:t>_</w:t>
      </w:r>
      <w:r>
        <w:rPr>
          <w:rFonts w:ascii="宋体" w:hAnsi="宋体"/>
          <w:color w:val="auto"/>
          <w:sz w:val="24"/>
          <w:szCs w:val="24"/>
          <w:highlight w:val="none"/>
        </w:rPr>
        <w:t>_壹___年</w:t>
      </w:r>
      <w:r>
        <w:rPr>
          <w:rFonts w:hint="eastAsia" w:ascii="宋体" w:hAnsi="宋体"/>
          <w:color w:val="auto"/>
          <w:sz w:val="24"/>
          <w:szCs w:val="24"/>
          <w:highlight w:val="none"/>
        </w:rPr>
        <w:t>。</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四、</w:t>
      </w:r>
      <w:r>
        <w:rPr>
          <w:rFonts w:ascii="宋体" w:hAnsi="宋体"/>
          <w:b/>
          <w:color w:val="auto"/>
          <w:sz w:val="24"/>
          <w:szCs w:val="24"/>
          <w:highlight w:val="none"/>
        </w:rPr>
        <w:t>验收标准</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根据中华人民共和国现行技术标准，按招标文件以及合同规定的验收评定标准等规范，由采购人根据《政府采购合同履约和验收管理办法（暂行）》（义招管办【2008】32号）文件要求和《义乌市关于规范政府采购管理的若干意见》（义政办发【2017】102号）要求，组织验收。</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五</w:t>
      </w:r>
      <w:r>
        <w:rPr>
          <w:rFonts w:ascii="宋体" w:hAnsi="宋体"/>
          <w:b/>
          <w:color w:val="auto"/>
          <w:sz w:val="24"/>
          <w:szCs w:val="24"/>
          <w:highlight w:val="none"/>
        </w:rPr>
        <w:t>、</w:t>
      </w:r>
      <w:r>
        <w:rPr>
          <w:rFonts w:hint="eastAsia" w:ascii="宋体" w:hAnsi="宋体"/>
          <w:b/>
          <w:color w:val="auto"/>
          <w:sz w:val="24"/>
          <w:szCs w:val="24"/>
          <w:highlight w:val="none"/>
        </w:rPr>
        <w:t>支付</w:t>
      </w:r>
      <w:r>
        <w:rPr>
          <w:rFonts w:ascii="宋体" w:hAnsi="宋体"/>
          <w:b/>
          <w:color w:val="auto"/>
          <w:sz w:val="24"/>
          <w:szCs w:val="24"/>
          <w:highlight w:val="none"/>
        </w:rPr>
        <w:t>方式</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1．付款方式：货款按月按实结算，即按每月实际使用量乘以中标单价按实结算。货款凭乙方开具的正规发票支付。</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2．当采购数量与实际使用数量不一致时，乙方应根据实际使用量供货，合同的最终结算金额按实际使用量乘以成交单价进行计算。</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六</w:t>
      </w:r>
      <w:r>
        <w:rPr>
          <w:rFonts w:ascii="宋体" w:hAnsi="宋体"/>
          <w:b/>
          <w:color w:val="auto"/>
          <w:sz w:val="24"/>
          <w:szCs w:val="24"/>
          <w:highlight w:val="none"/>
        </w:rPr>
        <w:t>、</w:t>
      </w:r>
      <w:r>
        <w:rPr>
          <w:rFonts w:hint="eastAsia" w:ascii="宋体" w:hAnsi="宋体"/>
          <w:b/>
          <w:color w:val="auto"/>
          <w:sz w:val="24"/>
          <w:szCs w:val="24"/>
          <w:highlight w:val="none"/>
        </w:rPr>
        <w:t>其他</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1．本合同范围的货物，应由供方直接供应，不得转让他人供应；</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2．供方不得将本合同范围的货物全部或部分分包给他人供应；</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3．如有转让和分包行为，需方将解除合同，并追究供方的违约责任。</w:t>
      </w: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ind w:firstLine="480" w:firstLineChars="200"/>
        <w:rPr>
          <w:rFonts w:ascii="宋体" w:hAnsi="宋体" w:cs="Courier New"/>
          <w:color w:val="auto"/>
          <w:sz w:val="24"/>
          <w:szCs w:val="24"/>
          <w:highlight w:val="none"/>
        </w:rPr>
      </w:pPr>
    </w:p>
    <w:p>
      <w:pPr>
        <w:spacing w:line="360" w:lineRule="auto"/>
        <w:rPr>
          <w:rFonts w:asciiTheme="minorEastAsia" w:hAnsiTheme="minorEastAsia"/>
          <w:b/>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pStyle w:val="4"/>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营业执照副本（复印件加盖公章）；组织机构代码证副本（复印件加盖公章）、税务登记证副本（复印件加盖公章）</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法人资格证明或法人代表授权书；</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法定代表人或授权代表的身份证（复印件）；</w:t>
      </w:r>
    </w:p>
    <w:p>
      <w:pPr>
        <w:widowControl/>
        <w:spacing w:line="420" w:lineRule="atLeas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售后服务的及时性等保证措施。</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11.</w:t>
      </w:r>
      <w:r>
        <w:rPr>
          <w:rFonts w:hint="eastAsia" w:ascii="宋体" w:hAnsi="宋体" w:cs="宋体"/>
          <w:color w:val="auto"/>
          <w:kern w:val="0"/>
          <w:sz w:val="24"/>
          <w:szCs w:val="24"/>
          <w:highlight w:val="none"/>
        </w:rPr>
        <w:t>报价一览表（附件四）</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投标报价明细表（附件五）</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4"/>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投标文件正本必须用不退色的墨水填写或打印，幅面规格A4并装订成册，副本可用复印件。</w:t>
      </w:r>
      <w:r>
        <w:rPr>
          <w:rFonts w:hint="eastAsia" w:ascii="宋体" w:hAnsi="宋体" w:cs="宋体"/>
          <w:color w:val="auto"/>
          <w:kern w:val="0"/>
          <w:sz w:val="24"/>
          <w:szCs w:val="24"/>
          <w:highlight w:val="none"/>
        </w:rPr>
        <w:t>投标文件须一式</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w:t>
      </w:r>
      <w:r>
        <w:rPr>
          <w:rFonts w:hint="eastAsia" w:ascii="宋体" w:hAnsi="宋体" w:cs="宋体"/>
          <w:color w:val="auto"/>
          <w:kern w:val="0"/>
          <w:sz w:val="24"/>
          <w:szCs w:val="24"/>
          <w:highlight w:val="none"/>
        </w:rPr>
        <w:t>，分别加盖“正本”“副本”印章。正本与副本如有差别，以正本为准，责任由投标人自负。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b/>
          <w:bCs/>
          <w:color w:val="auto"/>
          <w:kern w:val="0"/>
          <w:sz w:val="24"/>
          <w:szCs w:val="24"/>
          <w:highlight w:val="none"/>
        </w:rPr>
        <w:t>全部投标文件应装入同一密封袋内，密封包装，封口处应有投标人法定代表人或其授权代表签字并加盖投标单位公章；封面注明招标项目名称和编号，投标人的名称、地址、邮编、传真、联系电话、联系人。</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w:t>
      </w:r>
      <w:r>
        <w:rPr>
          <w:rFonts w:hint="eastAsia" w:ascii="宋体" w:hAnsi="宋体"/>
          <w:color w:val="auto"/>
          <w:sz w:val="24"/>
          <w:szCs w:val="24"/>
          <w:highlight w:val="none"/>
        </w:rPr>
        <w:t>采用</w:t>
      </w:r>
      <w:r>
        <w:rPr>
          <w:rFonts w:hint="eastAsia" w:ascii="宋体" w:hAnsi="宋体"/>
          <w:color w:val="auto"/>
          <w:sz w:val="24"/>
          <w:szCs w:val="24"/>
          <w:highlight w:val="none"/>
        </w:rPr>
        <w:t>最低价</w:t>
      </w:r>
      <w:r>
        <w:rPr>
          <w:rFonts w:ascii="宋体" w:hAnsi="宋体"/>
          <w:color w:val="auto"/>
          <w:sz w:val="24"/>
          <w:szCs w:val="24"/>
          <w:highlight w:val="none"/>
        </w:rPr>
        <w:t>评标法</w:t>
      </w:r>
      <w:r>
        <w:rPr>
          <w:rFonts w:ascii="宋体" w:hAnsi="宋体"/>
          <w:color w:val="auto"/>
          <w:sz w:val="24"/>
          <w:szCs w:val="24"/>
          <w:highlight w:val="none"/>
        </w:rPr>
        <w:t>对招标项目作出评标结论</w:t>
      </w:r>
      <w:r>
        <w:rPr>
          <w:rFonts w:hint="eastAsia" w:ascii="宋体" w:hAnsi="宋体"/>
          <w:color w:val="auto"/>
          <w:sz w:val="24"/>
          <w:szCs w:val="24"/>
          <w:highlight w:val="none"/>
        </w:rPr>
        <w:t>。</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w:t>
      </w:r>
      <w:r>
        <w:rPr>
          <w:rFonts w:asciiTheme="minorEastAsia" w:hAnsiTheme="minorEastAsia"/>
          <w:color w:val="auto"/>
          <w:sz w:val="24"/>
          <w:szCs w:val="24"/>
          <w:highlight w:val="none"/>
        </w:rPr>
        <w:t>、本次招标</w:t>
      </w:r>
      <w:r>
        <w:rPr>
          <w:rFonts w:hint="eastAsia" w:asciiTheme="minorEastAsia" w:hAnsiTheme="minorEastAsia"/>
          <w:color w:val="auto"/>
          <w:sz w:val="24"/>
          <w:szCs w:val="24"/>
          <w:highlight w:val="none"/>
        </w:rPr>
        <w:t>定标</w:t>
      </w:r>
      <w:r>
        <w:rPr>
          <w:rFonts w:asciiTheme="minorEastAsia" w:hAnsiTheme="minorEastAsia"/>
          <w:color w:val="auto"/>
          <w:sz w:val="24"/>
          <w:szCs w:val="24"/>
          <w:highlight w:val="none"/>
        </w:rPr>
        <w:t>方式</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w:t>
      </w:r>
      <w:r>
        <w:rPr>
          <w:rFonts w:asciiTheme="minorEastAsia" w:hAnsiTheme="minorEastAsia"/>
          <w:color w:val="auto"/>
          <w:sz w:val="24"/>
          <w:szCs w:val="24"/>
          <w:highlight w:val="none"/>
        </w:rPr>
        <w:t>次招标</w:t>
      </w:r>
      <w:r>
        <w:rPr>
          <w:rFonts w:hint="eastAsia" w:asciiTheme="minorEastAsia" w:hAnsiTheme="minorEastAsia"/>
          <w:b/>
          <w:color w:val="auto"/>
          <w:sz w:val="24"/>
          <w:szCs w:val="24"/>
          <w:highlight w:val="none"/>
        </w:rPr>
        <w:t>采用</w:t>
      </w:r>
      <w:r>
        <w:rPr>
          <w:rFonts w:hint="eastAsia" w:ascii="宋体" w:hAnsi="宋体"/>
          <w:b/>
          <w:color w:val="auto"/>
          <w:sz w:val="24"/>
          <w:szCs w:val="24"/>
          <w:highlight w:val="none"/>
        </w:rPr>
        <w:t>最低价</w:t>
      </w:r>
      <w:r>
        <w:rPr>
          <w:rFonts w:ascii="宋体" w:hAnsi="宋体"/>
          <w:b/>
          <w:color w:val="auto"/>
          <w:sz w:val="24"/>
          <w:szCs w:val="24"/>
          <w:highlight w:val="none"/>
        </w:rPr>
        <w:t>评标法</w:t>
      </w:r>
      <w:r>
        <w:rPr>
          <w:rFonts w:hint="eastAsia" w:ascii="宋体" w:hAnsi="宋体"/>
          <w:b/>
          <w:color w:val="auto"/>
          <w:sz w:val="24"/>
          <w:szCs w:val="24"/>
          <w:highlight w:val="none"/>
        </w:rPr>
        <w:t>（</w:t>
      </w:r>
      <w:r>
        <w:rPr>
          <w:rFonts w:hint="eastAsia" w:asciiTheme="minorEastAsia" w:hAnsiTheme="minorEastAsia"/>
          <w:b/>
          <w:color w:val="auto"/>
          <w:sz w:val="24"/>
          <w:szCs w:val="24"/>
          <w:highlight w:val="none"/>
        </w:rPr>
        <w:t>最高</w:t>
      </w:r>
      <w:r>
        <w:rPr>
          <w:rFonts w:asciiTheme="minorEastAsia" w:hAnsiTheme="minorEastAsia"/>
          <w:b/>
          <w:color w:val="auto"/>
          <w:sz w:val="24"/>
          <w:szCs w:val="24"/>
          <w:highlight w:val="none"/>
        </w:rPr>
        <w:t>让利率</w:t>
      </w:r>
      <w:r>
        <w:rPr>
          <w:rFonts w:hint="eastAsia" w:ascii="宋体" w:hAnsi="宋体"/>
          <w:b/>
          <w:color w:val="auto"/>
          <w:sz w:val="24"/>
          <w:szCs w:val="24"/>
          <w:highlight w:val="none"/>
        </w:rPr>
        <w:t>）</w:t>
      </w:r>
      <w:r>
        <w:rPr>
          <w:rFonts w:hint="eastAsia" w:asciiTheme="minorEastAsia" w:hAnsiTheme="minorEastAsia"/>
          <w:b/>
          <w:color w:val="auto"/>
          <w:sz w:val="24"/>
          <w:szCs w:val="24"/>
          <w:highlight w:val="none"/>
        </w:rPr>
        <w:t>的</w:t>
      </w:r>
      <w:r>
        <w:rPr>
          <w:rFonts w:asciiTheme="minorEastAsia" w:hAnsiTheme="minorEastAsia"/>
          <w:b/>
          <w:color w:val="auto"/>
          <w:sz w:val="24"/>
          <w:szCs w:val="24"/>
          <w:highlight w:val="none"/>
        </w:rPr>
        <w:t>方式</w:t>
      </w:r>
      <w:r>
        <w:rPr>
          <w:rFonts w:hint="eastAsia" w:asciiTheme="minorEastAsia" w:hAnsiTheme="minorEastAsia"/>
          <w:b/>
          <w:color w:val="auto"/>
          <w:sz w:val="24"/>
          <w:szCs w:val="24"/>
          <w:highlight w:val="none"/>
        </w:rPr>
        <w:t>评选</w:t>
      </w:r>
      <w:r>
        <w:rPr>
          <w:rFonts w:hint="eastAsia" w:asciiTheme="minorEastAsia" w:hAnsiTheme="minorEastAsia"/>
          <w:b/>
          <w:color w:val="auto"/>
          <w:sz w:val="24"/>
          <w:szCs w:val="24"/>
          <w:highlight w:val="none"/>
        </w:rPr>
        <w:t>，</w:t>
      </w:r>
      <w:r>
        <w:rPr>
          <w:rFonts w:asciiTheme="minorEastAsia" w:hAnsiTheme="minorEastAsia"/>
          <w:color w:val="auto"/>
          <w:sz w:val="24"/>
          <w:szCs w:val="24"/>
          <w:highlight w:val="none"/>
        </w:rPr>
        <w:t>投标人</w:t>
      </w:r>
      <w:r>
        <w:rPr>
          <w:rFonts w:hint="eastAsia" w:asciiTheme="minorEastAsia" w:hAnsiTheme="minorEastAsia"/>
          <w:color w:val="auto"/>
          <w:sz w:val="24"/>
          <w:szCs w:val="24"/>
          <w:highlight w:val="none"/>
        </w:rPr>
        <w:t>按照每个单项填写</w:t>
      </w:r>
      <w:r>
        <w:rPr>
          <w:rFonts w:asciiTheme="minorEastAsia" w:hAnsiTheme="minorEastAsia"/>
          <w:color w:val="auto"/>
          <w:sz w:val="24"/>
          <w:szCs w:val="24"/>
          <w:highlight w:val="none"/>
        </w:rPr>
        <w:t>让利率（让利幅度指货品评定基准价基础上的往下让利幅度）。</w:t>
      </w:r>
    </w:p>
    <w:p>
      <w:pPr>
        <w:pStyle w:val="23"/>
        <w:numPr>
          <w:ilvl w:val="0"/>
          <w:numId w:val="4"/>
        </w:numPr>
        <w:spacing w:line="360" w:lineRule="auto"/>
        <w:ind w:firstLineChars="0"/>
        <w:rPr>
          <w:rFonts w:asciiTheme="minorEastAsia" w:hAnsiTheme="minorEastAsia"/>
          <w:color w:val="auto"/>
          <w:sz w:val="24"/>
          <w:szCs w:val="24"/>
          <w:highlight w:val="none"/>
        </w:rPr>
      </w:pPr>
      <w:r>
        <w:rPr>
          <w:rFonts w:asciiTheme="minorEastAsia" w:hAnsiTheme="minorEastAsia"/>
          <w:color w:val="auto"/>
          <w:sz w:val="24"/>
          <w:szCs w:val="24"/>
          <w:highlight w:val="none"/>
        </w:rPr>
        <w:t>结算基准价</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以义乌市教育局（天下粮仓）的</w:t>
      </w:r>
      <w:r>
        <w:rPr>
          <w:rFonts w:hint="eastAsia" w:asciiTheme="minorEastAsia" w:hAnsiTheme="minorEastAsia"/>
          <w:color w:val="auto"/>
          <w:sz w:val="24"/>
          <w:szCs w:val="24"/>
          <w:highlight w:val="none"/>
        </w:rPr>
        <w:t>平台</w:t>
      </w:r>
      <w:r>
        <w:rPr>
          <w:rFonts w:asciiTheme="minorEastAsia" w:hAnsiTheme="minorEastAsia"/>
          <w:color w:val="auto"/>
          <w:sz w:val="24"/>
          <w:szCs w:val="24"/>
          <w:highlight w:val="none"/>
        </w:rPr>
        <w:t>指数所示价格作为基准价（保留两位小数点），每周更新一次，结算价</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基准价*（1-让利率）；</w:t>
      </w:r>
      <w:r>
        <w:rPr>
          <w:rFonts w:hint="eastAsia" w:asciiTheme="minorEastAsia" w:hAnsiTheme="minorEastAsia"/>
          <w:color w:val="auto"/>
          <w:sz w:val="24"/>
          <w:szCs w:val="24"/>
          <w:highlight w:val="none"/>
        </w:rPr>
        <w:t>以</w:t>
      </w:r>
      <w:r>
        <w:rPr>
          <w:rFonts w:asciiTheme="minorEastAsia" w:hAnsiTheme="minorEastAsia"/>
          <w:color w:val="auto"/>
          <w:sz w:val="24"/>
          <w:szCs w:val="24"/>
          <w:highlight w:val="none"/>
        </w:rPr>
        <w:t>202</w:t>
      </w:r>
      <w:r>
        <w:rPr>
          <w:rFonts w:hint="eastAsia" w:asciiTheme="minorEastAsia" w:hAnsiTheme="minorEastAsia"/>
          <w:color w:val="auto"/>
          <w:sz w:val="24"/>
          <w:szCs w:val="24"/>
          <w:highlight w:val="none"/>
        </w:rPr>
        <w:t>1年</w:t>
      </w:r>
      <w:r>
        <w:rPr>
          <w:rFonts w:asciiTheme="minorEastAsia" w:hAnsiTheme="minorEastAsia"/>
          <w:color w:val="auto"/>
          <w:sz w:val="24"/>
          <w:szCs w:val="24"/>
          <w:highlight w:val="none"/>
        </w:rPr>
        <w:t>11</w:t>
      </w:r>
      <w:r>
        <w:rPr>
          <w:rFonts w:hint="eastAsia" w:asciiTheme="minorEastAsia" w:hAnsiTheme="minorEastAsia"/>
          <w:color w:val="auto"/>
          <w:sz w:val="24"/>
          <w:szCs w:val="24"/>
          <w:highlight w:val="none"/>
        </w:rPr>
        <w:t>月</w:t>
      </w:r>
      <w:r>
        <w:rPr>
          <w:rFonts w:asciiTheme="minorEastAsia" w:hAnsiTheme="minorEastAsia"/>
          <w:color w:val="auto"/>
          <w:sz w:val="24"/>
          <w:szCs w:val="24"/>
          <w:highlight w:val="none"/>
        </w:rPr>
        <w:t>8</w:t>
      </w:r>
      <w:r>
        <w:rPr>
          <w:rFonts w:hint="eastAsia" w:asciiTheme="minorEastAsia" w:hAnsiTheme="minorEastAsia"/>
          <w:color w:val="auto"/>
          <w:sz w:val="24"/>
          <w:szCs w:val="24"/>
          <w:highlight w:val="none"/>
        </w:rPr>
        <w:t>日-</w:t>
      </w:r>
      <w:r>
        <w:rPr>
          <w:rFonts w:asciiTheme="minorEastAsia" w:hAnsiTheme="minorEastAsia"/>
          <w:color w:val="auto"/>
          <w:sz w:val="24"/>
          <w:szCs w:val="24"/>
          <w:highlight w:val="none"/>
        </w:rPr>
        <w:t>14</w:t>
      </w:r>
      <w:r>
        <w:rPr>
          <w:rFonts w:hint="eastAsia" w:asciiTheme="minorEastAsia" w:hAnsiTheme="minorEastAsia"/>
          <w:color w:val="auto"/>
          <w:sz w:val="24"/>
          <w:szCs w:val="24"/>
          <w:highlight w:val="none"/>
        </w:rPr>
        <w:t>日</w:t>
      </w:r>
      <w:r>
        <w:rPr>
          <w:rFonts w:asciiTheme="minorEastAsia" w:hAnsiTheme="minorEastAsia"/>
          <w:color w:val="auto"/>
          <w:sz w:val="24"/>
          <w:szCs w:val="24"/>
          <w:highlight w:val="none"/>
        </w:rPr>
        <w:t>义乌市教育局（天下粮仓）的</w:t>
      </w:r>
      <w:r>
        <w:rPr>
          <w:rFonts w:hint="eastAsia" w:asciiTheme="minorEastAsia" w:hAnsiTheme="minorEastAsia"/>
          <w:color w:val="auto"/>
          <w:sz w:val="24"/>
          <w:szCs w:val="24"/>
          <w:highlight w:val="none"/>
        </w:rPr>
        <w:t>平台</w:t>
      </w:r>
      <w:r>
        <w:rPr>
          <w:rFonts w:asciiTheme="minorEastAsia" w:hAnsiTheme="minorEastAsia"/>
          <w:color w:val="auto"/>
          <w:sz w:val="24"/>
          <w:szCs w:val="24"/>
          <w:highlight w:val="none"/>
        </w:rPr>
        <w:t>指数所示价格作为基准价，供投标单位参考</w:t>
      </w:r>
      <w:r>
        <w:rPr>
          <w:rFonts w:hint="eastAsia" w:asciiTheme="minorEastAsia" w:hAnsiTheme="minorEastAsia"/>
          <w:color w:val="auto"/>
          <w:sz w:val="24"/>
          <w:szCs w:val="24"/>
          <w:highlight w:val="none"/>
        </w:rPr>
        <w:t>。</w:t>
      </w:r>
    </w:p>
    <w:p>
      <w:pPr>
        <w:pStyle w:val="23"/>
        <w:numPr>
          <w:ilvl w:val="0"/>
          <w:numId w:val="4"/>
        </w:numPr>
        <w:spacing w:line="360" w:lineRule="auto"/>
        <w:ind w:firstLineChars="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让利幅度范围：</w:t>
      </w:r>
      <w:r>
        <w:rPr>
          <w:rFonts w:asciiTheme="minorEastAsia" w:hAnsiTheme="minorEastAsia"/>
          <w:b/>
          <w:color w:val="auto"/>
          <w:sz w:val="24"/>
          <w:szCs w:val="24"/>
          <w:highlight w:val="none"/>
        </w:rPr>
        <w:t>10</w:t>
      </w:r>
      <w:r>
        <w:rPr>
          <w:rFonts w:asciiTheme="minorEastAsia" w:hAnsiTheme="minorEastAsia"/>
          <w:color w:val="auto"/>
          <w:sz w:val="24"/>
          <w:szCs w:val="24"/>
          <w:highlight w:val="none"/>
        </w:rPr>
        <w:t>～</w:t>
      </w:r>
      <w:r>
        <w:rPr>
          <w:rFonts w:asciiTheme="minorEastAsia" w:hAnsiTheme="minorEastAsia"/>
          <w:b/>
          <w:color w:val="auto"/>
          <w:sz w:val="24"/>
          <w:szCs w:val="24"/>
          <w:highlight w:val="none"/>
        </w:rPr>
        <w:t>20个百分点</w:t>
      </w:r>
      <w:r>
        <w:rPr>
          <w:rFonts w:asciiTheme="minorEastAsia" w:hAnsiTheme="minorEastAsia"/>
          <w:b/>
          <w:color w:val="auto"/>
          <w:sz w:val="24"/>
          <w:szCs w:val="24"/>
          <w:highlight w:val="none"/>
        </w:rPr>
        <w:t>（供应商让利幅度在此范围中自行确定，保留小数点后两位）。</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评标方式</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1．采用</w:t>
      </w:r>
      <w:r>
        <w:rPr>
          <w:rFonts w:asciiTheme="minorEastAsia" w:hAnsiTheme="minorEastAsia"/>
          <w:color w:val="auto"/>
          <w:sz w:val="24"/>
          <w:szCs w:val="24"/>
          <w:highlight w:val="none"/>
        </w:rPr>
        <w:t>资质后审通过制；</w:t>
      </w:r>
    </w:p>
    <w:p>
      <w:pPr>
        <w:widowControl/>
        <w:spacing w:line="360" w:lineRule="auto"/>
        <w:ind w:firstLine="482" w:firstLineChars="200"/>
        <w:jc w:val="left"/>
        <w:rPr>
          <w:rFonts w:asciiTheme="minorEastAsia" w:hAnsiTheme="minorEastAsia"/>
          <w:b/>
          <w:bCs/>
          <w:color w:val="auto"/>
          <w:sz w:val="24"/>
          <w:szCs w:val="24"/>
          <w:highlight w:val="none"/>
        </w:rPr>
      </w:pPr>
      <w:r>
        <w:rPr>
          <w:rFonts w:asciiTheme="minorEastAsia" w:hAnsiTheme="minorEastAsia"/>
          <w:b/>
          <w:bCs/>
          <w:color w:val="auto"/>
          <w:sz w:val="24"/>
          <w:szCs w:val="24"/>
          <w:highlight w:val="none"/>
        </w:rPr>
        <w:t>2</w:t>
      </w:r>
      <w:r>
        <w:rPr>
          <w:rFonts w:hint="eastAsia" w:asciiTheme="minorEastAsia" w:hAnsiTheme="minorEastAsia"/>
          <w:b/>
          <w:bCs/>
          <w:color w:val="auto"/>
          <w:sz w:val="24"/>
          <w:szCs w:val="24"/>
          <w:highlight w:val="none"/>
        </w:rPr>
        <w:t>．</w:t>
      </w:r>
      <w:r>
        <w:rPr>
          <w:rFonts w:asciiTheme="minorEastAsia" w:hAnsiTheme="minorEastAsia"/>
          <w:b/>
          <w:bCs/>
          <w:color w:val="auto"/>
          <w:sz w:val="24"/>
          <w:szCs w:val="24"/>
          <w:highlight w:val="none"/>
        </w:rPr>
        <w:t>在有效资质</w:t>
      </w:r>
      <w:r>
        <w:rPr>
          <w:rFonts w:hint="eastAsia" w:asciiTheme="minorEastAsia" w:hAnsiTheme="minorEastAsia"/>
          <w:b/>
          <w:bCs/>
          <w:color w:val="auto"/>
          <w:sz w:val="24"/>
          <w:szCs w:val="24"/>
          <w:highlight w:val="none"/>
        </w:rPr>
        <w:t>投标单位</w:t>
      </w:r>
      <w:r>
        <w:rPr>
          <w:rFonts w:asciiTheme="minorEastAsia" w:hAnsiTheme="minorEastAsia"/>
          <w:b/>
          <w:bCs/>
          <w:color w:val="auto"/>
          <w:sz w:val="24"/>
          <w:szCs w:val="24"/>
          <w:highlight w:val="none"/>
        </w:rPr>
        <w:t>中，优先选择让利率最高</w:t>
      </w:r>
      <w:r>
        <w:rPr>
          <w:rFonts w:hint="eastAsia" w:asciiTheme="minorEastAsia" w:hAnsiTheme="minorEastAsia"/>
          <w:b/>
          <w:bCs/>
          <w:color w:val="auto"/>
          <w:sz w:val="24"/>
          <w:szCs w:val="24"/>
          <w:highlight w:val="none"/>
        </w:rPr>
        <w:t>、总报价</w:t>
      </w:r>
      <w:r>
        <w:rPr>
          <w:rFonts w:asciiTheme="minorEastAsia" w:hAnsiTheme="minorEastAsia"/>
          <w:b/>
          <w:bCs/>
          <w:color w:val="auto"/>
          <w:sz w:val="24"/>
          <w:szCs w:val="24"/>
          <w:highlight w:val="none"/>
        </w:rPr>
        <w:t>最低的单位为</w:t>
      </w:r>
      <w:r>
        <w:rPr>
          <w:rFonts w:hint="eastAsia" w:asciiTheme="minorEastAsia" w:hAnsiTheme="minorEastAsia"/>
          <w:b/>
          <w:bCs/>
          <w:color w:val="auto"/>
          <w:sz w:val="24"/>
          <w:szCs w:val="24"/>
          <w:highlight w:val="none"/>
        </w:rPr>
        <w:t>第一</w:t>
      </w:r>
      <w:r>
        <w:rPr>
          <w:rFonts w:asciiTheme="minorEastAsia" w:hAnsiTheme="minorEastAsia"/>
          <w:b/>
          <w:bCs/>
          <w:color w:val="auto"/>
          <w:sz w:val="24"/>
          <w:szCs w:val="24"/>
          <w:highlight w:val="none"/>
        </w:rPr>
        <w:t>中标候选人</w:t>
      </w:r>
      <w:r>
        <w:rPr>
          <w:rFonts w:hint="eastAsia" w:asciiTheme="minorEastAsia" w:hAnsiTheme="minorEastAsia"/>
          <w:b/>
          <w:bCs/>
          <w:color w:val="auto"/>
          <w:sz w:val="24"/>
          <w:szCs w:val="24"/>
          <w:highlight w:val="none"/>
        </w:rPr>
        <w:t>，</w:t>
      </w:r>
      <w:r>
        <w:rPr>
          <w:rFonts w:asciiTheme="minorEastAsia" w:hAnsiTheme="minorEastAsia"/>
          <w:b/>
          <w:bCs/>
          <w:color w:val="auto"/>
          <w:sz w:val="24"/>
          <w:szCs w:val="24"/>
          <w:highlight w:val="none"/>
        </w:rPr>
        <w:t>让利率控制范围在</w:t>
      </w:r>
      <w:r>
        <w:rPr>
          <w:rFonts w:asciiTheme="minorEastAsia" w:hAnsiTheme="minorEastAsia"/>
          <w:b/>
          <w:bCs/>
          <w:color w:val="auto"/>
          <w:sz w:val="24"/>
          <w:szCs w:val="24"/>
          <w:highlight w:val="none"/>
        </w:rPr>
        <w:t>10%～20%之间</w:t>
      </w:r>
      <w:r>
        <w:rPr>
          <w:rFonts w:asciiTheme="minorEastAsia" w:hAnsiTheme="minorEastAsia"/>
          <w:b/>
          <w:bCs/>
          <w:color w:val="auto"/>
          <w:sz w:val="24"/>
          <w:szCs w:val="24"/>
          <w:highlight w:val="none"/>
        </w:rPr>
        <w:t>（让利率保留</w:t>
      </w:r>
      <w:r>
        <w:rPr>
          <w:rFonts w:hint="eastAsia" w:asciiTheme="minorEastAsia" w:hAnsiTheme="minorEastAsia"/>
          <w:b/>
          <w:bCs/>
          <w:color w:val="auto"/>
          <w:sz w:val="24"/>
          <w:szCs w:val="24"/>
          <w:highlight w:val="none"/>
        </w:rPr>
        <w:t>两位</w:t>
      </w:r>
      <w:r>
        <w:rPr>
          <w:rFonts w:asciiTheme="minorEastAsia" w:hAnsiTheme="minorEastAsia"/>
          <w:b/>
          <w:bCs/>
          <w:color w:val="auto"/>
          <w:sz w:val="24"/>
          <w:szCs w:val="24"/>
          <w:highlight w:val="none"/>
        </w:rPr>
        <w:t>小数）</w:t>
      </w:r>
      <w:r>
        <w:rPr>
          <w:rFonts w:hint="eastAsia" w:asciiTheme="minorEastAsia" w:hAnsiTheme="minorEastAsia"/>
          <w:b/>
          <w:bCs/>
          <w:color w:val="auto"/>
          <w:sz w:val="24"/>
          <w:szCs w:val="24"/>
          <w:highlight w:val="none"/>
        </w:rPr>
        <w:t>。</w:t>
      </w:r>
    </w:p>
    <w:p>
      <w:pPr>
        <w:widowControl/>
        <w:spacing w:line="360" w:lineRule="auto"/>
        <w:ind w:firstLine="482" w:firstLineChars="200"/>
        <w:jc w:val="left"/>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3．</w:t>
      </w:r>
      <w:r>
        <w:rPr>
          <w:rFonts w:asciiTheme="minorEastAsia" w:hAnsiTheme="minorEastAsia"/>
          <w:b/>
          <w:color w:val="auto"/>
          <w:sz w:val="24"/>
          <w:szCs w:val="24"/>
          <w:highlight w:val="none"/>
        </w:rPr>
        <w:t>如若出现两家及以上单位的最终报价一致的情况，则通过</w:t>
      </w:r>
      <w:r>
        <w:rPr>
          <w:rFonts w:hint="eastAsia" w:asciiTheme="minorEastAsia" w:hAnsiTheme="minorEastAsia"/>
          <w:b/>
          <w:color w:val="auto"/>
          <w:sz w:val="24"/>
          <w:szCs w:val="24"/>
          <w:highlight w:val="none"/>
        </w:rPr>
        <w:t>水果</w:t>
      </w:r>
      <w:r>
        <w:rPr>
          <w:rFonts w:asciiTheme="minorEastAsia" w:hAnsiTheme="minorEastAsia"/>
          <w:b/>
          <w:color w:val="auto"/>
          <w:sz w:val="24"/>
          <w:szCs w:val="24"/>
          <w:highlight w:val="none"/>
        </w:rPr>
        <w:t>样品比对</w:t>
      </w:r>
      <w:r>
        <w:rPr>
          <w:rFonts w:hint="eastAsia" w:asciiTheme="minorEastAsia" w:hAnsiTheme="minorEastAsia"/>
          <w:b/>
          <w:color w:val="auto"/>
          <w:sz w:val="24"/>
          <w:szCs w:val="24"/>
          <w:highlight w:val="none"/>
        </w:rPr>
        <w:t>、</w:t>
      </w:r>
      <w:r>
        <w:rPr>
          <w:rFonts w:asciiTheme="minorEastAsia" w:hAnsiTheme="minorEastAsia"/>
          <w:b/>
          <w:color w:val="auto"/>
          <w:sz w:val="24"/>
          <w:szCs w:val="24"/>
          <w:highlight w:val="none"/>
        </w:rPr>
        <w:t>供货服务效率等各方面综合评价后选定最终中标单位。</w:t>
      </w:r>
    </w:p>
    <w:p>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三、评标报告 </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评标委员会应在评标报告中，由报价从低到高推荐前二名为中标候选人。报价相同时，由采购人或者采购人委托评标委员随机抽取的方式确定。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第二中标候选人签订采购合同。</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10795" t="8890" r="8255" b="1016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ln>
                      </wps:spPr>
                      <wps:txbx>
                        <w:txbxContent>
                          <w:p>
                            <w:pPr>
                              <w:spacing w:line="480" w:lineRule="atLeast"/>
                              <w:rPr>
                                <w:rFonts w:ascii="Verdana" w:hAnsi="Verdana"/>
                                <w:b/>
                                <w:sz w:val="28"/>
                                <w:szCs w:val="28"/>
                              </w:rPr>
                            </w:pPr>
                            <w:r>
                              <w:rPr>
                                <w:rFonts w:hint="eastAsia"/>
                                <w:b/>
                                <w:sz w:val="28"/>
                                <w:szCs w:val="28"/>
                              </w:rPr>
                              <w:t>正（副）本</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JF8BNUAAAAIAQAADwAAAAAAAAABACAAAAAiAAAAZHJzL2Rvd25yZXYueG1sUEsBAhQA&#10;FAAAAAgAh07iQC6J42wuAgAAhgQAAA4AAAAAAAAAAQAgAAAAJAEAAGRycy9lMm9Eb2MueG1sUEsF&#10;BgAAAAAGAAYAWQEAAMQFAAAAAA==&#10;">
                <v:fill on="t" focussize="0,0"/>
                <v:stroke color="#000000" miterlimit="8"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tabs>
          <w:tab w:val="left" w:pos="0"/>
        </w:tabs>
        <w:snapToGrid w:val="0"/>
        <w:spacing w:line="360" w:lineRule="auto"/>
        <w:ind w:left="-141" w:leftChars="-67"/>
        <w:jc w:val="left"/>
        <w:rPr>
          <w:rFonts w:ascii="宋体" w:hAnsi="宋体"/>
          <w:b/>
          <w:bCs/>
          <w:color w:val="auto"/>
          <w:kern w:val="0"/>
          <w:sz w:val="32"/>
          <w:szCs w:val="32"/>
          <w:highlight w:val="none"/>
        </w:rPr>
      </w:pPr>
    </w:p>
    <w:p>
      <w:pPr>
        <w:widowControl/>
        <w:spacing w:before="150" w:after="150" w:line="480" w:lineRule="atLeast"/>
        <w:ind w:left="-141" w:leftChars="-67" w:right="300" w:firstLine="480"/>
        <w:jc w:val="left"/>
        <w:rPr>
          <w:rFonts w:ascii="宋体" w:hAnsi="宋体"/>
          <w:color w:val="auto"/>
          <w:kern w:val="0"/>
          <w:highlight w:val="none"/>
        </w:rPr>
      </w:pPr>
      <w:r>
        <w:rPr>
          <w:rFonts w:ascii="宋体" w:hAnsi="宋体"/>
          <w:color w:val="auto"/>
          <w:kern w:val="0"/>
          <w:highlight w:val="none"/>
        </w:rPr>
        <w:t> </w:t>
      </w: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p>
    <w:bookmarkEnd w:id="1"/>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附件二：            </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 xml:space="preserve">     投标函（格式）</w:t>
      </w:r>
    </w:p>
    <w:p>
      <w:pPr>
        <w:pStyle w:val="4"/>
        <w:spacing w:line="400" w:lineRule="exact"/>
        <w:rPr>
          <w:rFonts w:hAnsi="宋体" w:cs="宋体"/>
          <w:color w:val="auto"/>
          <w:kern w:val="0"/>
          <w:sz w:val="24"/>
          <w:szCs w:val="24"/>
          <w:highlight w:val="none"/>
        </w:rPr>
      </w:pP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4"/>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              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1、标书，正本一份，副本      份；</w:t>
      </w:r>
    </w:p>
    <w:p>
      <w:pPr>
        <w:spacing w:line="40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、其他：</w:t>
      </w:r>
    </w:p>
    <w:p>
      <w:pPr>
        <w:spacing w:line="40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 __   _， 即 ___  ____（大写）。（企业成本价为         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附件三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（招标代理机构名称）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注册于                                 （注册地址）的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附件四、报价一览表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highlight w:val="none"/>
        </w:rPr>
      </w:pPr>
    </w:p>
    <w:p>
      <w:pPr>
        <w:pStyle w:val="4"/>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附件五 </w:t>
      </w:r>
      <w:r>
        <w:rPr>
          <w:rFonts w:hAnsi="宋体"/>
          <w:b/>
          <w:color w:val="auto"/>
          <w:sz w:val="24"/>
          <w:szCs w:val="24"/>
          <w:highlight w:val="none"/>
        </w:rPr>
        <w:t xml:space="preserve">投标报价明细表格式：       </w:t>
      </w:r>
    </w:p>
    <w:p>
      <w:pPr>
        <w:pStyle w:val="4"/>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4"/>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1"/>
        <w:tblW w:w="104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484"/>
        <w:gridCol w:w="1890"/>
        <w:gridCol w:w="605"/>
        <w:gridCol w:w="1090"/>
        <w:gridCol w:w="1085"/>
        <w:gridCol w:w="1085"/>
        <w:gridCol w:w="1110"/>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序号</w:t>
            </w: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名称</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品种、等级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单位</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年使用量</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天下粮仓价格</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rPr>
                <w:rFonts w:ascii="宋体" w:hAnsi="宋体"/>
                <w:color w:val="auto"/>
                <w:szCs w:val="21"/>
                <w:highlight w:val="none"/>
              </w:rPr>
            </w:pPr>
            <w:r>
              <w:rPr>
                <w:rFonts w:hint="eastAsia" w:ascii="宋体" w:hAnsi="宋体"/>
                <w:color w:val="auto"/>
                <w:szCs w:val="21"/>
                <w:highlight w:val="none"/>
              </w:rPr>
              <w:t>让利率</w:t>
            </w: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让利后单价</w:t>
            </w: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zCs w:val="21"/>
                <w:highlight w:val="none"/>
              </w:rPr>
            </w:pPr>
            <w:r>
              <w:rPr>
                <w:rFonts w:hint="eastAsia" w:ascii="宋体" w:hAnsi="宋体"/>
                <w:color w:val="auto"/>
                <w:szCs w:val="21"/>
                <w:highlight w:val="none"/>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脐橙</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进口</w:t>
            </w:r>
            <w:r>
              <w:rPr>
                <w:rFonts w:ascii="宋体" w:hAnsi="宋体"/>
                <w:color w:val="auto"/>
                <w:spacing w:val="20"/>
                <w:szCs w:val="21"/>
                <w:highlight w:val="none"/>
              </w:rPr>
              <w:t>橙</w:t>
            </w:r>
            <w:r>
              <w:rPr>
                <w:rFonts w:hint="eastAsia" w:ascii="宋体" w:hAnsi="宋体"/>
                <w:color w:val="auto"/>
                <w:spacing w:val="20"/>
                <w:szCs w:val="21"/>
                <w:highlight w:val="none"/>
              </w:rPr>
              <w:t>、</w:t>
            </w:r>
            <w:r>
              <w:rPr>
                <w:rFonts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5.57</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柠檬</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进口</w:t>
            </w:r>
            <w:r>
              <w:rPr>
                <w:rFonts w:ascii="宋体" w:hAnsi="宋体"/>
                <w:color w:val="auto"/>
                <w:spacing w:val="20"/>
                <w:szCs w:val="21"/>
                <w:highlight w:val="none"/>
              </w:rPr>
              <w:t>柠檬</w:t>
            </w:r>
            <w:r>
              <w:rPr>
                <w:rFonts w:hint="eastAsia" w:ascii="宋体" w:hAnsi="宋体"/>
                <w:color w:val="auto"/>
                <w:spacing w:val="20"/>
                <w:szCs w:val="21"/>
                <w:highlight w:val="none"/>
              </w:rPr>
              <w:t>、</w:t>
            </w:r>
            <w:r>
              <w:rPr>
                <w:rFonts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个</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3.9</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长</w:t>
            </w:r>
            <w:r>
              <w:rPr>
                <w:rFonts w:asciiTheme="minorEastAsia" w:hAnsiTheme="minorEastAsia"/>
                <w:bCs/>
                <w:color w:val="auto"/>
                <w:szCs w:val="21"/>
                <w:highlight w:val="none"/>
              </w:rPr>
              <w:t>香玉哈密瓜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4.9</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4</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黄</w:t>
            </w:r>
            <w:r>
              <w:rPr>
                <w:rFonts w:asciiTheme="minorEastAsia" w:hAnsiTheme="minorEastAsia"/>
                <w:bCs/>
                <w:color w:val="auto"/>
                <w:szCs w:val="21"/>
                <w:highlight w:val="none"/>
              </w:rPr>
              <w:t>冠梨</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1000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5.87</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5</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苹果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900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4.84</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6</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芒果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水仙</w:t>
            </w:r>
            <w:r>
              <w:rPr>
                <w:rFonts w:ascii="宋体" w:hAnsi="宋体"/>
                <w:color w:val="auto"/>
                <w:spacing w:val="20"/>
                <w:szCs w:val="21"/>
                <w:highlight w:val="none"/>
              </w:rPr>
              <w:t>芒、特级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300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9.54</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7</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红心红龙果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120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6.66</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8</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进口</w:t>
            </w:r>
            <w:r>
              <w:rPr>
                <w:rFonts w:asciiTheme="minorEastAsia" w:hAnsiTheme="minorEastAsia"/>
                <w:bCs/>
                <w:color w:val="auto"/>
                <w:szCs w:val="21"/>
                <w:highlight w:val="none"/>
              </w:rPr>
              <w:t>香蕉</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进口</w:t>
            </w:r>
            <w:r>
              <w:rPr>
                <w:rFonts w:ascii="宋体" w:hAnsi="宋体"/>
                <w:color w:val="auto"/>
                <w:spacing w:val="20"/>
                <w:szCs w:val="21"/>
                <w:highlight w:val="none"/>
              </w:rPr>
              <w:t>蕉、中级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4.35</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9</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胡萝卜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200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2.13</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10</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asciiTheme="minorEastAsia" w:hAnsiTheme="minorEastAsia"/>
                <w:bCs/>
                <w:color w:val="auto"/>
                <w:szCs w:val="21"/>
                <w:highlight w:val="none"/>
              </w:rPr>
              <w:t>鸡蛋</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500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5.97</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11</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麒麟</w:t>
            </w:r>
            <w:r>
              <w:rPr>
                <w:rFonts w:asciiTheme="minorEastAsia" w:hAnsiTheme="minorEastAsia"/>
                <w:bCs/>
                <w:color w:val="auto"/>
                <w:szCs w:val="21"/>
                <w:highlight w:val="none"/>
              </w:rPr>
              <w:t>瓜</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900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4.91</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12</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草莓</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特级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25.31</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13</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无</w:t>
            </w:r>
            <w:r>
              <w:rPr>
                <w:rFonts w:asciiTheme="minorEastAsia" w:hAnsiTheme="minorEastAsia"/>
                <w:bCs/>
                <w:color w:val="auto"/>
                <w:szCs w:val="21"/>
                <w:highlight w:val="none"/>
              </w:rPr>
              <w:t>核青提</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特级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23.</w:t>
            </w:r>
            <w:r>
              <w:rPr>
                <w:rFonts w:ascii="宋体" w:hAnsi="宋体"/>
                <w:color w:val="auto"/>
                <w:spacing w:val="20"/>
                <w:szCs w:val="21"/>
                <w:highlight w:val="none"/>
              </w:rPr>
              <w:t>24</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14</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新鲜</w:t>
            </w:r>
            <w:r>
              <w:rPr>
                <w:rFonts w:asciiTheme="minorEastAsia" w:hAnsiTheme="minorEastAsia"/>
                <w:bCs/>
                <w:color w:val="auto"/>
                <w:szCs w:val="21"/>
                <w:highlight w:val="none"/>
              </w:rPr>
              <w:t>荔枝</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特级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15</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车厘子</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特级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123.33</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16</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冬枣</w:t>
            </w:r>
          </w:p>
        </w:tc>
        <w:tc>
          <w:tcPr>
            <w:tcW w:w="18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中级</w:t>
            </w:r>
          </w:p>
        </w:tc>
        <w:tc>
          <w:tcPr>
            <w:tcW w:w="60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斤</w:t>
            </w:r>
          </w:p>
        </w:tc>
        <w:tc>
          <w:tcPr>
            <w:tcW w:w="109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50</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8.33</w:t>
            </w:r>
          </w:p>
        </w:tc>
        <w:tc>
          <w:tcPr>
            <w:tcW w:w="108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0434" w:type="dxa"/>
            <w:gridSpan w:val="9"/>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p>
    <w:p>
      <w:pPr>
        <w:snapToGrid w:val="0"/>
        <w:spacing w:before="50" w:after="50" w:line="420" w:lineRule="exact"/>
        <w:ind w:firstLine="482" w:firstLineChars="200"/>
        <w:jc w:val="left"/>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、“让利后单价”=天下粮仓价格*（1-让利率），“小计”=年使用量*让利后单价。</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3、以上</w:t>
      </w:r>
      <w:r>
        <w:rPr>
          <w:rFonts w:hint="eastAsia" w:ascii="宋体" w:hAnsi="宋体"/>
          <w:color w:val="auto"/>
          <w:sz w:val="24"/>
          <w:szCs w:val="24"/>
          <w:highlight w:val="none"/>
        </w:rPr>
        <w:t>单价必须是最终报价，与投标总价相对应，不允许在总价基础上再报优惠价。</w:t>
      </w:r>
    </w:p>
    <w:p>
      <w:pPr>
        <w:snapToGrid w:val="0"/>
        <w:spacing w:before="50" w:after="50" w:line="420" w:lineRule="exact"/>
        <w:ind w:firstLine="480" w:firstLineChars="200"/>
        <w:jc w:val="left"/>
        <w:rPr>
          <w:rFonts w:ascii="宋体" w:hAnsi="宋体"/>
          <w:color w:val="auto"/>
          <w:sz w:val="24"/>
          <w:szCs w:val="24"/>
          <w:highlight w:val="none"/>
        </w:rPr>
      </w:pPr>
    </w:p>
    <w:p>
      <w:pPr>
        <w:widowControl/>
        <w:jc w:val="left"/>
        <w:rPr>
          <w:rFonts w:ascii="宋体" w:hAnsi="宋体"/>
          <w:color w:val="auto"/>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239136"/>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B2AA8"/>
    <w:multiLevelType w:val="multilevel"/>
    <w:tmpl w:val="466B2AA8"/>
    <w:lvl w:ilvl="0" w:tentative="0">
      <w:start w:val="1"/>
      <w:numFmt w:val="decimal"/>
      <w:lvlText w:val="%1."/>
      <w:lvlJc w:val="left"/>
      <w:pPr>
        <w:ind w:left="572" w:hanging="360"/>
      </w:pPr>
      <w:rPr>
        <w:rFonts w:hint="default" w:ascii="仿宋" w:hAnsi="仿宋" w:eastAsia="仿宋"/>
        <w:b/>
        <w:color w:val="auto"/>
      </w:rPr>
    </w:lvl>
    <w:lvl w:ilvl="1" w:tentative="0">
      <w:start w:val="1"/>
      <w:numFmt w:val="lowerLetter"/>
      <w:lvlText w:val="%2)"/>
      <w:lvlJc w:val="left"/>
      <w:pPr>
        <w:ind w:left="1052" w:hanging="420"/>
      </w:pPr>
    </w:lvl>
    <w:lvl w:ilvl="2" w:tentative="0">
      <w:start w:val="1"/>
      <w:numFmt w:val="lowerRoman"/>
      <w:lvlText w:val="%3."/>
      <w:lvlJc w:val="right"/>
      <w:pPr>
        <w:ind w:left="1472" w:hanging="420"/>
      </w:pPr>
    </w:lvl>
    <w:lvl w:ilvl="3" w:tentative="0">
      <w:start w:val="1"/>
      <w:numFmt w:val="decimal"/>
      <w:lvlText w:val="%4."/>
      <w:lvlJc w:val="left"/>
      <w:pPr>
        <w:ind w:left="1892" w:hanging="420"/>
      </w:pPr>
    </w:lvl>
    <w:lvl w:ilvl="4" w:tentative="0">
      <w:start w:val="1"/>
      <w:numFmt w:val="lowerLetter"/>
      <w:lvlText w:val="%5)"/>
      <w:lvlJc w:val="left"/>
      <w:pPr>
        <w:ind w:left="2312" w:hanging="420"/>
      </w:pPr>
    </w:lvl>
    <w:lvl w:ilvl="5" w:tentative="0">
      <w:start w:val="1"/>
      <w:numFmt w:val="lowerRoman"/>
      <w:lvlText w:val="%6."/>
      <w:lvlJc w:val="right"/>
      <w:pPr>
        <w:ind w:left="2732" w:hanging="420"/>
      </w:pPr>
    </w:lvl>
    <w:lvl w:ilvl="6" w:tentative="0">
      <w:start w:val="1"/>
      <w:numFmt w:val="decimal"/>
      <w:lvlText w:val="%7."/>
      <w:lvlJc w:val="left"/>
      <w:pPr>
        <w:ind w:left="3152" w:hanging="420"/>
      </w:pPr>
    </w:lvl>
    <w:lvl w:ilvl="7" w:tentative="0">
      <w:start w:val="1"/>
      <w:numFmt w:val="lowerLetter"/>
      <w:lvlText w:val="%8)"/>
      <w:lvlJc w:val="left"/>
      <w:pPr>
        <w:ind w:left="3572" w:hanging="420"/>
      </w:pPr>
    </w:lvl>
    <w:lvl w:ilvl="8" w:tentative="0">
      <w:start w:val="1"/>
      <w:numFmt w:val="lowerRoman"/>
      <w:lvlText w:val="%9."/>
      <w:lvlJc w:val="right"/>
      <w:pPr>
        <w:ind w:left="3992" w:hanging="420"/>
      </w:pPr>
    </w:lvl>
  </w:abstractNum>
  <w:abstractNum w:abstractNumId="1">
    <w:nsid w:val="657B61C2"/>
    <w:multiLevelType w:val="multilevel"/>
    <w:tmpl w:val="657B61C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1BA3F1E"/>
    <w:multiLevelType w:val="multilevel"/>
    <w:tmpl w:val="71BA3F1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8"/>
    <w:rsid w:val="00000FDD"/>
    <w:rsid w:val="0000408C"/>
    <w:rsid w:val="0001099C"/>
    <w:rsid w:val="0001345D"/>
    <w:rsid w:val="000222D3"/>
    <w:rsid w:val="000235EF"/>
    <w:rsid w:val="00026F26"/>
    <w:rsid w:val="00031A31"/>
    <w:rsid w:val="00033FBA"/>
    <w:rsid w:val="00034DB8"/>
    <w:rsid w:val="000432ED"/>
    <w:rsid w:val="00044D2E"/>
    <w:rsid w:val="00047C73"/>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1549"/>
    <w:rsid w:val="00096771"/>
    <w:rsid w:val="000A3965"/>
    <w:rsid w:val="000A62C2"/>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61AB"/>
    <w:rsid w:val="00100F1D"/>
    <w:rsid w:val="001050F9"/>
    <w:rsid w:val="00105FD5"/>
    <w:rsid w:val="00110D6E"/>
    <w:rsid w:val="001155BB"/>
    <w:rsid w:val="00115999"/>
    <w:rsid w:val="00123DF6"/>
    <w:rsid w:val="001335EB"/>
    <w:rsid w:val="00134F43"/>
    <w:rsid w:val="001358C6"/>
    <w:rsid w:val="0013797F"/>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45A6"/>
    <w:rsid w:val="001666E7"/>
    <w:rsid w:val="00166916"/>
    <w:rsid w:val="0016758D"/>
    <w:rsid w:val="00170BFA"/>
    <w:rsid w:val="001733B2"/>
    <w:rsid w:val="00176C0F"/>
    <w:rsid w:val="00185186"/>
    <w:rsid w:val="0018617C"/>
    <w:rsid w:val="00187CD6"/>
    <w:rsid w:val="00190BB5"/>
    <w:rsid w:val="00191923"/>
    <w:rsid w:val="00192353"/>
    <w:rsid w:val="00192396"/>
    <w:rsid w:val="00192A91"/>
    <w:rsid w:val="001943F0"/>
    <w:rsid w:val="0019795E"/>
    <w:rsid w:val="001A15A9"/>
    <w:rsid w:val="001A3A81"/>
    <w:rsid w:val="001A537E"/>
    <w:rsid w:val="001A7C12"/>
    <w:rsid w:val="001B431F"/>
    <w:rsid w:val="001B6781"/>
    <w:rsid w:val="001C2847"/>
    <w:rsid w:val="001C2D1F"/>
    <w:rsid w:val="001C36D7"/>
    <w:rsid w:val="001C4AF2"/>
    <w:rsid w:val="001D444B"/>
    <w:rsid w:val="001E1102"/>
    <w:rsid w:val="001E12C5"/>
    <w:rsid w:val="001E73B5"/>
    <w:rsid w:val="001E79B1"/>
    <w:rsid w:val="001F3150"/>
    <w:rsid w:val="001F3405"/>
    <w:rsid w:val="001F3ED1"/>
    <w:rsid w:val="001F4220"/>
    <w:rsid w:val="00200C45"/>
    <w:rsid w:val="00201814"/>
    <w:rsid w:val="002044E0"/>
    <w:rsid w:val="002052AA"/>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6AD4"/>
    <w:rsid w:val="00257400"/>
    <w:rsid w:val="00266B11"/>
    <w:rsid w:val="00273967"/>
    <w:rsid w:val="00275098"/>
    <w:rsid w:val="00275CCF"/>
    <w:rsid w:val="002766EE"/>
    <w:rsid w:val="00276C18"/>
    <w:rsid w:val="00276D54"/>
    <w:rsid w:val="00277FFC"/>
    <w:rsid w:val="002848A8"/>
    <w:rsid w:val="00284B87"/>
    <w:rsid w:val="00285220"/>
    <w:rsid w:val="00285EDD"/>
    <w:rsid w:val="00287C7F"/>
    <w:rsid w:val="00291325"/>
    <w:rsid w:val="002924F6"/>
    <w:rsid w:val="00294FBF"/>
    <w:rsid w:val="002961AD"/>
    <w:rsid w:val="002964EF"/>
    <w:rsid w:val="0029670C"/>
    <w:rsid w:val="002A1BD1"/>
    <w:rsid w:val="002A3D24"/>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24AB"/>
    <w:rsid w:val="002F6841"/>
    <w:rsid w:val="002F6B3B"/>
    <w:rsid w:val="00304404"/>
    <w:rsid w:val="00304437"/>
    <w:rsid w:val="00310D45"/>
    <w:rsid w:val="00311D90"/>
    <w:rsid w:val="003125DF"/>
    <w:rsid w:val="00313385"/>
    <w:rsid w:val="00316D6B"/>
    <w:rsid w:val="00320504"/>
    <w:rsid w:val="0032742D"/>
    <w:rsid w:val="0032780F"/>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6BA"/>
    <w:rsid w:val="003B7BC0"/>
    <w:rsid w:val="003E0286"/>
    <w:rsid w:val="003E0FD0"/>
    <w:rsid w:val="003E1C1C"/>
    <w:rsid w:val="003E384F"/>
    <w:rsid w:val="003E4F22"/>
    <w:rsid w:val="003F22BA"/>
    <w:rsid w:val="003F7158"/>
    <w:rsid w:val="004063FB"/>
    <w:rsid w:val="004079EE"/>
    <w:rsid w:val="0041214E"/>
    <w:rsid w:val="0041315B"/>
    <w:rsid w:val="00415002"/>
    <w:rsid w:val="0041550C"/>
    <w:rsid w:val="00421B6F"/>
    <w:rsid w:val="0043027E"/>
    <w:rsid w:val="004334C4"/>
    <w:rsid w:val="00433D27"/>
    <w:rsid w:val="00435007"/>
    <w:rsid w:val="00435A21"/>
    <w:rsid w:val="00436559"/>
    <w:rsid w:val="00441645"/>
    <w:rsid w:val="00442CCB"/>
    <w:rsid w:val="00443202"/>
    <w:rsid w:val="00447370"/>
    <w:rsid w:val="0044784C"/>
    <w:rsid w:val="00451E75"/>
    <w:rsid w:val="00453042"/>
    <w:rsid w:val="004541A9"/>
    <w:rsid w:val="00456492"/>
    <w:rsid w:val="00462FFD"/>
    <w:rsid w:val="0046340E"/>
    <w:rsid w:val="004645AE"/>
    <w:rsid w:val="004677DE"/>
    <w:rsid w:val="00477BEF"/>
    <w:rsid w:val="00481A6B"/>
    <w:rsid w:val="00483C7A"/>
    <w:rsid w:val="00486CA3"/>
    <w:rsid w:val="00490F3C"/>
    <w:rsid w:val="00491A6D"/>
    <w:rsid w:val="0049677F"/>
    <w:rsid w:val="004978F8"/>
    <w:rsid w:val="004A3424"/>
    <w:rsid w:val="004A36F6"/>
    <w:rsid w:val="004A7539"/>
    <w:rsid w:val="004B0F09"/>
    <w:rsid w:val="004B181D"/>
    <w:rsid w:val="004B2F32"/>
    <w:rsid w:val="004B56F1"/>
    <w:rsid w:val="004C1FA1"/>
    <w:rsid w:val="004C335E"/>
    <w:rsid w:val="004C5738"/>
    <w:rsid w:val="004C6AD2"/>
    <w:rsid w:val="004C7DA9"/>
    <w:rsid w:val="004D3015"/>
    <w:rsid w:val="004D3F16"/>
    <w:rsid w:val="004D4FAA"/>
    <w:rsid w:val="004D7E75"/>
    <w:rsid w:val="004E3FAE"/>
    <w:rsid w:val="004E7BD5"/>
    <w:rsid w:val="004E7CFB"/>
    <w:rsid w:val="004F008F"/>
    <w:rsid w:val="004F1F83"/>
    <w:rsid w:val="004F3852"/>
    <w:rsid w:val="004F582D"/>
    <w:rsid w:val="004F6881"/>
    <w:rsid w:val="00500C09"/>
    <w:rsid w:val="00501295"/>
    <w:rsid w:val="00504228"/>
    <w:rsid w:val="005043E2"/>
    <w:rsid w:val="00504B95"/>
    <w:rsid w:val="0050781A"/>
    <w:rsid w:val="00510001"/>
    <w:rsid w:val="00510AAF"/>
    <w:rsid w:val="00513228"/>
    <w:rsid w:val="00515131"/>
    <w:rsid w:val="00522A83"/>
    <w:rsid w:val="00525000"/>
    <w:rsid w:val="005254B2"/>
    <w:rsid w:val="00527FA4"/>
    <w:rsid w:val="005337ED"/>
    <w:rsid w:val="00537C17"/>
    <w:rsid w:val="00543599"/>
    <w:rsid w:val="00546F1A"/>
    <w:rsid w:val="00547A94"/>
    <w:rsid w:val="005507F0"/>
    <w:rsid w:val="00553F90"/>
    <w:rsid w:val="00554C7C"/>
    <w:rsid w:val="00562D93"/>
    <w:rsid w:val="00563963"/>
    <w:rsid w:val="005661D4"/>
    <w:rsid w:val="00566ABB"/>
    <w:rsid w:val="005670E9"/>
    <w:rsid w:val="0057370A"/>
    <w:rsid w:val="0057558A"/>
    <w:rsid w:val="00585FFB"/>
    <w:rsid w:val="00591E6D"/>
    <w:rsid w:val="00596C06"/>
    <w:rsid w:val="005A2C2B"/>
    <w:rsid w:val="005A47ED"/>
    <w:rsid w:val="005B0AD8"/>
    <w:rsid w:val="005B390E"/>
    <w:rsid w:val="005B4396"/>
    <w:rsid w:val="005B632D"/>
    <w:rsid w:val="005C0090"/>
    <w:rsid w:val="005C07C7"/>
    <w:rsid w:val="005C39DA"/>
    <w:rsid w:val="005C534F"/>
    <w:rsid w:val="005C5C77"/>
    <w:rsid w:val="005C6DDA"/>
    <w:rsid w:val="005D0EE5"/>
    <w:rsid w:val="005D27AF"/>
    <w:rsid w:val="005D32C6"/>
    <w:rsid w:val="005E0EE6"/>
    <w:rsid w:val="005E2D68"/>
    <w:rsid w:val="005E7396"/>
    <w:rsid w:val="005F2E8A"/>
    <w:rsid w:val="005F74CB"/>
    <w:rsid w:val="006035F5"/>
    <w:rsid w:val="00604C71"/>
    <w:rsid w:val="00612DEE"/>
    <w:rsid w:val="00617354"/>
    <w:rsid w:val="00622125"/>
    <w:rsid w:val="00624409"/>
    <w:rsid w:val="00631C2F"/>
    <w:rsid w:val="0063356B"/>
    <w:rsid w:val="00652305"/>
    <w:rsid w:val="006523F6"/>
    <w:rsid w:val="006527D0"/>
    <w:rsid w:val="0066063B"/>
    <w:rsid w:val="00665B3D"/>
    <w:rsid w:val="00681EEE"/>
    <w:rsid w:val="00683F9D"/>
    <w:rsid w:val="006879E3"/>
    <w:rsid w:val="0069060B"/>
    <w:rsid w:val="00693818"/>
    <w:rsid w:val="00694181"/>
    <w:rsid w:val="00694C23"/>
    <w:rsid w:val="0069602E"/>
    <w:rsid w:val="006A16F4"/>
    <w:rsid w:val="006A57B3"/>
    <w:rsid w:val="006A6433"/>
    <w:rsid w:val="006B0940"/>
    <w:rsid w:val="006B171F"/>
    <w:rsid w:val="006B5475"/>
    <w:rsid w:val="006B5F12"/>
    <w:rsid w:val="006C281D"/>
    <w:rsid w:val="006C2FB7"/>
    <w:rsid w:val="006C57B1"/>
    <w:rsid w:val="006D2968"/>
    <w:rsid w:val="006D484F"/>
    <w:rsid w:val="006E2BE7"/>
    <w:rsid w:val="006E6636"/>
    <w:rsid w:val="006F2488"/>
    <w:rsid w:val="007047C6"/>
    <w:rsid w:val="0070669A"/>
    <w:rsid w:val="0071123D"/>
    <w:rsid w:val="00711667"/>
    <w:rsid w:val="0071354E"/>
    <w:rsid w:val="00715E15"/>
    <w:rsid w:val="00722582"/>
    <w:rsid w:val="007254DE"/>
    <w:rsid w:val="00725732"/>
    <w:rsid w:val="00726D15"/>
    <w:rsid w:val="00727BF4"/>
    <w:rsid w:val="0073445D"/>
    <w:rsid w:val="007344A9"/>
    <w:rsid w:val="00736BBF"/>
    <w:rsid w:val="00737925"/>
    <w:rsid w:val="0074150D"/>
    <w:rsid w:val="00742B7C"/>
    <w:rsid w:val="0074510A"/>
    <w:rsid w:val="00746088"/>
    <w:rsid w:val="00756B16"/>
    <w:rsid w:val="00762838"/>
    <w:rsid w:val="00764C2C"/>
    <w:rsid w:val="00766C43"/>
    <w:rsid w:val="00767C4F"/>
    <w:rsid w:val="00770459"/>
    <w:rsid w:val="007719D3"/>
    <w:rsid w:val="007739F9"/>
    <w:rsid w:val="00775E75"/>
    <w:rsid w:val="00776027"/>
    <w:rsid w:val="00777BB5"/>
    <w:rsid w:val="00780AC8"/>
    <w:rsid w:val="00780B7B"/>
    <w:rsid w:val="00782A19"/>
    <w:rsid w:val="00782B14"/>
    <w:rsid w:val="007845FF"/>
    <w:rsid w:val="00785208"/>
    <w:rsid w:val="00785222"/>
    <w:rsid w:val="007879DC"/>
    <w:rsid w:val="00791CA1"/>
    <w:rsid w:val="0079658B"/>
    <w:rsid w:val="00796FBA"/>
    <w:rsid w:val="007A0518"/>
    <w:rsid w:val="007A2DF5"/>
    <w:rsid w:val="007A4D37"/>
    <w:rsid w:val="007A5D68"/>
    <w:rsid w:val="007A6A4B"/>
    <w:rsid w:val="007B08DB"/>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52CE"/>
    <w:rsid w:val="007F6F32"/>
    <w:rsid w:val="0080231E"/>
    <w:rsid w:val="008042E0"/>
    <w:rsid w:val="0080539B"/>
    <w:rsid w:val="00806906"/>
    <w:rsid w:val="0081087F"/>
    <w:rsid w:val="008115F4"/>
    <w:rsid w:val="008121CF"/>
    <w:rsid w:val="00812A99"/>
    <w:rsid w:val="008148A7"/>
    <w:rsid w:val="00816DD4"/>
    <w:rsid w:val="00820688"/>
    <w:rsid w:val="00821741"/>
    <w:rsid w:val="00833FDD"/>
    <w:rsid w:val="00836880"/>
    <w:rsid w:val="0083746C"/>
    <w:rsid w:val="008421C3"/>
    <w:rsid w:val="008454EC"/>
    <w:rsid w:val="00850CA6"/>
    <w:rsid w:val="008510C5"/>
    <w:rsid w:val="00864853"/>
    <w:rsid w:val="00864E68"/>
    <w:rsid w:val="00865195"/>
    <w:rsid w:val="00865AFE"/>
    <w:rsid w:val="00866D84"/>
    <w:rsid w:val="00867BE2"/>
    <w:rsid w:val="008712F5"/>
    <w:rsid w:val="008713BD"/>
    <w:rsid w:val="0087359E"/>
    <w:rsid w:val="00875421"/>
    <w:rsid w:val="008849BE"/>
    <w:rsid w:val="00886957"/>
    <w:rsid w:val="00887737"/>
    <w:rsid w:val="008908C3"/>
    <w:rsid w:val="008937C5"/>
    <w:rsid w:val="00893DC0"/>
    <w:rsid w:val="008958F2"/>
    <w:rsid w:val="00896EBB"/>
    <w:rsid w:val="008975AD"/>
    <w:rsid w:val="008A240E"/>
    <w:rsid w:val="008A59A5"/>
    <w:rsid w:val="008B2CF4"/>
    <w:rsid w:val="008B479E"/>
    <w:rsid w:val="008B685A"/>
    <w:rsid w:val="008C19E1"/>
    <w:rsid w:val="008C6E2B"/>
    <w:rsid w:val="008D3C36"/>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72D2"/>
    <w:rsid w:val="00942565"/>
    <w:rsid w:val="009445FB"/>
    <w:rsid w:val="00944CD3"/>
    <w:rsid w:val="009453A0"/>
    <w:rsid w:val="00947DF2"/>
    <w:rsid w:val="00951913"/>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32BD"/>
    <w:rsid w:val="009E6657"/>
    <w:rsid w:val="009F362B"/>
    <w:rsid w:val="009F38D0"/>
    <w:rsid w:val="009F550D"/>
    <w:rsid w:val="009F6645"/>
    <w:rsid w:val="00A00690"/>
    <w:rsid w:val="00A03903"/>
    <w:rsid w:val="00A10F67"/>
    <w:rsid w:val="00A1426E"/>
    <w:rsid w:val="00A16741"/>
    <w:rsid w:val="00A176A1"/>
    <w:rsid w:val="00A17B23"/>
    <w:rsid w:val="00A17D84"/>
    <w:rsid w:val="00A20161"/>
    <w:rsid w:val="00A310AD"/>
    <w:rsid w:val="00A32892"/>
    <w:rsid w:val="00A35D2E"/>
    <w:rsid w:val="00A41AA0"/>
    <w:rsid w:val="00A439B7"/>
    <w:rsid w:val="00A44783"/>
    <w:rsid w:val="00A44B27"/>
    <w:rsid w:val="00A52585"/>
    <w:rsid w:val="00A52BA9"/>
    <w:rsid w:val="00A575B9"/>
    <w:rsid w:val="00A6494F"/>
    <w:rsid w:val="00A64E41"/>
    <w:rsid w:val="00A66895"/>
    <w:rsid w:val="00A67B4E"/>
    <w:rsid w:val="00A7378B"/>
    <w:rsid w:val="00A7760A"/>
    <w:rsid w:val="00A822C5"/>
    <w:rsid w:val="00A82E39"/>
    <w:rsid w:val="00A863E3"/>
    <w:rsid w:val="00A866DA"/>
    <w:rsid w:val="00A87769"/>
    <w:rsid w:val="00A87D8A"/>
    <w:rsid w:val="00A93D32"/>
    <w:rsid w:val="00AA289B"/>
    <w:rsid w:val="00AA34B8"/>
    <w:rsid w:val="00AA37CA"/>
    <w:rsid w:val="00AA4A98"/>
    <w:rsid w:val="00AB527C"/>
    <w:rsid w:val="00AB5D50"/>
    <w:rsid w:val="00AB709F"/>
    <w:rsid w:val="00AC038C"/>
    <w:rsid w:val="00AD0103"/>
    <w:rsid w:val="00AD0313"/>
    <w:rsid w:val="00AD3ABF"/>
    <w:rsid w:val="00AD5A6A"/>
    <w:rsid w:val="00AD5F00"/>
    <w:rsid w:val="00AD66C4"/>
    <w:rsid w:val="00AE1141"/>
    <w:rsid w:val="00AE1A4F"/>
    <w:rsid w:val="00AE63DD"/>
    <w:rsid w:val="00AF1C7A"/>
    <w:rsid w:val="00AF5213"/>
    <w:rsid w:val="00AF5706"/>
    <w:rsid w:val="00AF6F0E"/>
    <w:rsid w:val="00B02C50"/>
    <w:rsid w:val="00B02D22"/>
    <w:rsid w:val="00B032E4"/>
    <w:rsid w:val="00B0476E"/>
    <w:rsid w:val="00B1253B"/>
    <w:rsid w:val="00B224A9"/>
    <w:rsid w:val="00B239D3"/>
    <w:rsid w:val="00B2660E"/>
    <w:rsid w:val="00B3705B"/>
    <w:rsid w:val="00B41026"/>
    <w:rsid w:val="00B4301E"/>
    <w:rsid w:val="00B43659"/>
    <w:rsid w:val="00B45B95"/>
    <w:rsid w:val="00B476A4"/>
    <w:rsid w:val="00B511F5"/>
    <w:rsid w:val="00B55AD6"/>
    <w:rsid w:val="00B567CA"/>
    <w:rsid w:val="00B62B9F"/>
    <w:rsid w:val="00B63F90"/>
    <w:rsid w:val="00B64137"/>
    <w:rsid w:val="00B7428C"/>
    <w:rsid w:val="00B75EF4"/>
    <w:rsid w:val="00B85E4A"/>
    <w:rsid w:val="00B87E48"/>
    <w:rsid w:val="00B92406"/>
    <w:rsid w:val="00B92FD5"/>
    <w:rsid w:val="00B93185"/>
    <w:rsid w:val="00B9389E"/>
    <w:rsid w:val="00B94B93"/>
    <w:rsid w:val="00B95134"/>
    <w:rsid w:val="00BA2DD1"/>
    <w:rsid w:val="00BA2E17"/>
    <w:rsid w:val="00BA4C0B"/>
    <w:rsid w:val="00BB1271"/>
    <w:rsid w:val="00BB61B8"/>
    <w:rsid w:val="00BB697F"/>
    <w:rsid w:val="00BC0943"/>
    <w:rsid w:val="00BC129B"/>
    <w:rsid w:val="00BC4586"/>
    <w:rsid w:val="00BD05B5"/>
    <w:rsid w:val="00BD3A19"/>
    <w:rsid w:val="00BD57B8"/>
    <w:rsid w:val="00BD5A49"/>
    <w:rsid w:val="00BE1346"/>
    <w:rsid w:val="00BE1CE2"/>
    <w:rsid w:val="00BE432E"/>
    <w:rsid w:val="00BE4BA6"/>
    <w:rsid w:val="00BE5A51"/>
    <w:rsid w:val="00BE71D6"/>
    <w:rsid w:val="00BF26B8"/>
    <w:rsid w:val="00BF29C4"/>
    <w:rsid w:val="00BF3E93"/>
    <w:rsid w:val="00BF5997"/>
    <w:rsid w:val="00BF7104"/>
    <w:rsid w:val="00C015A9"/>
    <w:rsid w:val="00C01E5D"/>
    <w:rsid w:val="00C0546F"/>
    <w:rsid w:val="00C07CD4"/>
    <w:rsid w:val="00C12A81"/>
    <w:rsid w:val="00C16C2C"/>
    <w:rsid w:val="00C20FF1"/>
    <w:rsid w:val="00C2367C"/>
    <w:rsid w:val="00C33692"/>
    <w:rsid w:val="00C35EE4"/>
    <w:rsid w:val="00C41810"/>
    <w:rsid w:val="00C43829"/>
    <w:rsid w:val="00C479D1"/>
    <w:rsid w:val="00C52406"/>
    <w:rsid w:val="00C53AAB"/>
    <w:rsid w:val="00C53C9F"/>
    <w:rsid w:val="00C55239"/>
    <w:rsid w:val="00C56B66"/>
    <w:rsid w:val="00C577D2"/>
    <w:rsid w:val="00C673B6"/>
    <w:rsid w:val="00C71CD9"/>
    <w:rsid w:val="00C74208"/>
    <w:rsid w:val="00C743D1"/>
    <w:rsid w:val="00C8219F"/>
    <w:rsid w:val="00C82644"/>
    <w:rsid w:val="00C82E74"/>
    <w:rsid w:val="00C84183"/>
    <w:rsid w:val="00C85188"/>
    <w:rsid w:val="00C87635"/>
    <w:rsid w:val="00C87AD3"/>
    <w:rsid w:val="00C92761"/>
    <w:rsid w:val="00C92FE9"/>
    <w:rsid w:val="00CA2044"/>
    <w:rsid w:val="00CA3899"/>
    <w:rsid w:val="00CB04E3"/>
    <w:rsid w:val="00CB25C5"/>
    <w:rsid w:val="00CB2F0B"/>
    <w:rsid w:val="00CB3BFA"/>
    <w:rsid w:val="00CB626E"/>
    <w:rsid w:val="00CB79C0"/>
    <w:rsid w:val="00CC09DC"/>
    <w:rsid w:val="00CC32D4"/>
    <w:rsid w:val="00CC733C"/>
    <w:rsid w:val="00CD0A48"/>
    <w:rsid w:val="00CD4012"/>
    <w:rsid w:val="00CD72D5"/>
    <w:rsid w:val="00CE0D21"/>
    <w:rsid w:val="00CE1D9F"/>
    <w:rsid w:val="00CE36B6"/>
    <w:rsid w:val="00CE59BF"/>
    <w:rsid w:val="00CE64A5"/>
    <w:rsid w:val="00CF14E0"/>
    <w:rsid w:val="00CF189E"/>
    <w:rsid w:val="00CF5FDE"/>
    <w:rsid w:val="00CF7FE2"/>
    <w:rsid w:val="00D02AD4"/>
    <w:rsid w:val="00D04BEF"/>
    <w:rsid w:val="00D05E1D"/>
    <w:rsid w:val="00D06FD4"/>
    <w:rsid w:val="00D10C62"/>
    <w:rsid w:val="00D15DDE"/>
    <w:rsid w:val="00D16B58"/>
    <w:rsid w:val="00D20B25"/>
    <w:rsid w:val="00D20BF4"/>
    <w:rsid w:val="00D23036"/>
    <w:rsid w:val="00D26F89"/>
    <w:rsid w:val="00D30041"/>
    <w:rsid w:val="00D323EE"/>
    <w:rsid w:val="00D46072"/>
    <w:rsid w:val="00D523CF"/>
    <w:rsid w:val="00D6106B"/>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A29A4"/>
    <w:rsid w:val="00DA50F7"/>
    <w:rsid w:val="00DB05C2"/>
    <w:rsid w:val="00DB376F"/>
    <w:rsid w:val="00DC0C20"/>
    <w:rsid w:val="00DC2314"/>
    <w:rsid w:val="00DC7481"/>
    <w:rsid w:val="00DC75E4"/>
    <w:rsid w:val="00DD5600"/>
    <w:rsid w:val="00DD582F"/>
    <w:rsid w:val="00DE046B"/>
    <w:rsid w:val="00DE0C54"/>
    <w:rsid w:val="00DE342E"/>
    <w:rsid w:val="00DF4917"/>
    <w:rsid w:val="00DF6BFA"/>
    <w:rsid w:val="00E019A9"/>
    <w:rsid w:val="00E01EE7"/>
    <w:rsid w:val="00E032AA"/>
    <w:rsid w:val="00E04B7A"/>
    <w:rsid w:val="00E1681C"/>
    <w:rsid w:val="00E23C4B"/>
    <w:rsid w:val="00E269E6"/>
    <w:rsid w:val="00E2744F"/>
    <w:rsid w:val="00E31D4F"/>
    <w:rsid w:val="00E32796"/>
    <w:rsid w:val="00E32C62"/>
    <w:rsid w:val="00E3428F"/>
    <w:rsid w:val="00E37DD5"/>
    <w:rsid w:val="00E4093F"/>
    <w:rsid w:val="00E41669"/>
    <w:rsid w:val="00E422E5"/>
    <w:rsid w:val="00E43D33"/>
    <w:rsid w:val="00E443DF"/>
    <w:rsid w:val="00E50C26"/>
    <w:rsid w:val="00E51AA6"/>
    <w:rsid w:val="00E54F9C"/>
    <w:rsid w:val="00E56D62"/>
    <w:rsid w:val="00E6134C"/>
    <w:rsid w:val="00E62268"/>
    <w:rsid w:val="00E63923"/>
    <w:rsid w:val="00E67AF1"/>
    <w:rsid w:val="00E67E46"/>
    <w:rsid w:val="00E762EE"/>
    <w:rsid w:val="00E909C4"/>
    <w:rsid w:val="00E923BE"/>
    <w:rsid w:val="00EA0DAB"/>
    <w:rsid w:val="00EA6290"/>
    <w:rsid w:val="00EB02D8"/>
    <w:rsid w:val="00EB0E5D"/>
    <w:rsid w:val="00EB240A"/>
    <w:rsid w:val="00EB2638"/>
    <w:rsid w:val="00EB2AEF"/>
    <w:rsid w:val="00EB62CC"/>
    <w:rsid w:val="00EB6F5A"/>
    <w:rsid w:val="00EC1391"/>
    <w:rsid w:val="00EC3E53"/>
    <w:rsid w:val="00EC4927"/>
    <w:rsid w:val="00EC4B06"/>
    <w:rsid w:val="00ED08EF"/>
    <w:rsid w:val="00ED1514"/>
    <w:rsid w:val="00ED4423"/>
    <w:rsid w:val="00ED4BA1"/>
    <w:rsid w:val="00ED5C09"/>
    <w:rsid w:val="00ED7C14"/>
    <w:rsid w:val="00EE2153"/>
    <w:rsid w:val="00EE21C9"/>
    <w:rsid w:val="00EE6C1E"/>
    <w:rsid w:val="00EF187C"/>
    <w:rsid w:val="00EF2504"/>
    <w:rsid w:val="00EF2580"/>
    <w:rsid w:val="00EF2B55"/>
    <w:rsid w:val="00EF3CAA"/>
    <w:rsid w:val="00EF4ECD"/>
    <w:rsid w:val="00F05C72"/>
    <w:rsid w:val="00F05EB2"/>
    <w:rsid w:val="00F05FBE"/>
    <w:rsid w:val="00F07DF7"/>
    <w:rsid w:val="00F13056"/>
    <w:rsid w:val="00F16EF0"/>
    <w:rsid w:val="00F23891"/>
    <w:rsid w:val="00F262CB"/>
    <w:rsid w:val="00F31F69"/>
    <w:rsid w:val="00F32164"/>
    <w:rsid w:val="00F354BF"/>
    <w:rsid w:val="00F35ED0"/>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5ED4"/>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6F27"/>
    <w:rsid w:val="00FE7F29"/>
    <w:rsid w:val="00FF456C"/>
    <w:rsid w:val="00FF4C69"/>
    <w:rsid w:val="04EE4565"/>
    <w:rsid w:val="12631284"/>
    <w:rsid w:val="12B00453"/>
    <w:rsid w:val="1BD32F8C"/>
    <w:rsid w:val="46105410"/>
    <w:rsid w:val="4B3C2732"/>
    <w:rsid w:val="609F7F96"/>
    <w:rsid w:val="63D0187B"/>
    <w:rsid w:val="78B7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Body Text"/>
    <w:basedOn w:val="1"/>
    <w:link w:val="99"/>
    <w:semiHidden/>
    <w:unhideWhenUsed/>
    <w:qFormat/>
    <w:uiPriority w:val="99"/>
    <w:pPr>
      <w:spacing w:after="120"/>
    </w:pPr>
  </w:style>
  <w:style w:type="paragraph" w:styleId="4">
    <w:name w:val="Plain Text"/>
    <w:basedOn w:val="1"/>
    <w:link w:val="20"/>
    <w:unhideWhenUsed/>
    <w:qFormat/>
    <w:uiPriority w:val="0"/>
    <w:rPr>
      <w:rFonts w:ascii="宋体" w:hAnsi="Courier New" w:cs="Courier New"/>
      <w:szCs w:val="21"/>
    </w:rPr>
  </w:style>
  <w:style w:type="paragraph" w:styleId="5">
    <w:name w:val="Date"/>
    <w:basedOn w:val="1"/>
    <w:next w:val="1"/>
    <w:link w:val="25"/>
    <w:qFormat/>
    <w:uiPriority w:val="0"/>
    <w:pPr>
      <w:adjustRightInd w:val="0"/>
      <w:spacing w:line="312" w:lineRule="atLeast"/>
      <w:textAlignment w:val="baseline"/>
    </w:pPr>
    <w:rPr>
      <w:rFonts w:ascii="仿宋_GB2312" w:eastAsia="仿宋_GB2312"/>
      <w:kern w:val="0"/>
      <w:sz w:val="28"/>
    </w:rPr>
  </w:style>
  <w:style w:type="paragraph" w:styleId="6">
    <w:name w:val="Body Text Indent 2"/>
    <w:basedOn w:val="1"/>
    <w:link w:val="22"/>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7">
    <w:name w:val="Balloon Text"/>
    <w:basedOn w:val="1"/>
    <w:link w:val="10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9"/>
    <w:unhideWhenUsed/>
    <w:qFormat/>
    <w:uiPriority w:val="99"/>
    <w:rPr>
      <w:rFonts w:ascii="Courier New" w:hAnsi="Courier New" w:cs="Courier New" w:eastAsiaTheme="minorEastAsia"/>
      <w:szCs w:val="2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semiHidden/>
    <w:unhideWhenUsed/>
    <w:qFormat/>
    <w:uiPriority w:val="99"/>
    <w:rPr>
      <w:color w:val="800080"/>
      <w:u w:val="single"/>
    </w:rPr>
  </w:style>
  <w:style w:type="character" w:styleId="16">
    <w:name w:val="Hyperlink"/>
    <w:basedOn w:val="13"/>
    <w:semiHidden/>
    <w:unhideWhenUsed/>
    <w:qFormat/>
    <w:uiPriority w:val="99"/>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HTML 预设格式 Char"/>
    <w:link w:val="10"/>
    <w:qFormat/>
    <w:uiPriority w:val="99"/>
    <w:rPr>
      <w:rFonts w:ascii="Courier New" w:hAnsi="Courier New" w:cs="Courier New"/>
    </w:rPr>
  </w:style>
  <w:style w:type="character" w:customStyle="1" w:styleId="20">
    <w:name w:val="纯文本 Char"/>
    <w:basedOn w:val="13"/>
    <w:link w:val="4"/>
    <w:qFormat/>
    <w:uiPriority w:val="0"/>
    <w:rPr>
      <w:rFonts w:ascii="宋体" w:hAnsi="Courier New" w:eastAsia="宋体" w:cs="Courier New"/>
      <w:szCs w:val="21"/>
    </w:rPr>
  </w:style>
  <w:style w:type="character" w:customStyle="1" w:styleId="21">
    <w:name w:val="HTML 预设格式 Char1"/>
    <w:basedOn w:val="13"/>
    <w:semiHidden/>
    <w:qFormat/>
    <w:uiPriority w:val="99"/>
    <w:rPr>
      <w:rFonts w:ascii="Courier New" w:hAnsi="Courier New" w:eastAsia="宋体" w:cs="Courier New"/>
      <w:sz w:val="20"/>
      <w:szCs w:val="20"/>
    </w:rPr>
  </w:style>
  <w:style w:type="character" w:customStyle="1" w:styleId="22">
    <w:name w:val="正文文本缩进 2 Char"/>
    <w:basedOn w:val="13"/>
    <w:link w:val="6"/>
    <w:semiHidden/>
    <w:qFormat/>
    <w:uiPriority w:val="0"/>
    <w:rPr>
      <w:rFonts w:ascii="仿宋_GB2312" w:hAnsi="Times New Roman" w:eastAsia="仿宋_GB2312" w:cs="Times New Roman"/>
      <w:kern w:val="0"/>
      <w:sz w:val="28"/>
      <w:szCs w:val="20"/>
    </w:rPr>
  </w:style>
  <w:style w:type="paragraph" w:styleId="23">
    <w:name w:val="List Paragraph"/>
    <w:basedOn w:val="1"/>
    <w:qFormat/>
    <w:uiPriority w:val="34"/>
    <w:pPr>
      <w:ind w:firstLine="420" w:firstLineChars="200"/>
    </w:pPr>
  </w:style>
  <w:style w:type="character" w:customStyle="1" w:styleId="24">
    <w:name w:val="tpc_content1"/>
    <w:basedOn w:val="13"/>
    <w:qFormat/>
    <w:uiPriority w:val="0"/>
    <w:rPr>
      <w:sz w:val="20"/>
      <w:szCs w:val="20"/>
    </w:rPr>
  </w:style>
  <w:style w:type="character" w:customStyle="1" w:styleId="25">
    <w:name w:val="日期 Char"/>
    <w:basedOn w:val="13"/>
    <w:link w:val="5"/>
    <w:semiHidden/>
    <w:qFormat/>
    <w:uiPriority w:val="0"/>
    <w:rPr>
      <w:rFonts w:ascii="仿宋_GB2312" w:hAnsi="Times New Roman" w:eastAsia="仿宋_GB2312" w:cs="Times New Roman"/>
      <w:kern w:val="0"/>
      <w:sz w:val="28"/>
      <w:szCs w:val="20"/>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29">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0">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font10"/>
    <w:basedOn w:val="1"/>
    <w:qFormat/>
    <w:uiPriority w:val="0"/>
    <w:pPr>
      <w:widowControl/>
      <w:spacing w:before="100" w:beforeAutospacing="1" w:after="100" w:afterAutospacing="1"/>
      <w:jc w:val="left"/>
    </w:pPr>
    <w:rPr>
      <w:kern w:val="0"/>
      <w:sz w:val="24"/>
      <w:szCs w:val="24"/>
    </w:rPr>
  </w:style>
  <w:style w:type="paragraph" w:customStyle="1" w:styleId="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4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0">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6">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3">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5">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1">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2">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6">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7">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88">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89">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0">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5">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97">
    <w:name w:val="纯文本 Char1"/>
    <w:qFormat/>
    <w:uiPriority w:val="0"/>
    <w:rPr>
      <w:rFonts w:ascii="宋体" w:hAnsi="Courier New" w:eastAsia="宋体"/>
      <w:kern w:val="2"/>
      <w:sz w:val="24"/>
      <w:szCs w:val="24"/>
      <w:lang w:val="en-US" w:eastAsia="zh-CN" w:bidi="ar-SA"/>
    </w:rPr>
  </w:style>
  <w:style w:type="paragraph" w:customStyle="1" w:styleId="98">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99">
    <w:name w:val="正文文本 Char"/>
    <w:basedOn w:val="13"/>
    <w:link w:val="3"/>
    <w:semiHidden/>
    <w:qFormat/>
    <w:uiPriority w:val="99"/>
    <w:rPr>
      <w:rFonts w:ascii="Times New Roman" w:hAnsi="Times New Roman" w:eastAsia="宋体" w:cs="Times New Roman"/>
      <w:szCs w:val="20"/>
    </w:rPr>
  </w:style>
  <w:style w:type="paragraph" w:customStyle="1" w:styleId="100">
    <w:name w:val="默认段落字体 Para Char Char Char Char Char Char Char Char Char1 Char Char Char Char"/>
    <w:basedOn w:val="1"/>
    <w:qFormat/>
    <w:uiPriority w:val="0"/>
    <w:rPr>
      <w:rFonts w:ascii="Tahoma" w:hAnsi="Tahoma"/>
      <w:sz w:val="24"/>
    </w:rPr>
  </w:style>
  <w:style w:type="character" w:customStyle="1" w:styleId="101">
    <w:name w:val="批注框文本 Char"/>
    <w:basedOn w:val="13"/>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84D41-6AAC-47AF-B9F0-311B38D611D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1380</Words>
  <Characters>7867</Characters>
  <Lines>65</Lines>
  <Paragraphs>18</Paragraphs>
  <TotalTime>85</TotalTime>
  <ScaleCrop>false</ScaleCrop>
  <LinksUpToDate>false</LinksUpToDate>
  <CharactersWithSpaces>9229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2020-01-21T06:57:00Z</dcterms:created>
  <dc:creator>lenovo</dc:creator>
  <cp:lastModifiedBy>ZJU4H</cp:lastModifiedBy>
  <cp:lastPrinted>2021-11-22T08:27:00Z</cp:lastPrinted>
  <dcterms:modified xsi:type="dcterms:W3CDTF">2021-11-24T09:11:43Z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F825641C27B843FE80ECD2FE1DD7390B</vt:lpwstr>
  </property>
</Properties>
</file>