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32"/>
          <w:szCs w:val="32"/>
          <w:highlight w:val="none"/>
        </w:rPr>
      </w:pPr>
    </w:p>
    <w:p>
      <w:pPr>
        <w:jc w:val="center"/>
        <w:rPr>
          <w:rFonts w:ascii="宋体" w:hAnsi="宋体"/>
          <w:b/>
          <w:color w:val="auto"/>
          <w:sz w:val="36"/>
          <w:szCs w:val="36"/>
          <w:highlight w:val="none"/>
        </w:rPr>
      </w:pPr>
      <w:r>
        <w:rPr>
          <w:rFonts w:hint="eastAsia" w:ascii="宋体" w:hAnsi="宋体"/>
          <w:b/>
          <w:color w:val="auto"/>
          <w:sz w:val="36"/>
          <w:szCs w:val="36"/>
          <w:highlight w:val="none"/>
        </w:rPr>
        <w:t>浙江大学医学院附属第四医院UPS机组维保服务招标文件</w:t>
      </w:r>
    </w:p>
    <w:p>
      <w:pPr>
        <w:autoSpaceDE w:val="0"/>
        <w:autoSpaceDN w:val="0"/>
        <w:adjustRightInd w:val="0"/>
        <w:spacing w:line="360" w:lineRule="auto"/>
        <w:jc w:val="center"/>
        <w:rPr>
          <w:rFonts w:ascii="宋体" w:hAnsi="宋体"/>
          <w:b/>
          <w:bCs/>
          <w:color w:val="auto"/>
          <w:sz w:val="30"/>
          <w:szCs w:val="30"/>
          <w:highlight w:val="none"/>
          <w:lang w:val="zh-CN"/>
        </w:rPr>
      </w:pPr>
      <w:r>
        <w:rPr>
          <w:rFonts w:hint="eastAsia" w:ascii="宋体" w:hAnsi="宋体"/>
          <w:b/>
          <w:bCs/>
          <w:color w:val="auto"/>
          <w:sz w:val="30"/>
          <w:szCs w:val="30"/>
          <w:highlight w:val="none"/>
          <w:lang w:val="zh-CN"/>
        </w:rPr>
        <w:t>第一章 招标公告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根据浙江大学医学院附属第四医院采购要求, 对我院UPS机组维保服务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color w:val="auto"/>
          <w:sz w:val="24"/>
          <w:highlight w:val="none"/>
          <w:lang w:val="en-US" w:eastAsia="zh-CN"/>
        </w:rPr>
        <w:t xml:space="preserve"> </w:t>
      </w:r>
      <w:r>
        <w:rPr>
          <w:rFonts w:hint="eastAsia" w:ascii="宋体" w:hAnsi="宋体"/>
          <w:color w:val="auto"/>
          <w:sz w:val="24"/>
          <w:highlight w:val="none"/>
        </w:rPr>
        <w:t>ZSHQ-2021W27</w:t>
      </w:r>
    </w:p>
    <w:p>
      <w:pPr>
        <w:numPr>
          <w:ilvl w:val="0"/>
          <w:numId w:val="1"/>
        </w:numPr>
        <w:spacing w:line="360" w:lineRule="auto"/>
        <w:rPr>
          <w:rFonts w:ascii="宋体" w:hAnsi="宋体"/>
          <w:color w:val="auto"/>
          <w:sz w:val="24"/>
          <w:highlight w:val="none"/>
        </w:rPr>
      </w:pPr>
      <w:r>
        <w:rPr>
          <w:rFonts w:hint="eastAsia" w:ascii="宋体" w:hAnsi="宋体"/>
          <w:color w:val="auto"/>
          <w:sz w:val="24"/>
          <w:szCs w:val="24"/>
          <w:highlight w:val="none"/>
        </w:rPr>
        <w:t>采购组织类型：</w:t>
      </w:r>
      <w:r>
        <w:rPr>
          <w:rFonts w:hint="eastAsia" w:ascii="宋体" w:hAnsi="宋体"/>
          <w:color w:val="auto"/>
          <w:sz w:val="24"/>
          <w:szCs w:val="24"/>
          <w:highlight w:val="none"/>
          <w:lang w:val="en-US" w:eastAsia="zh-CN"/>
        </w:rPr>
        <w:t>自行</w:t>
      </w:r>
      <w:r>
        <w:rPr>
          <w:rFonts w:hint="eastAsia" w:ascii="宋体" w:hAnsi="宋体"/>
          <w:color w:val="auto"/>
          <w:sz w:val="24"/>
          <w:szCs w:val="24"/>
          <w:highlight w:val="none"/>
        </w:rPr>
        <w:t>采</w:t>
      </w:r>
      <w:bookmarkStart w:id="2" w:name="_GoBack"/>
      <w:bookmarkEnd w:id="2"/>
      <w:r>
        <w:rPr>
          <w:rFonts w:hint="eastAsia" w:ascii="宋体" w:hAnsi="宋体"/>
          <w:color w:val="auto"/>
          <w:sz w:val="24"/>
          <w:szCs w:val="24"/>
          <w:highlight w:val="none"/>
        </w:rPr>
        <w:t>购</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采购方式：公开招标</w:t>
      </w:r>
    </w:p>
    <w:p>
      <w:pPr>
        <w:numPr>
          <w:ilvl w:val="0"/>
          <w:numId w:val="1"/>
        </w:numPr>
        <w:spacing w:line="360" w:lineRule="auto"/>
        <w:rPr>
          <w:rFonts w:ascii="宋体" w:hAnsi="宋体"/>
          <w:color w:val="auto"/>
          <w:sz w:val="24"/>
          <w:highlight w:val="none"/>
        </w:rPr>
      </w:pPr>
      <w:r>
        <w:rPr>
          <w:rFonts w:ascii="宋体" w:hAnsi="宋体"/>
          <w:color w:val="auto"/>
          <w:sz w:val="24"/>
          <w:highlight w:val="none"/>
        </w:rPr>
        <w:t>采购人</w:t>
      </w:r>
      <w:r>
        <w:rPr>
          <w:rFonts w:hint="eastAsia" w:ascii="宋体" w:hAnsi="宋体"/>
          <w:color w:val="auto"/>
          <w:sz w:val="24"/>
          <w:highlight w:val="none"/>
        </w:rPr>
        <w:t>：</w:t>
      </w:r>
      <w:r>
        <w:rPr>
          <w:rFonts w:hint="eastAsia" w:ascii="宋体" w:hAnsi="宋体" w:cs="宋体"/>
          <w:color w:val="auto"/>
          <w:kern w:val="0"/>
          <w:sz w:val="24"/>
          <w:szCs w:val="24"/>
          <w:highlight w:val="none"/>
        </w:rPr>
        <w:t>浙江大学医学院附属第四医院</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采购内容：UPS机组维保服务。</w:t>
      </w:r>
    </w:p>
    <w:p>
      <w:pPr>
        <w:numPr>
          <w:ilvl w:val="0"/>
          <w:numId w:val="1"/>
        </w:numPr>
        <w:spacing w:line="360" w:lineRule="auto"/>
        <w:rPr>
          <w:rFonts w:ascii="宋体" w:hAnsi="宋体"/>
          <w:color w:val="auto"/>
          <w:sz w:val="24"/>
          <w:highlight w:val="none"/>
        </w:rPr>
      </w:pPr>
      <w:r>
        <w:rPr>
          <w:rFonts w:ascii="宋体" w:hAnsi="宋体"/>
          <w:color w:val="auto"/>
          <w:sz w:val="24"/>
          <w:highlight w:val="none"/>
        </w:rPr>
        <w:t>采购预算</w:t>
      </w:r>
      <w:r>
        <w:rPr>
          <w:rFonts w:hint="eastAsia" w:ascii="宋体" w:hAnsi="宋体"/>
          <w:color w:val="auto"/>
          <w:sz w:val="24"/>
          <w:highlight w:val="none"/>
        </w:rPr>
        <w:t>及最高限价：</w:t>
      </w:r>
      <w:r>
        <w:rPr>
          <w:rFonts w:hint="eastAsia" w:ascii="宋体" w:hAnsi="宋体"/>
          <w:b/>
          <w:color w:val="auto"/>
          <w:sz w:val="24"/>
          <w:szCs w:val="24"/>
          <w:highlight w:val="none"/>
        </w:rPr>
        <w:t>本项目设最高限价</w:t>
      </w:r>
      <w:r>
        <w:rPr>
          <w:rFonts w:hint="eastAsia" w:ascii="宋体" w:hAnsi="宋体"/>
          <w:b/>
          <w:color w:val="auto"/>
          <w:sz w:val="24"/>
          <w:szCs w:val="24"/>
          <w:highlight w:val="none"/>
          <w:lang w:val="en-US" w:eastAsia="zh-CN"/>
        </w:rPr>
        <w:t>12</w:t>
      </w:r>
      <w:r>
        <w:rPr>
          <w:rFonts w:hint="eastAsia" w:ascii="宋体" w:hAnsi="宋体"/>
          <w:b/>
          <w:color w:val="auto"/>
          <w:sz w:val="24"/>
          <w:szCs w:val="24"/>
          <w:highlight w:val="none"/>
        </w:rPr>
        <w:t>万，</w:t>
      </w:r>
      <w:r>
        <w:rPr>
          <w:rFonts w:ascii="宋体" w:hAnsi="宋体"/>
          <w:b/>
          <w:color w:val="auto"/>
          <w:sz w:val="24"/>
          <w:szCs w:val="24"/>
          <w:highlight w:val="none"/>
        </w:rPr>
        <w:t>投标报价</w:t>
      </w:r>
      <w:r>
        <w:rPr>
          <w:rFonts w:hint="eastAsia" w:ascii="宋体" w:hAnsi="宋体"/>
          <w:b/>
          <w:color w:val="auto"/>
          <w:sz w:val="24"/>
          <w:szCs w:val="24"/>
          <w:highlight w:val="none"/>
        </w:rPr>
        <w:t>高于</w:t>
      </w:r>
      <w:r>
        <w:rPr>
          <w:rFonts w:ascii="宋体" w:hAnsi="宋体"/>
          <w:b/>
          <w:color w:val="auto"/>
          <w:sz w:val="24"/>
          <w:szCs w:val="24"/>
          <w:highlight w:val="none"/>
        </w:rPr>
        <w:t>最</w:t>
      </w:r>
      <w:r>
        <w:rPr>
          <w:rFonts w:hint="eastAsia" w:ascii="宋体" w:hAnsi="宋体"/>
          <w:b/>
          <w:color w:val="auto"/>
          <w:sz w:val="24"/>
          <w:szCs w:val="24"/>
          <w:highlight w:val="none"/>
        </w:rPr>
        <w:t>高</w:t>
      </w:r>
      <w:r>
        <w:rPr>
          <w:rFonts w:ascii="宋体" w:hAnsi="宋体"/>
          <w:b/>
          <w:color w:val="auto"/>
          <w:sz w:val="24"/>
          <w:szCs w:val="24"/>
          <w:highlight w:val="none"/>
        </w:rPr>
        <w:t>限价的，其投标均为无效标</w:t>
      </w:r>
      <w:r>
        <w:rPr>
          <w:rFonts w:hint="eastAsia" w:ascii="宋体" w:hAnsi="宋体" w:cs="宋体"/>
          <w:color w:val="auto"/>
          <w:kern w:val="0"/>
          <w:sz w:val="24"/>
          <w:szCs w:val="24"/>
          <w:highlight w:val="none"/>
        </w:rPr>
        <w:t>。</w:t>
      </w:r>
    </w:p>
    <w:p>
      <w:pPr>
        <w:numPr>
          <w:ilvl w:val="0"/>
          <w:numId w:val="1"/>
        </w:numPr>
        <w:spacing w:line="360" w:lineRule="auto"/>
        <w:rPr>
          <w:rFonts w:ascii="宋体" w:hAnsi="宋体"/>
          <w:color w:val="auto"/>
          <w:sz w:val="24"/>
          <w:highlight w:val="none"/>
        </w:rPr>
      </w:pPr>
      <w:r>
        <w:rPr>
          <w:rFonts w:ascii="宋体" w:hAnsi="宋体" w:cs="宋体"/>
          <w:color w:val="auto"/>
          <w:kern w:val="0"/>
          <w:sz w:val="24"/>
          <w:szCs w:val="24"/>
          <w:highlight w:val="none"/>
        </w:rPr>
        <w:t>评标</w:t>
      </w:r>
      <w:r>
        <w:rPr>
          <w:rFonts w:hint="eastAsia" w:ascii="宋体" w:hAnsi="宋体"/>
          <w:color w:val="auto"/>
          <w:sz w:val="24"/>
          <w:highlight w:val="none"/>
        </w:rPr>
        <w:t>方法</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综合评分法</w:t>
      </w:r>
      <w:r>
        <w:rPr>
          <w:rFonts w:hint="eastAsia" w:ascii="宋体" w:hAnsi="宋体" w:cs="宋体"/>
          <w:color w:val="auto"/>
          <w:kern w:val="0"/>
          <w:sz w:val="24"/>
          <w:szCs w:val="24"/>
          <w:highlight w:val="none"/>
        </w:rPr>
        <w:t>。</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合作期限：</w:t>
      </w:r>
      <w:r>
        <w:rPr>
          <w:rFonts w:ascii="宋体" w:hAnsi="宋体"/>
          <w:color w:val="auto"/>
          <w:sz w:val="24"/>
          <w:highlight w:val="none"/>
        </w:rPr>
        <w:t>一年</w:t>
      </w:r>
      <w:r>
        <w:rPr>
          <w:rFonts w:hint="eastAsia" w:ascii="宋体" w:hAnsi="宋体"/>
          <w:color w:val="auto"/>
          <w:sz w:val="24"/>
          <w:highlight w:val="none"/>
        </w:rPr>
        <w:t>。甲方可</w:t>
      </w:r>
      <w:r>
        <w:rPr>
          <w:rFonts w:hint="eastAsia" w:ascii="宋体" w:hAnsi="宋体"/>
          <w:color w:val="auto"/>
          <w:sz w:val="24"/>
          <w:highlight w:val="none"/>
          <w:lang w:val="en-US" w:eastAsia="zh-CN"/>
        </w:rPr>
        <w:t>在</w:t>
      </w:r>
      <w:r>
        <w:rPr>
          <w:rFonts w:ascii="宋体" w:hAnsi="宋体"/>
          <w:color w:val="auto"/>
          <w:sz w:val="24"/>
          <w:highlight w:val="none"/>
        </w:rPr>
        <w:t>每</w:t>
      </w:r>
      <w:r>
        <w:rPr>
          <w:rFonts w:hint="eastAsia" w:ascii="宋体" w:hAnsi="宋体"/>
          <w:color w:val="auto"/>
          <w:sz w:val="24"/>
          <w:highlight w:val="none"/>
        </w:rPr>
        <w:t>季度</w:t>
      </w:r>
      <w:r>
        <w:rPr>
          <w:rFonts w:ascii="宋体" w:hAnsi="宋体"/>
          <w:color w:val="auto"/>
          <w:sz w:val="24"/>
          <w:highlight w:val="none"/>
        </w:rPr>
        <w:t>考核分数在90分</w:t>
      </w:r>
      <w:r>
        <w:rPr>
          <w:rFonts w:hint="eastAsia" w:ascii="宋体" w:hAnsi="宋体"/>
          <w:color w:val="auto"/>
          <w:sz w:val="24"/>
          <w:highlight w:val="none"/>
        </w:rPr>
        <w:t>（包括</w:t>
      </w:r>
      <w:r>
        <w:rPr>
          <w:rFonts w:ascii="宋体" w:hAnsi="宋体"/>
          <w:color w:val="auto"/>
          <w:sz w:val="24"/>
          <w:highlight w:val="none"/>
        </w:rPr>
        <w:t>90</w:t>
      </w:r>
      <w:r>
        <w:rPr>
          <w:rFonts w:hint="eastAsia" w:ascii="宋体" w:hAnsi="宋体"/>
          <w:color w:val="auto"/>
          <w:sz w:val="24"/>
          <w:highlight w:val="none"/>
        </w:rPr>
        <w:t>分）</w:t>
      </w:r>
      <w:r>
        <w:rPr>
          <w:rFonts w:ascii="宋体" w:hAnsi="宋体"/>
          <w:color w:val="auto"/>
          <w:sz w:val="24"/>
          <w:highlight w:val="none"/>
        </w:rPr>
        <w:t>以上</w:t>
      </w:r>
      <w:r>
        <w:rPr>
          <w:rFonts w:hint="eastAsia" w:ascii="宋体" w:hAnsi="宋体"/>
          <w:color w:val="auto"/>
          <w:sz w:val="24"/>
          <w:highlight w:val="none"/>
        </w:rPr>
        <w:t>的</w:t>
      </w:r>
      <w:r>
        <w:rPr>
          <w:rFonts w:hint="eastAsia" w:ascii="宋体" w:hAnsi="宋体"/>
          <w:color w:val="auto"/>
          <w:sz w:val="24"/>
          <w:highlight w:val="none"/>
          <w:lang w:val="en-US" w:eastAsia="zh-CN"/>
        </w:rPr>
        <w:t>基础上与</w:t>
      </w:r>
      <w:r>
        <w:rPr>
          <w:rFonts w:hint="eastAsia" w:ascii="宋体" w:hAnsi="宋体"/>
          <w:color w:val="auto"/>
          <w:sz w:val="24"/>
          <w:highlight w:val="none"/>
        </w:rPr>
        <w:t>乙方续签合同</w:t>
      </w:r>
      <w:r>
        <w:rPr>
          <w:rFonts w:ascii="宋体" w:hAnsi="宋体"/>
          <w:color w:val="auto"/>
          <w:sz w:val="24"/>
          <w:highlight w:val="none"/>
        </w:rPr>
        <w:t>。</w:t>
      </w:r>
      <w:r>
        <w:rPr>
          <w:rFonts w:hint="eastAsia" w:ascii="宋体" w:hAnsi="宋体"/>
          <w:color w:val="auto"/>
          <w:sz w:val="24"/>
          <w:highlight w:val="none"/>
        </w:rPr>
        <w:t>如续签，则续签合同期限不超过1年，续签不超过</w:t>
      </w:r>
      <w:r>
        <w:rPr>
          <w:rFonts w:hint="eastAsia" w:ascii="宋体" w:hAnsi="宋体"/>
          <w:color w:val="auto"/>
          <w:sz w:val="24"/>
          <w:highlight w:val="none"/>
          <w:lang w:val="en-US" w:eastAsia="zh-CN"/>
        </w:rPr>
        <w:t>1</w:t>
      </w:r>
      <w:r>
        <w:rPr>
          <w:rFonts w:hint="eastAsia" w:ascii="宋体" w:hAnsi="宋体"/>
          <w:color w:val="auto"/>
          <w:sz w:val="24"/>
          <w:highlight w:val="none"/>
        </w:rPr>
        <w:t>次，同时新一期的合同服务要求与上一期相同</w:t>
      </w:r>
      <w:r>
        <w:rPr>
          <w:rFonts w:ascii="宋体" w:hAnsi="宋体"/>
          <w:color w:val="auto"/>
          <w:sz w:val="24"/>
          <w:highlight w:val="none"/>
        </w:rPr>
        <w:t>。</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投标单位的资格要求：</w:t>
      </w:r>
    </w:p>
    <w:p>
      <w:pPr>
        <w:pStyle w:val="27"/>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1、国内具有独立法人资格。</w:t>
      </w:r>
    </w:p>
    <w:p>
      <w:pPr>
        <w:pStyle w:val="27"/>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2、符合《中华人民共和国政府采购法》第二十二条对供应商的要求。</w:t>
      </w:r>
    </w:p>
    <w:p>
      <w:pPr>
        <w:pStyle w:val="27"/>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3、本项目不接受联合体投标。</w:t>
      </w:r>
    </w:p>
    <w:p>
      <w:pPr>
        <w:pStyle w:val="27"/>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参加政府采购活动前三年内，在经营活动中没有重大违法记录。供应商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www.creditchina.gov.cn）、中国政府采购网（www.ccgp.gov.cn）列入失信被执行人、重大税收违法案件当事人名单、政府采购严重违法失信行为记录名单的。</w:t>
      </w:r>
    </w:p>
    <w:p>
      <w:pPr>
        <w:pStyle w:val="27"/>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5、该行业国家规定必备的资质、资格。</w:t>
      </w:r>
    </w:p>
    <w:p>
      <w:pPr>
        <w:pStyle w:val="27"/>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招标文件发放方式：浙江大学医学院附属第四医院网站免费下载</w:t>
      </w:r>
    </w:p>
    <w:p>
      <w:pPr>
        <w:pStyle w:val="27"/>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报名方式</w:t>
      </w:r>
      <w:r>
        <w:rPr>
          <w:rFonts w:ascii="宋体" w:hAnsi="宋体"/>
          <w:color w:val="auto"/>
          <w:sz w:val="24"/>
          <w:highlight w:val="none"/>
        </w:rPr>
        <w:t>：</w:t>
      </w:r>
      <w:r>
        <w:rPr>
          <w:rFonts w:hint="eastAsia" w:ascii="宋体" w:hAnsi="宋体"/>
          <w:color w:val="auto"/>
          <w:sz w:val="24"/>
          <w:highlight w:val="none"/>
        </w:rPr>
        <w:t>投标单位必须于</w:t>
      </w:r>
      <w:r>
        <w:rPr>
          <w:rFonts w:ascii="宋体" w:hAnsi="宋体"/>
          <w:color w:val="auto"/>
          <w:sz w:val="24"/>
          <w:highlight w:val="none"/>
        </w:rPr>
        <w:t>2021</w:t>
      </w:r>
      <w:r>
        <w:rPr>
          <w:rFonts w:hint="eastAsia" w:ascii="宋体" w:hAnsi="宋体"/>
          <w:color w:val="auto"/>
          <w:sz w:val="24"/>
          <w:highlight w:val="none"/>
        </w:rPr>
        <w:t>年</w:t>
      </w:r>
      <w:r>
        <w:rPr>
          <w:rFonts w:hint="eastAsia" w:ascii="宋体" w:hAnsi="宋体" w:cs="Tahoma"/>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28</w:t>
      </w:r>
      <w:r>
        <w:rPr>
          <w:rFonts w:hint="eastAsia" w:ascii="宋体" w:hAnsi="宋体"/>
          <w:color w:val="auto"/>
          <w:sz w:val="24"/>
          <w:highlight w:val="none"/>
        </w:rPr>
        <w:t>日17:00之前将</w:t>
      </w:r>
      <w:r>
        <w:rPr>
          <w:rFonts w:hint="eastAsia"/>
          <w:b/>
          <w:color w:val="auto"/>
          <w:sz w:val="24"/>
          <w:highlight w:val="none"/>
        </w:rPr>
        <w:t>以下</w:t>
      </w:r>
      <w:r>
        <w:rPr>
          <w:b/>
          <w:color w:val="auto"/>
          <w:sz w:val="24"/>
          <w:highlight w:val="none"/>
        </w:rPr>
        <w:t>报名资料</w:t>
      </w:r>
      <w:r>
        <w:rPr>
          <w:color w:val="auto"/>
          <w:highlight w:val="none"/>
        </w:rPr>
        <w:fldChar w:fldCharType="begin"/>
      </w:r>
      <w:r>
        <w:rPr>
          <w:color w:val="auto"/>
          <w:highlight w:val="none"/>
        </w:rPr>
        <w:instrText xml:space="preserve"> HYPERLINK "mailto:发送至邮箱zshqzb@163.com" </w:instrText>
      </w:r>
      <w:r>
        <w:rPr>
          <w:color w:val="auto"/>
          <w:highlight w:val="none"/>
        </w:rPr>
        <w:fldChar w:fldCharType="separate"/>
      </w:r>
      <w:r>
        <w:rPr>
          <w:rStyle w:val="20"/>
          <w:rFonts w:hint="eastAsia" w:ascii="宋体" w:hAnsi="宋体"/>
          <w:color w:val="auto"/>
          <w:sz w:val="24"/>
          <w:highlight w:val="none"/>
        </w:rPr>
        <w:t>发送至邮箱</w:t>
      </w:r>
      <w:r>
        <w:rPr>
          <w:rStyle w:val="20"/>
          <w:rFonts w:ascii="宋体" w:hAnsi="宋体"/>
          <w:b/>
          <w:color w:val="auto"/>
          <w:sz w:val="24"/>
          <w:highlight w:val="none"/>
        </w:rPr>
        <w:t>zshqzb@163.com</w:t>
      </w:r>
      <w:r>
        <w:rPr>
          <w:rStyle w:val="20"/>
          <w:rFonts w:ascii="宋体" w:hAnsi="宋体"/>
          <w:b/>
          <w:color w:val="auto"/>
          <w:sz w:val="24"/>
          <w:highlight w:val="none"/>
        </w:rPr>
        <w:fldChar w:fldCharType="end"/>
      </w:r>
      <w:r>
        <w:rPr>
          <w:rFonts w:hint="eastAsia" w:ascii="宋体" w:hAnsi="宋体"/>
          <w:b/>
          <w:color w:val="auto"/>
          <w:sz w:val="24"/>
          <w:highlight w:val="none"/>
        </w:rPr>
        <w:t>（邮件标题以“投标项目+投标单位”格式命名），</w:t>
      </w:r>
      <w:r>
        <w:rPr>
          <w:rFonts w:hint="eastAsia" w:ascii="宋体" w:hAnsi="宋体"/>
          <w:color w:val="auto"/>
          <w:sz w:val="24"/>
          <w:highlight w:val="none"/>
        </w:rPr>
        <w:t>复印件加盖公章的原件在开标当天补交。</w:t>
      </w:r>
    </w:p>
    <w:p>
      <w:pPr>
        <w:pStyle w:val="27"/>
        <w:numPr>
          <w:ilvl w:val="0"/>
          <w:numId w:val="2"/>
        </w:numPr>
        <w:spacing w:line="360" w:lineRule="auto"/>
        <w:ind w:firstLineChars="0"/>
        <w:rPr>
          <w:rFonts w:ascii="宋体" w:hAnsi="宋体"/>
          <w:color w:val="auto"/>
          <w:sz w:val="24"/>
          <w:highlight w:val="none"/>
        </w:rPr>
      </w:pPr>
      <w:r>
        <w:rPr>
          <w:b/>
          <w:color w:val="auto"/>
          <w:sz w:val="24"/>
          <w:highlight w:val="none"/>
        </w:rPr>
        <w:t>单位营业执照</w:t>
      </w:r>
      <w:r>
        <w:rPr>
          <w:rFonts w:hint="eastAsia" w:ascii="宋体" w:hAnsi="宋体"/>
          <w:color w:val="auto"/>
          <w:sz w:val="24"/>
          <w:highlight w:val="none"/>
        </w:rPr>
        <w:t>（加盖单位公章 红章）；</w:t>
      </w:r>
    </w:p>
    <w:p>
      <w:pPr>
        <w:pStyle w:val="27"/>
        <w:numPr>
          <w:ilvl w:val="0"/>
          <w:numId w:val="2"/>
        </w:numPr>
        <w:spacing w:line="360" w:lineRule="auto"/>
        <w:ind w:firstLineChars="0"/>
        <w:rPr>
          <w:rFonts w:ascii="宋体" w:hAnsi="宋体"/>
          <w:color w:val="auto"/>
          <w:sz w:val="24"/>
          <w:highlight w:val="none"/>
        </w:rPr>
      </w:pPr>
      <w:r>
        <w:rPr>
          <w:rFonts w:hint="eastAsia" w:ascii="宋体" w:hAnsi="宋体"/>
          <w:color w:val="auto"/>
          <w:sz w:val="24"/>
          <w:highlight w:val="none"/>
        </w:rPr>
        <w:t>企业法定代表人或授权委托书及被委托人身份证复印件（加盖单位公章）；</w:t>
      </w:r>
    </w:p>
    <w:p>
      <w:pPr>
        <w:pStyle w:val="27"/>
        <w:numPr>
          <w:ilvl w:val="0"/>
          <w:numId w:val="2"/>
        </w:numPr>
        <w:spacing w:line="360" w:lineRule="auto"/>
        <w:ind w:firstLineChars="0"/>
        <w:rPr>
          <w:rFonts w:ascii="宋体" w:hAnsi="宋体"/>
          <w:color w:val="auto"/>
          <w:sz w:val="24"/>
          <w:highlight w:val="none"/>
        </w:rPr>
      </w:pPr>
      <w:r>
        <w:rPr>
          <w:rFonts w:hint="eastAsia" w:ascii="宋体" w:hAnsi="宋体"/>
          <w:color w:val="auto"/>
          <w:sz w:val="24"/>
          <w:highlight w:val="none"/>
        </w:rPr>
        <w:t>投标人联系单（含电话、邮箱等）。</w:t>
      </w:r>
    </w:p>
    <w:p>
      <w:pPr>
        <w:pStyle w:val="27"/>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 xml:space="preserve">投标时间和地点： </w:t>
      </w:r>
    </w:p>
    <w:p>
      <w:pPr>
        <w:spacing w:line="360" w:lineRule="auto"/>
        <w:ind w:left="480"/>
        <w:rPr>
          <w:rFonts w:ascii="宋体" w:hAnsi="宋体"/>
          <w:color w:val="auto"/>
          <w:sz w:val="24"/>
          <w:highlight w:val="none"/>
        </w:rPr>
      </w:pPr>
      <w:r>
        <w:rPr>
          <w:rFonts w:hint="eastAsia" w:ascii="宋体" w:hAnsi="宋体"/>
          <w:color w:val="auto"/>
          <w:sz w:val="24"/>
          <w:highlight w:val="none"/>
        </w:rPr>
        <w:t>投标单位应于</w:t>
      </w:r>
      <w:r>
        <w:rPr>
          <w:rFonts w:ascii="宋体" w:hAnsi="宋体"/>
          <w:color w:val="auto"/>
          <w:sz w:val="24"/>
          <w:highlight w:val="none"/>
          <w:u w:val="single"/>
        </w:rPr>
        <w:t>2021</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29</w:t>
      </w:r>
      <w:r>
        <w:rPr>
          <w:rFonts w:hint="eastAsia" w:ascii="宋体" w:hAnsi="宋体"/>
          <w:color w:val="auto"/>
          <w:sz w:val="24"/>
          <w:highlight w:val="none"/>
          <w:u w:val="single"/>
        </w:rPr>
        <w:t>日</w:t>
      </w:r>
      <w:r>
        <w:rPr>
          <w:rFonts w:ascii="宋体" w:hAnsi="宋体"/>
          <w:color w:val="auto"/>
          <w:sz w:val="24"/>
          <w:highlight w:val="none"/>
          <w:u w:val="single"/>
        </w:rPr>
        <w:t>9</w:t>
      </w:r>
      <w:r>
        <w:rPr>
          <w:rFonts w:hint="eastAsia" w:ascii="宋体" w:hAnsi="宋体"/>
          <w:color w:val="auto"/>
          <w:sz w:val="24"/>
          <w:highlight w:val="none"/>
          <w:u w:val="single"/>
        </w:rPr>
        <w:t>:00前</w:t>
      </w:r>
      <w:r>
        <w:rPr>
          <w:rFonts w:hint="eastAsia" w:ascii="宋体" w:hAnsi="宋体"/>
          <w:color w:val="auto"/>
          <w:sz w:val="24"/>
          <w:highlight w:val="none"/>
        </w:rPr>
        <w:t>将投标文件密封交到投标地点。</w:t>
      </w:r>
    </w:p>
    <w:p>
      <w:pPr>
        <w:spacing w:line="360" w:lineRule="auto"/>
        <w:ind w:left="480"/>
        <w:rPr>
          <w:rFonts w:ascii="宋体" w:hAnsi="宋体"/>
          <w:color w:val="auto"/>
          <w:sz w:val="24"/>
          <w:highlight w:val="none"/>
        </w:rPr>
      </w:pPr>
      <w:r>
        <w:rPr>
          <w:rFonts w:hint="eastAsia" w:ascii="宋体" w:hAnsi="宋体"/>
          <w:color w:val="auto"/>
          <w:sz w:val="24"/>
          <w:highlight w:val="none"/>
        </w:rPr>
        <w:t>投标地点：快递邮寄或开标当天投标至浙江大学医学院附属第四医院行政楼104室。</w:t>
      </w:r>
    </w:p>
    <w:p>
      <w:pPr>
        <w:numPr>
          <w:ilvl w:val="0"/>
          <w:numId w:val="1"/>
        </w:numPr>
        <w:tabs>
          <w:tab w:val="left" w:pos="426"/>
          <w:tab w:val="clear" w:pos="480"/>
        </w:tabs>
        <w:spacing w:line="360" w:lineRule="auto"/>
        <w:rPr>
          <w:rFonts w:ascii="宋体" w:hAnsi="宋体"/>
          <w:color w:val="auto"/>
          <w:sz w:val="24"/>
          <w:highlight w:val="none"/>
        </w:rPr>
      </w:pPr>
      <w:r>
        <w:rPr>
          <w:rFonts w:hint="eastAsia" w:ascii="宋体" w:hAnsi="宋体"/>
          <w:color w:val="auto"/>
          <w:sz w:val="24"/>
          <w:highlight w:val="none"/>
        </w:rPr>
        <w:t>开标时间和地点：</w:t>
      </w:r>
    </w:p>
    <w:p>
      <w:pPr>
        <w:spacing w:line="360" w:lineRule="auto"/>
        <w:ind w:left="480"/>
        <w:rPr>
          <w:rFonts w:ascii="宋体" w:hAnsi="宋体"/>
          <w:color w:val="auto"/>
          <w:sz w:val="24"/>
          <w:highlight w:val="none"/>
        </w:rPr>
      </w:pPr>
      <w:r>
        <w:rPr>
          <w:rFonts w:hint="eastAsia" w:ascii="宋体" w:hAnsi="宋体"/>
          <w:color w:val="auto"/>
          <w:sz w:val="24"/>
          <w:highlight w:val="none"/>
        </w:rPr>
        <w:t>开标时间：</w:t>
      </w:r>
      <w:r>
        <w:rPr>
          <w:rFonts w:ascii="宋体" w:hAnsi="宋体"/>
          <w:color w:val="auto"/>
          <w:sz w:val="24"/>
          <w:highlight w:val="none"/>
          <w:u w:val="single"/>
        </w:rPr>
        <w:t>2021</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29</w:t>
      </w:r>
      <w:r>
        <w:rPr>
          <w:rFonts w:hint="eastAsia" w:ascii="宋体" w:hAnsi="宋体"/>
          <w:color w:val="auto"/>
          <w:sz w:val="24"/>
          <w:highlight w:val="none"/>
          <w:u w:val="single"/>
        </w:rPr>
        <w:t>日 上午</w:t>
      </w:r>
      <w:r>
        <w:rPr>
          <w:rFonts w:ascii="宋体" w:hAnsi="宋体"/>
          <w:color w:val="auto"/>
          <w:sz w:val="24"/>
          <w:highlight w:val="none"/>
          <w:u w:val="single"/>
        </w:rPr>
        <w:t>9</w:t>
      </w:r>
      <w:r>
        <w:rPr>
          <w:rFonts w:hint="eastAsia" w:ascii="宋体" w:hAnsi="宋体"/>
          <w:color w:val="auto"/>
          <w:sz w:val="24"/>
          <w:highlight w:val="none"/>
          <w:u w:val="single"/>
        </w:rPr>
        <w:t xml:space="preserve">:00 </w:t>
      </w:r>
    </w:p>
    <w:p>
      <w:pPr>
        <w:spacing w:line="360" w:lineRule="auto"/>
        <w:ind w:left="480"/>
        <w:rPr>
          <w:rFonts w:ascii="宋体" w:hAnsi="宋体"/>
          <w:color w:val="auto"/>
          <w:sz w:val="24"/>
          <w:highlight w:val="none"/>
        </w:rPr>
      </w:pPr>
      <w:r>
        <w:rPr>
          <w:rFonts w:hint="eastAsia" w:ascii="宋体" w:hAnsi="宋体"/>
          <w:color w:val="auto"/>
          <w:sz w:val="24"/>
          <w:highlight w:val="none"/>
        </w:rPr>
        <w:t>开标地点：浙江大学医学院附属第四医院行政楼104室</w:t>
      </w:r>
    </w:p>
    <w:p>
      <w:pPr>
        <w:numPr>
          <w:ilvl w:val="0"/>
          <w:numId w:val="1"/>
        </w:numPr>
        <w:tabs>
          <w:tab w:val="left" w:pos="426"/>
          <w:tab w:val="clear" w:pos="480"/>
        </w:tabs>
        <w:spacing w:line="360" w:lineRule="auto"/>
        <w:rPr>
          <w:rFonts w:ascii="宋体" w:hAnsi="宋体"/>
          <w:color w:val="auto"/>
          <w:sz w:val="24"/>
          <w:highlight w:val="none"/>
        </w:rPr>
      </w:pPr>
      <w:r>
        <w:rPr>
          <w:rFonts w:hint="eastAsia" w:ascii="宋体" w:hAnsi="宋体"/>
          <w:color w:val="auto"/>
          <w:sz w:val="24"/>
          <w:highlight w:val="none"/>
        </w:rPr>
        <w:t>联系地址和电话：</w:t>
      </w:r>
    </w:p>
    <w:p>
      <w:pPr>
        <w:spacing w:line="360" w:lineRule="auto"/>
        <w:ind w:left="480"/>
        <w:rPr>
          <w:rFonts w:ascii="宋体" w:hAnsi="宋体"/>
          <w:color w:val="auto"/>
          <w:sz w:val="24"/>
          <w:highlight w:val="none"/>
        </w:rPr>
      </w:pPr>
      <w:r>
        <w:rPr>
          <w:rFonts w:hint="eastAsia" w:ascii="宋体" w:hAnsi="宋体"/>
          <w:color w:val="auto"/>
          <w:sz w:val="24"/>
          <w:highlight w:val="none"/>
        </w:rPr>
        <w:t>地  址：浙江大学医学院附属第四医院行政楼104室</w:t>
      </w:r>
    </w:p>
    <w:p>
      <w:pPr>
        <w:spacing w:line="360" w:lineRule="auto"/>
        <w:ind w:left="480"/>
        <w:rPr>
          <w:rFonts w:ascii="宋体" w:hAnsi="宋体"/>
          <w:color w:val="auto"/>
          <w:sz w:val="24"/>
          <w:highlight w:val="none"/>
        </w:rPr>
      </w:pPr>
      <w:r>
        <w:rPr>
          <w:rFonts w:hint="eastAsia" w:ascii="宋体" w:hAnsi="宋体"/>
          <w:color w:val="auto"/>
          <w:sz w:val="24"/>
          <w:highlight w:val="none"/>
        </w:rPr>
        <w:t xml:space="preserve">联系人：吴老师 </w:t>
      </w:r>
    </w:p>
    <w:p>
      <w:pPr>
        <w:spacing w:line="360" w:lineRule="auto"/>
        <w:ind w:left="480"/>
        <w:rPr>
          <w:rFonts w:ascii="宋体" w:hAnsi="宋体"/>
          <w:color w:val="auto"/>
          <w:sz w:val="24"/>
          <w:highlight w:val="none"/>
          <w:u w:val="single"/>
        </w:rPr>
      </w:pPr>
      <w:r>
        <w:rPr>
          <w:rFonts w:hint="eastAsia" w:ascii="宋体" w:hAnsi="宋体"/>
          <w:color w:val="auto"/>
          <w:sz w:val="24"/>
          <w:highlight w:val="none"/>
        </w:rPr>
        <w:t>联系电话：</w:t>
      </w:r>
      <w:r>
        <w:rPr>
          <w:rFonts w:hint="eastAsia" w:ascii="宋体" w:hAnsi="宋体"/>
          <w:color w:val="auto"/>
          <w:sz w:val="24"/>
          <w:highlight w:val="none"/>
          <w:u w:val="single"/>
        </w:rPr>
        <w:t xml:space="preserve"> 0579-89935103</w:t>
      </w:r>
    </w:p>
    <w:p>
      <w:pPr>
        <w:widowControl/>
        <w:spacing w:line="420" w:lineRule="atLeast"/>
        <w:rPr>
          <w:rFonts w:ascii="宋体" w:hAnsi="宋体"/>
          <w:color w:val="auto"/>
          <w:sz w:val="24"/>
          <w:highlight w:val="none"/>
        </w:rPr>
      </w:pPr>
      <w:r>
        <w:rPr>
          <w:rFonts w:ascii="宋体" w:hAnsi="宋体"/>
          <w:color w:val="auto"/>
          <w:sz w:val="24"/>
          <w:highlight w:val="none"/>
        </w:rPr>
        <w:t>十五</w:t>
      </w:r>
      <w:r>
        <w:rPr>
          <w:rFonts w:hint="eastAsia" w:ascii="宋体" w:hAnsi="宋体"/>
          <w:color w:val="auto"/>
          <w:sz w:val="24"/>
          <w:highlight w:val="none"/>
        </w:rPr>
        <w:t>、</w:t>
      </w:r>
      <w:r>
        <w:rPr>
          <w:rFonts w:ascii="宋体" w:hAnsi="宋体"/>
          <w:color w:val="auto"/>
          <w:sz w:val="24"/>
          <w:highlight w:val="none"/>
        </w:rPr>
        <w:t>其他</w:t>
      </w:r>
    </w:p>
    <w:p>
      <w:pPr>
        <w:widowControl/>
        <w:spacing w:line="420" w:lineRule="atLeas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1</w:t>
      </w:r>
      <w:r>
        <w:rPr>
          <w:rFonts w:hint="eastAsia" w:ascii="宋体" w:hAnsi="宋体"/>
          <w:color w:val="auto"/>
          <w:sz w:val="24"/>
          <w:highlight w:val="none"/>
        </w:rPr>
        <w:t>、</w:t>
      </w:r>
      <w:r>
        <w:rPr>
          <w:rFonts w:ascii="宋体" w:hAnsi="宋体"/>
          <w:color w:val="auto"/>
          <w:sz w:val="24"/>
          <w:highlight w:val="none"/>
        </w:rPr>
        <w:t>“★”标记系指必须满足不能负偏离或必须应答的条款。如不能响应</w:t>
      </w:r>
      <w:r>
        <w:rPr>
          <w:rFonts w:hint="eastAsia" w:ascii="宋体" w:hAnsi="宋体"/>
          <w:color w:val="auto"/>
          <w:sz w:val="24"/>
          <w:highlight w:val="none"/>
        </w:rPr>
        <w:t>，</w:t>
      </w:r>
      <w:r>
        <w:rPr>
          <w:rFonts w:ascii="宋体" w:hAnsi="宋体"/>
          <w:color w:val="auto"/>
          <w:sz w:val="24"/>
          <w:highlight w:val="none"/>
        </w:rPr>
        <w:t>作废标处理</w:t>
      </w:r>
      <w:r>
        <w:rPr>
          <w:rFonts w:hint="eastAsia" w:ascii="宋体" w:hAnsi="宋体"/>
          <w:color w:val="auto"/>
          <w:sz w:val="24"/>
          <w:highlight w:val="none"/>
        </w:rPr>
        <w:t>。</w:t>
      </w: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pStyle w:val="2"/>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hint="eastAsia" w:ascii="宋体" w:hAnsi="宋体" w:cs="宋体"/>
          <w:color w:val="auto"/>
          <w:kern w:val="0"/>
          <w:sz w:val="24"/>
          <w:szCs w:val="24"/>
          <w:highlight w:val="none"/>
        </w:rPr>
      </w:pPr>
    </w:p>
    <w:p>
      <w:pPr>
        <w:autoSpaceDE w:val="0"/>
        <w:autoSpaceDN w:val="0"/>
        <w:adjustRightInd w:val="0"/>
        <w:spacing w:line="360" w:lineRule="auto"/>
        <w:jc w:val="center"/>
        <w:rPr>
          <w:rFonts w:ascii="宋体" w:hAnsi="宋体"/>
          <w:b/>
          <w:bCs/>
          <w:color w:val="auto"/>
          <w:sz w:val="30"/>
          <w:szCs w:val="30"/>
          <w:highlight w:val="none"/>
          <w:lang w:val="zh-CN"/>
        </w:rPr>
      </w:pPr>
      <w:r>
        <w:rPr>
          <w:rFonts w:ascii="宋体" w:hAnsi="宋体"/>
          <w:b/>
          <w:bCs/>
          <w:color w:val="auto"/>
          <w:sz w:val="30"/>
          <w:szCs w:val="30"/>
          <w:highlight w:val="none"/>
          <w:lang w:val="zh-CN"/>
        </w:rPr>
        <w:t>第二章</w:t>
      </w:r>
      <w:r>
        <w:rPr>
          <w:rFonts w:hint="eastAsia" w:ascii="宋体" w:hAnsi="宋体"/>
          <w:b/>
          <w:bCs/>
          <w:color w:val="auto"/>
          <w:sz w:val="30"/>
          <w:szCs w:val="30"/>
          <w:highlight w:val="none"/>
          <w:lang w:val="zh-CN"/>
        </w:rPr>
        <w:t xml:space="preserve"> </w:t>
      </w:r>
      <w:r>
        <w:rPr>
          <w:rFonts w:ascii="宋体" w:hAnsi="宋体"/>
          <w:b/>
          <w:bCs/>
          <w:color w:val="auto"/>
          <w:sz w:val="30"/>
          <w:szCs w:val="30"/>
          <w:highlight w:val="none"/>
          <w:lang w:val="zh-CN"/>
        </w:rPr>
        <w:t>投标须知</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1、适用范围</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1.1 本招标文件仅适用于本次招标采购所叙述的服务项目。</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2、定义</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2.1采购人：系指</w:t>
      </w:r>
      <w:r>
        <w:rPr>
          <w:rFonts w:hint="eastAsia" w:ascii="宋体" w:hAnsi="宋体"/>
          <w:color w:val="auto"/>
          <w:sz w:val="24"/>
          <w:szCs w:val="21"/>
          <w:highlight w:val="none"/>
        </w:rPr>
        <w:t>浙江大学医学院附属第四医院</w:t>
      </w:r>
      <w:r>
        <w:rPr>
          <w:rFonts w:ascii="宋体" w:hAnsi="宋体"/>
          <w:color w:val="auto"/>
          <w:sz w:val="24"/>
          <w:szCs w:val="21"/>
          <w:highlight w:val="none"/>
        </w:rPr>
        <w:t>。</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2.2投标人：系指符合采购公告要求的投标供应商。</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2.3服务：系指招标文件规定投标人须承担的运输、技术支持、培训、维修保养及其它类似的服务。</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2.4货物：系指按招标文件规定投标人须向采购人提供的一切材料、设备、机械、仪器仪表、工具及其它有关技术资料和文字材料。</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2.5甲方：即采购人，在招投标阶段称为采购人，在签订和执行合同阶段称为甲方。</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2.6乙方：在招投标阶段称为投标人，中标后在签订和执行合同阶段称为乙方。</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2.7“原产地”是指货物开采、生长或生产、或提供有关服务的来源地。</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2.8“★”标记系指必须满足不能负偏离或必须应答的条款。</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3、合格的投标人</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3.1具有独立法人资格。</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3.2法律、行政法规规定的其它条件。</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3.3 该行业国家规定必备的资质、资格。</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3.4采购公告中要求的条件。</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4、保证</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4.1投标单位应保证所提交给招标机构和采购人的资料和数据是真实的。</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 xml:space="preserve">5、现场勘察 </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5.1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 xml:space="preserve">5.2投标单位在考察过程中发生的各类事件及所发生的各项费用，均由投标单位自行承担。采购人和代理机构概不负责。 </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5.3采购人向投标单位提供的有关现场的数据和资料，是采购人现有的能被投标人利用的资料，采购人对投标人据此做出的任何推论、理解和结论不负责任。</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5.4现场踏勘完毕，将认为投标人己了解现场情况，并充分理解了为之所承担的风险、义务和责任。</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6、联合体投标</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本项目不接受联合体投标。</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7、投标人发生下列情况之一时，除严格依法依规进行处理外，还将通报市信用管理部门，列入严重失信名单：</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（1）投标人在规定的投标有效期内撤回投标或放弃中标的；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（2）有意串标或提供虚假材料者的；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（3）中标人在收到中标通知书后，因自身原因不能在投标有效期内和采购人签订合同。</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（4）中标人未在规定时间缴纳招标代理费的。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（5）中标供应商在标后履约过程中未按合同约定的期限和要求履约的。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（6）因中标供应商原因在标后履约过程中擅自终止合同的。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（7）不符合招标文件要求的其他失信行为。</w:t>
      </w:r>
    </w:p>
    <w:p>
      <w:pPr>
        <w:spacing w:line="360" w:lineRule="auto"/>
        <w:rPr>
          <w:b/>
          <w:color w:val="auto"/>
          <w:sz w:val="36"/>
          <w:szCs w:val="36"/>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ind w:firstLine="321" w:firstLineChars="100"/>
        <w:jc w:val="center"/>
        <w:rPr>
          <w:rFonts w:ascii="宋体" w:hAnsi="宋体"/>
          <w:b/>
          <w:color w:val="auto"/>
          <w:sz w:val="32"/>
          <w:szCs w:val="32"/>
          <w:highlight w:val="none"/>
        </w:rPr>
      </w:pPr>
      <w:r>
        <w:rPr>
          <w:rFonts w:hint="eastAsia" w:ascii="宋体" w:hAnsi="宋体"/>
          <w:b/>
          <w:color w:val="auto"/>
          <w:sz w:val="32"/>
          <w:szCs w:val="32"/>
          <w:highlight w:val="none"/>
        </w:rPr>
        <w:t>第三章   项目概况及要求</w:t>
      </w:r>
    </w:p>
    <w:p>
      <w:pPr>
        <w:spacing w:line="360" w:lineRule="auto"/>
        <w:rPr>
          <w:rFonts w:ascii="宋体" w:hAnsi="宋体"/>
          <w:b/>
          <w:color w:val="auto"/>
          <w:sz w:val="24"/>
          <w:szCs w:val="24"/>
          <w:highlight w:val="none"/>
        </w:rPr>
      </w:pPr>
      <w:r>
        <w:rPr>
          <w:rFonts w:ascii="宋体" w:hAnsi="宋体"/>
          <w:b/>
          <w:color w:val="auto"/>
          <w:sz w:val="28"/>
          <w:szCs w:val="28"/>
          <w:highlight w:val="none"/>
        </w:rPr>
        <w:t>一</w:t>
      </w:r>
      <w:r>
        <w:rPr>
          <w:rFonts w:hint="eastAsia" w:ascii="宋体" w:hAnsi="宋体"/>
          <w:b/>
          <w:color w:val="auto"/>
          <w:sz w:val="28"/>
          <w:szCs w:val="28"/>
          <w:highlight w:val="none"/>
        </w:rPr>
        <w:t>、</w:t>
      </w:r>
      <w:r>
        <w:rPr>
          <w:rFonts w:ascii="宋体" w:hAnsi="宋体"/>
          <w:b/>
          <w:color w:val="auto"/>
          <w:sz w:val="28"/>
          <w:szCs w:val="28"/>
          <w:highlight w:val="none"/>
        </w:rPr>
        <w:t>项目概况</w:t>
      </w:r>
    </w:p>
    <w:p>
      <w:pPr>
        <w:spacing w:line="360" w:lineRule="auto"/>
        <w:ind w:firstLine="480" w:firstLineChars="200"/>
        <w:rPr>
          <w:rFonts w:hint="default" w:ascii="Times New Roman" w:hAnsi="Times New Roman" w:eastAsia="宋体" w:cs="Times New Roman"/>
          <w:b/>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本次招标项目位于浙江省义乌市，位于市场中心，交通便捷。本次维保共有300KVA的工频台达机组2套，80KVA的高频台达机组2套，60KVA的高频台达机组1套。出厂时间为2013年，所有设备均无大修经历。另有小功率10KVA、20KVA、40KVA三相输出UPS各一台。</w:t>
      </w:r>
    </w:p>
    <w:p>
      <w:pPr>
        <w:spacing w:line="360" w:lineRule="auto"/>
        <w:rPr>
          <w:rFonts w:ascii="宋体" w:hAnsi="宋体"/>
          <w:b/>
          <w:color w:val="auto"/>
          <w:sz w:val="28"/>
          <w:szCs w:val="28"/>
          <w:highlight w:val="none"/>
        </w:rPr>
      </w:pPr>
      <w:r>
        <w:rPr>
          <w:rFonts w:hint="eastAsia" w:ascii="宋体" w:hAnsi="宋体"/>
          <w:b/>
          <w:color w:val="auto"/>
          <w:sz w:val="28"/>
          <w:szCs w:val="28"/>
          <w:highlight w:val="none"/>
        </w:rPr>
        <w:t>二</w:t>
      </w:r>
      <w:r>
        <w:rPr>
          <w:rFonts w:ascii="宋体" w:hAnsi="宋体"/>
          <w:b/>
          <w:color w:val="auto"/>
          <w:sz w:val="28"/>
          <w:szCs w:val="28"/>
          <w:highlight w:val="none"/>
        </w:rPr>
        <w:t>、服务要求</w:t>
      </w: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 承包方承担维护保障工作，建立稳定可靠的维护队伍和维护保障运作体系，设立 24 小时服务热线，配备足够的维护人员、维修工具和车辆等后勤保证；</w:t>
      </w:r>
    </w:p>
    <w:p>
      <w:pPr>
        <w:spacing w:line="360" w:lineRule="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2. 所有UPS设备</w:t>
      </w:r>
      <w:r>
        <w:rPr>
          <w:rFonts w:hint="default" w:ascii="Times New Roman" w:hAnsi="Times New Roman" w:eastAsia="宋体" w:cs="Times New Roman"/>
          <w:color w:val="auto"/>
          <w:sz w:val="24"/>
          <w:szCs w:val="24"/>
          <w:highlight w:val="none"/>
          <w:lang w:eastAsia="zh-CN"/>
        </w:rPr>
        <w:t>包含所有易损件免费更换</w:t>
      </w:r>
      <w:r>
        <w:rPr>
          <w:rFonts w:hint="default" w:ascii="Times New Roman" w:hAnsi="Times New Roman" w:eastAsia="宋体" w:cs="Times New Roman"/>
          <w:color w:val="auto"/>
          <w:sz w:val="24"/>
          <w:szCs w:val="24"/>
          <w:highlight w:val="none"/>
        </w:rPr>
        <w:t>（不包含人为故障、不可抗力和移机）</w:t>
      </w:r>
      <w:r>
        <w:rPr>
          <w:rFonts w:hint="default" w:ascii="Times New Roman" w:hAnsi="Times New Roman" w:eastAsia="宋体" w:cs="Times New Roman"/>
          <w:color w:val="auto"/>
          <w:sz w:val="24"/>
          <w:szCs w:val="24"/>
          <w:highlight w:val="none"/>
          <w:lang w:eastAsia="zh-CN"/>
        </w:rPr>
        <w:t>，蓄电池损坏更换除外。</w:t>
      </w: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 依据双方的协议检查设备的运行状况，并在巡检前三天内向用户方提交巡检计划，并于巡检结束后三天内，向院方提交详细的巡检报告；</w:t>
      </w: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 对于院方发出的维护、故障修理和抢修通知，承包方应及时提供有效地服务；</w:t>
      </w: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 每次维护、修理和抢修任务完成后，向院方提交详细的工作报告并取得认可；</w:t>
      </w: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 对维护区域内的每台设备建立完整的电子化的用户跟踪档案，并根据 UPS 电源的运行状况和维修状况进行随时更新，院方有权共享该档案并作随时检查；</w:t>
      </w: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 进行日常巡检和故障处理时，自行提供各种仪表、工具；</w:t>
      </w: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 配合院方进行抢险救灾和应急保障工作，在自然灾害易发期间（台风、雨季），自动纳入院方抢险组织统一调度；</w:t>
      </w: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 授权维护人员严格按相关安全生产操作规程进行工作，任何由于授权维护人员自身行为所造成的一切人身财产损失由承包方自行负责，造成院方损失的，承包方应承担相应的赔偿责任；</w:t>
      </w: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 授权维护人员在提供现场维护保障服务时，在着装、行为方面时刻维护局方的企业形象；</w:t>
      </w:r>
    </w:p>
    <w:p>
      <w:pPr>
        <w:spacing w:line="360" w:lineRule="auto"/>
        <w:rPr>
          <w:rFonts w:hint="default" w:ascii="Times New Roman" w:hAnsi="Times New Roman" w:eastAsia="宋体" w:cs="Times New Roman"/>
          <w:color w:val="auto"/>
          <w:sz w:val="24"/>
          <w:szCs w:val="24"/>
          <w:highlight w:val="none"/>
          <w:lang w:val="en-GB" w:eastAsia="zh-CN"/>
        </w:rPr>
      </w:pPr>
      <w:r>
        <w:rPr>
          <w:rFonts w:hint="default" w:ascii="Times New Roman" w:hAnsi="Times New Roman" w:eastAsia="宋体" w:cs="Times New Roman"/>
          <w:color w:val="auto"/>
          <w:sz w:val="24"/>
          <w:szCs w:val="24"/>
          <w:highlight w:val="none"/>
        </w:rPr>
        <w:t>11. 一旦接到院方故障报修，</w:t>
      </w:r>
      <w:r>
        <w:rPr>
          <w:rFonts w:hint="default" w:ascii="Times New Roman" w:hAnsi="Times New Roman" w:eastAsia="宋体" w:cs="Times New Roman"/>
          <w:color w:val="auto"/>
          <w:sz w:val="24"/>
          <w:szCs w:val="24"/>
          <w:highlight w:val="none"/>
          <w:lang w:val="en-US" w:eastAsia="zh-CN"/>
        </w:rPr>
        <w:t xml:space="preserve">一级故障2小时内抵达现场解决，必要时替换备品备件； </w:t>
      </w:r>
      <w:r>
        <w:rPr>
          <w:rFonts w:hint="default" w:ascii="Times New Roman" w:hAnsi="Times New Roman" w:eastAsia="宋体" w:cs="Times New Roman"/>
          <w:color w:val="auto"/>
          <w:sz w:val="24"/>
          <w:szCs w:val="24"/>
          <w:highlight w:val="none"/>
          <w:lang w:val="en-GB" w:eastAsia="zh-CN"/>
        </w:rPr>
        <w:t>二级故障</w:t>
      </w:r>
      <w:r>
        <w:rPr>
          <w:rFonts w:hint="default" w:ascii="Times New Roman" w:hAnsi="Times New Roman" w:eastAsia="宋体" w:cs="Times New Roman"/>
          <w:color w:val="auto"/>
          <w:sz w:val="24"/>
          <w:szCs w:val="24"/>
          <w:highlight w:val="none"/>
          <w:lang w:val="en-US" w:eastAsia="zh-CN"/>
        </w:rPr>
        <w:t>4小时内抵达现场解决，必要时替换备品备件；</w:t>
      </w:r>
      <w:r>
        <w:rPr>
          <w:rFonts w:hint="default" w:ascii="Times New Roman" w:hAnsi="Times New Roman" w:eastAsia="宋体" w:cs="Times New Roman"/>
          <w:color w:val="auto"/>
          <w:sz w:val="24"/>
          <w:szCs w:val="24"/>
          <w:highlight w:val="none"/>
          <w:lang w:val="en-GB" w:eastAsia="zh-CN"/>
        </w:rPr>
        <w:t>三级故障</w:t>
      </w:r>
      <w:r>
        <w:rPr>
          <w:rFonts w:hint="default" w:ascii="Times New Roman" w:hAnsi="Times New Roman" w:eastAsia="宋体" w:cs="Times New Roman"/>
          <w:color w:val="auto"/>
          <w:sz w:val="24"/>
          <w:szCs w:val="24"/>
          <w:highlight w:val="none"/>
          <w:lang w:val="en-US" w:eastAsia="zh-CN"/>
        </w:rPr>
        <w:t>2个工作日内解决。（一级故障：a、动力系统、UPS系统停止工作；b、引起严重社会影响；c、引起信息安全问题； 二级故障:d、动力系统、UPS系统出现故障告警，但仍可工作；e、安防防雷、动力环境、KVM系统出现故障；f、有转化为一级故障（的）隐患；三级故障：其他情况）</w:t>
      </w: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12、承包方应每季度派遣专业技术工程师定期对运行的设备实施现场检查，及时发现设备运行中出现的隐患，降低设备发生故障的概率，保证设备的稳定运行。对院方的值班人员进行培训，每年不得少于</w:t>
      </w:r>
      <w:r>
        <w:rPr>
          <w:rFonts w:hint="default" w:ascii="Times New Roman" w:hAnsi="Times New Roman" w:eastAsia="宋体"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次。</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13、主机及电池检测</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1）检查控制面板：确认所有LED指示正常，液晶屏显示的所有参数正常，面板上没有报警；</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2）检查机柜内各风扇输出处无明显的高温；</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3）有无异常噪声；</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4）确认通风栅格无阻塞；</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5）检查所有风机是否运行正常，确认风机风向正确；</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6）测量并记录电池充电电压；</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7）测量并记录电池充电电流；</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8）测量并记录UPS三相输出电压；</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9）测量并记录UPS输出各相电流；</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10）确定显示控制面板显示测量值与对应的计算值一致性；</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11）用低压空气吹去外部碎屑；</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12）进行机内断电除尘（包括电路板除尘所以需切换到旁路模式供电每年一次）；</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13）输入/输出电缆绝缘外套和连接端检查并紧固；</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14）防雷检查，检测UPS内部防雷器是否正常；</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15）外配电池进行定期检查，电池因一直处于充电状态这样会使电池的活性变差,因此即使不停电， UPS也需要定期进行放电试验以便电池保持活性；</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16）检查电池后备时间，进行电池放电容量测试；</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17）检查蓄电池电池柜、支架的清洁，紧固松动的螺丝，保持蓄电池连接良好，防止大电流放电时产生打火和过大的压降；</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18）检查蓄电池绝缘；</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19）检查蓄电池的总电压，观察“标示电池”的端电压，普测单节电池的电压，对“落后”电池进行补充充电，清除漏出的电液；</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20）采用控制系统安全可靠的放电；</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21）下载UPS历史数据提供甲方参考；</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22）检测电池接触器；</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检查整流模块</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检查逆变模块</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检查充电模块</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检查辅助电源电路</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检查输入滤波电路</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检查输出滤波电路</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检查逆变输出变压器</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检查通讯板</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检查显示板                                                                                                                                             23)用 UPS 专业维护检测软件 PSet 进行 UPS 内部原件检测及数据提供给用户进行测试及电池参数、充电电流、 A/B/C三相电压校准等各项设置优化；</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24）蓄电池充放电保护器检测；</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25）蓄电池直流线承载检测；</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26）用蓄电池能量检测仪对每一节电池分别进行能量检测；</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27）UPS告警器状态测试；</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28）UPS系统环境测量。  </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14、UPS外部配电系统检测：</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1）UPS输入外部市电输入断路器容量及状态；</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2）UPS输出断路器容量及状态；</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3）输入电缆线径及输出线缆线径是否安全；</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4）接地线是否符合安全标准；</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5）零地电压；</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 三相负载的均衡度检测及建议。</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三、考核</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医院方每季度根据附件考核标准对乙方进行考核。考核分达到90分以上(含90分)为合格。如考核得分90分以下每少1分罚人民币</w:t>
      </w: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00元，中标方次季度提交罚款的金额。一个外包年度内共计有两个季度考核得分低于85分，医院方有权提前终止合同</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并追究中标方违约责任。</w:t>
      </w:r>
    </w:p>
    <w:p>
      <w:pPr>
        <w:spacing w:line="360" w:lineRule="auto"/>
        <w:ind w:firstLine="480" w:firstLineChars="200"/>
        <w:rPr>
          <w:rFonts w:ascii="宋体" w:hAnsi="宋体" w:cs="Courier New"/>
          <w:color w:val="auto"/>
          <w:sz w:val="24"/>
          <w:szCs w:val="24"/>
          <w:highlight w:val="none"/>
        </w:rPr>
      </w:pPr>
    </w:p>
    <w:p>
      <w:pPr>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考核条款如下：</w:t>
      </w:r>
    </w:p>
    <w:tbl>
      <w:tblPr>
        <w:tblStyle w:val="15"/>
        <w:tblW w:w="4870" w:type="pct"/>
        <w:tblInd w:w="25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91"/>
        <w:gridCol w:w="5914"/>
        <w:gridCol w:w="1651"/>
        <w:gridCol w:w="82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2" w:hRule="atLeast"/>
        </w:trPr>
        <w:tc>
          <w:tcPr>
            <w:tcW w:w="5000" w:type="pct"/>
            <w:gridSpan w:val="4"/>
            <w:noWrap w:val="0"/>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lang w:val="en-US" w:eastAsia="zh-CN"/>
              </w:rPr>
              <w:t xml:space="preserve">                    浙大四院UPS机组维保服务季度考核表                年第 季度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529" w:type="pct"/>
            <w:noWrap w:val="0"/>
            <w:vAlign w:val="center"/>
          </w:tcPr>
          <w:p>
            <w:pPr>
              <w:widowControl/>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序号</w:t>
            </w:r>
          </w:p>
        </w:tc>
        <w:tc>
          <w:tcPr>
            <w:tcW w:w="3153" w:type="pct"/>
            <w:noWrap w:val="0"/>
            <w:vAlign w:val="center"/>
          </w:tcPr>
          <w:p>
            <w:pPr>
              <w:widowControl/>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考核内容</w:t>
            </w:r>
          </w:p>
        </w:tc>
        <w:tc>
          <w:tcPr>
            <w:tcW w:w="880" w:type="pct"/>
            <w:noWrap w:val="0"/>
            <w:vAlign w:val="center"/>
          </w:tcPr>
          <w:p>
            <w:pPr>
              <w:widowControl/>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评分标准</w:t>
            </w:r>
          </w:p>
        </w:tc>
        <w:tc>
          <w:tcPr>
            <w:tcW w:w="437" w:type="pct"/>
            <w:noWrap w:val="0"/>
            <w:vAlign w:val="center"/>
          </w:tcPr>
          <w:p>
            <w:pPr>
              <w:widowControl/>
              <w:jc w:val="center"/>
              <w:rPr>
                <w:rFonts w:ascii="宋体" w:hAnsi="宋体"/>
                <w:color w:val="auto"/>
                <w:kern w:val="0"/>
                <w:szCs w:val="21"/>
                <w:highlight w:val="none"/>
              </w:rPr>
            </w:pPr>
            <w:r>
              <w:rPr>
                <w:rFonts w:ascii="宋体" w:hAnsi="宋体"/>
                <w:color w:val="auto"/>
                <w:kern w:val="0"/>
                <w:szCs w:val="21"/>
                <w:highlight w:val="none"/>
              </w:rPr>
              <w:t>扣 分 情 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trPr>
        <w:tc>
          <w:tcPr>
            <w:tcW w:w="529" w:type="pct"/>
            <w:noWrap w:val="0"/>
            <w:vAlign w:val="center"/>
          </w:tcPr>
          <w:p>
            <w:pPr>
              <w:widowControl/>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1</w:t>
            </w:r>
          </w:p>
        </w:tc>
        <w:tc>
          <w:tcPr>
            <w:tcW w:w="3153" w:type="pct"/>
            <w:noWrap w:val="0"/>
            <w:vAlign w:val="center"/>
          </w:tcPr>
          <w:p>
            <w:pPr>
              <w:widowControl/>
              <w:jc w:val="left"/>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出现故障响应时间，10分钟内响应，提供远程技术支持</w:t>
            </w:r>
          </w:p>
        </w:tc>
        <w:tc>
          <w:tcPr>
            <w:tcW w:w="880" w:type="pct"/>
            <w:noWrap w:val="0"/>
            <w:vAlign w:val="center"/>
          </w:tcPr>
          <w:p>
            <w:pPr>
              <w:widowControl/>
              <w:jc w:val="left"/>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违反每次扣2分</w:t>
            </w:r>
          </w:p>
        </w:tc>
        <w:tc>
          <w:tcPr>
            <w:tcW w:w="437" w:type="pct"/>
            <w:noWrap w:val="0"/>
            <w:vAlign w:val="center"/>
          </w:tcPr>
          <w:p>
            <w:pPr>
              <w:widowControl/>
              <w:jc w:val="center"/>
              <w:rPr>
                <w:rFonts w:ascii="宋体" w:hAnsi="宋体"/>
                <w:color w:val="auto"/>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trPr>
        <w:tc>
          <w:tcPr>
            <w:tcW w:w="529" w:type="pct"/>
            <w:noWrap w:val="0"/>
            <w:vAlign w:val="center"/>
          </w:tcPr>
          <w:p>
            <w:pPr>
              <w:widowControl/>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2</w:t>
            </w:r>
          </w:p>
        </w:tc>
        <w:tc>
          <w:tcPr>
            <w:tcW w:w="3153" w:type="pct"/>
            <w:noWrap w:val="0"/>
            <w:vAlign w:val="center"/>
          </w:tcPr>
          <w:p>
            <w:pPr>
              <w:widowControl/>
              <w:jc w:val="left"/>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严格按照投标文件内的要求对机组进行保养，每少做一项扣2分</w:t>
            </w:r>
          </w:p>
        </w:tc>
        <w:tc>
          <w:tcPr>
            <w:tcW w:w="880" w:type="pct"/>
            <w:noWrap w:val="0"/>
            <w:vAlign w:val="center"/>
          </w:tcPr>
          <w:p>
            <w:pPr>
              <w:widowControl/>
              <w:jc w:val="left"/>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最高可扣40分</w:t>
            </w:r>
          </w:p>
        </w:tc>
        <w:tc>
          <w:tcPr>
            <w:tcW w:w="437" w:type="pct"/>
            <w:noWrap w:val="0"/>
            <w:vAlign w:val="center"/>
          </w:tcPr>
          <w:p>
            <w:pPr>
              <w:widowControl/>
              <w:jc w:val="center"/>
              <w:rPr>
                <w:rFonts w:ascii="宋体" w:hAnsi="宋体"/>
                <w:color w:val="auto"/>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trPr>
        <w:tc>
          <w:tcPr>
            <w:tcW w:w="529" w:type="pct"/>
            <w:noWrap w:val="0"/>
            <w:vAlign w:val="center"/>
          </w:tcPr>
          <w:p>
            <w:pPr>
              <w:widowControl/>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w:t>
            </w:r>
          </w:p>
        </w:tc>
        <w:tc>
          <w:tcPr>
            <w:tcW w:w="3153" w:type="pct"/>
            <w:noWrap w:val="0"/>
            <w:vAlign w:val="center"/>
          </w:tcPr>
          <w:p>
            <w:pPr>
              <w:widowControl/>
              <w:jc w:val="left"/>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员工持证上岗</w:t>
            </w:r>
          </w:p>
        </w:tc>
        <w:tc>
          <w:tcPr>
            <w:tcW w:w="880" w:type="pct"/>
            <w:noWrap w:val="0"/>
            <w:vAlign w:val="center"/>
          </w:tcPr>
          <w:p>
            <w:pPr>
              <w:widowControl/>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违反每次扣2分</w:t>
            </w:r>
          </w:p>
        </w:tc>
        <w:tc>
          <w:tcPr>
            <w:tcW w:w="437" w:type="pct"/>
            <w:noWrap w:val="0"/>
            <w:vAlign w:val="center"/>
          </w:tcPr>
          <w:p>
            <w:pPr>
              <w:widowControl/>
              <w:jc w:val="center"/>
              <w:rPr>
                <w:rFonts w:ascii="宋体" w:hAnsi="宋体"/>
                <w:color w:val="auto"/>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trPr>
        <w:tc>
          <w:tcPr>
            <w:tcW w:w="529" w:type="pct"/>
            <w:noWrap w:val="0"/>
            <w:vAlign w:val="center"/>
          </w:tcPr>
          <w:p>
            <w:pPr>
              <w:widowControl/>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4</w:t>
            </w:r>
          </w:p>
        </w:tc>
        <w:tc>
          <w:tcPr>
            <w:tcW w:w="3153" w:type="pct"/>
            <w:noWrap w:val="0"/>
            <w:vAlign w:val="center"/>
          </w:tcPr>
          <w:p>
            <w:pPr>
              <w:widowControl/>
              <w:jc w:val="both"/>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按规范着装</w:t>
            </w:r>
          </w:p>
        </w:tc>
        <w:tc>
          <w:tcPr>
            <w:tcW w:w="880" w:type="pct"/>
            <w:noWrap w:val="0"/>
            <w:vAlign w:val="center"/>
          </w:tcPr>
          <w:p>
            <w:pPr>
              <w:widowControl/>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违反每次扣1分</w:t>
            </w:r>
          </w:p>
        </w:tc>
        <w:tc>
          <w:tcPr>
            <w:tcW w:w="437" w:type="pct"/>
            <w:noWrap w:val="0"/>
            <w:vAlign w:val="center"/>
          </w:tcPr>
          <w:p>
            <w:pPr>
              <w:widowControl/>
              <w:jc w:val="center"/>
              <w:rPr>
                <w:rFonts w:ascii="宋体" w:hAnsi="宋体"/>
                <w:color w:val="auto"/>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trPr>
        <w:tc>
          <w:tcPr>
            <w:tcW w:w="529" w:type="pct"/>
            <w:noWrap w:val="0"/>
            <w:vAlign w:val="center"/>
          </w:tcPr>
          <w:p>
            <w:pPr>
              <w:widowControl/>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5</w:t>
            </w:r>
          </w:p>
        </w:tc>
        <w:tc>
          <w:tcPr>
            <w:tcW w:w="3153" w:type="pct"/>
            <w:noWrap w:val="0"/>
            <w:vAlign w:val="center"/>
          </w:tcPr>
          <w:p>
            <w:pPr>
              <w:widowControl/>
              <w:jc w:val="both"/>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严禁在机房内吸烟</w:t>
            </w:r>
          </w:p>
        </w:tc>
        <w:tc>
          <w:tcPr>
            <w:tcW w:w="880" w:type="pct"/>
            <w:noWrap w:val="0"/>
            <w:vAlign w:val="center"/>
          </w:tcPr>
          <w:p>
            <w:pPr>
              <w:widowControl/>
              <w:jc w:val="left"/>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违反每次扣5分，并处罚款1000元</w:t>
            </w:r>
          </w:p>
        </w:tc>
        <w:tc>
          <w:tcPr>
            <w:tcW w:w="437" w:type="pct"/>
            <w:noWrap w:val="0"/>
            <w:vAlign w:val="center"/>
          </w:tcPr>
          <w:p>
            <w:pPr>
              <w:widowControl/>
              <w:jc w:val="center"/>
              <w:rPr>
                <w:rFonts w:ascii="宋体" w:hAnsi="宋体"/>
                <w:color w:val="auto"/>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trPr>
        <w:tc>
          <w:tcPr>
            <w:tcW w:w="529" w:type="pct"/>
            <w:noWrap w:val="0"/>
            <w:vAlign w:val="center"/>
          </w:tcPr>
          <w:p>
            <w:pPr>
              <w:widowControl/>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6</w:t>
            </w:r>
          </w:p>
        </w:tc>
        <w:tc>
          <w:tcPr>
            <w:tcW w:w="3153" w:type="pct"/>
            <w:noWrap w:val="0"/>
            <w:vAlign w:val="center"/>
          </w:tcPr>
          <w:p>
            <w:pPr>
              <w:widowControl/>
              <w:jc w:val="both"/>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文明用语，微笑服务</w:t>
            </w:r>
          </w:p>
        </w:tc>
        <w:tc>
          <w:tcPr>
            <w:tcW w:w="880" w:type="pct"/>
            <w:noWrap w:val="0"/>
            <w:vAlign w:val="center"/>
          </w:tcPr>
          <w:p>
            <w:pPr>
              <w:widowControl/>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违反每次扣1分</w:t>
            </w:r>
          </w:p>
        </w:tc>
        <w:tc>
          <w:tcPr>
            <w:tcW w:w="437" w:type="pct"/>
            <w:noWrap w:val="0"/>
            <w:vAlign w:val="center"/>
          </w:tcPr>
          <w:p>
            <w:pPr>
              <w:widowControl/>
              <w:jc w:val="center"/>
              <w:rPr>
                <w:rFonts w:ascii="宋体" w:hAnsi="宋体"/>
                <w:color w:val="auto"/>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trPr>
        <w:tc>
          <w:tcPr>
            <w:tcW w:w="529" w:type="pct"/>
            <w:noWrap w:val="0"/>
            <w:vAlign w:val="center"/>
          </w:tcPr>
          <w:p>
            <w:pPr>
              <w:widowControl/>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7</w:t>
            </w:r>
          </w:p>
        </w:tc>
        <w:tc>
          <w:tcPr>
            <w:tcW w:w="3153" w:type="pct"/>
            <w:noWrap w:val="0"/>
            <w:vAlign w:val="center"/>
          </w:tcPr>
          <w:p>
            <w:pPr>
              <w:widowControl/>
              <w:jc w:val="both"/>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保证工作厂内整洁，清理维保后的现场</w:t>
            </w:r>
          </w:p>
        </w:tc>
        <w:tc>
          <w:tcPr>
            <w:tcW w:w="880" w:type="pct"/>
            <w:noWrap w:val="0"/>
            <w:vAlign w:val="center"/>
          </w:tcPr>
          <w:p>
            <w:pPr>
              <w:widowControl/>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违反每次扣2分</w:t>
            </w:r>
          </w:p>
        </w:tc>
        <w:tc>
          <w:tcPr>
            <w:tcW w:w="437" w:type="pct"/>
            <w:noWrap w:val="0"/>
            <w:vAlign w:val="center"/>
          </w:tcPr>
          <w:p>
            <w:pPr>
              <w:widowControl/>
              <w:jc w:val="center"/>
              <w:rPr>
                <w:rFonts w:ascii="宋体" w:hAnsi="宋体"/>
                <w:color w:val="auto"/>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trPr>
        <w:tc>
          <w:tcPr>
            <w:tcW w:w="529" w:type="pct"/>
            <w:noWrap w:val="0"/>
            <w:vAlign w:val="center"/>
          </w:tcPr>
          <w:p>
            <w:pPr>
              <w:widowControl/>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8</w:t>
            </w:r>
          </w:p>
        </w:tc>
        <w:tc>
          <w:tcPr>
            <w:tcW w:w="3153" w:type="pct"/>
            <w:noWrap w:val="0"/>
            <w:vAlign w:val="center"/>
          </w:tcPr>
          <w:p>
            <w:pPr>
              <w:widowControl/>
              <w:jc w:val="both"/>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维保记录完整，连续</w:t>
            </w:r>
          </w:p>
        </w:tc>
        <w:tc>
          <w:tcPr>
            <w:tcW w:w="880" w:type="pct"/>
            <w:noWrap w:val="0"/>
            <w:vAlign w:val="center"/>
          </w:tcPr>
          <w:p>
            <w:pPr>
              <w:widowControl/>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违反每次扣2分</w:t>
            </w:r>
          </w:p>
        </w:tc>
        <w:tc>
          <w:tcPr>
            <w:tcW w:w="437" w:type="pct"/>
            <w:noWrap w:val="0"/>
            <w:vAlign w:val="center"/>
          </w:tcPr>
          <w:p>
            <w:pPr>
              <w:widowControl/>
              <w:jc w:val="center"/>
              <w:rPr>
                <w:rFonts w:ascii="宋体" w:hAnsi="宋体"/>
                <w:color w:val="auto"/>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trPr>
        <w:tc>
          <w:tcPr>
            <w:tcW w:w="529" w:type="pct"/>
            <w:noWrap w:val="0"/>
            <w:vAlign w:val="center"/>
          </w:tcPr>
          <w:p>
            <w:pPr>
              <w:widowControl/>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9</w:t>
            </w:r>
          </w:p>
        </w:tc>
        <w:tc>
          <w:tcPr>
            <w:tcW w:w="3153" w:type="pct"/>
            <w:noWrap w:val="0"/>
            <w:vAlign w:val="center"/>
          </w:tcPr>
          <w:p>
            <w:pPr>
              <w:widowControl/>
              <w:jc w:val="both"/>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按时定期进行维保</w:t>
            </w:r>
          </w:p>
        </w:tc>
        <w:tc>
          <w:tcPr>
            <w:tcW w:w="880" w:type="pct"/>
            <w:noWrap w:val="0"/>
            <w:vAlign w:val="center"/>
          </w:tcPr>
          <w:p>
            <w:pPr>
              <w:widowControl/>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违反每次扣2分</w:t>
            </w:r>
          </w:p>
        </w:tc>
        <w:tc>
          <w:tcPr>
            <w:tcW w:w="437" w:type="pct"/>
            <w:noWrap w:val="0"/>
            <w:vAlign w:val="center"/>
          </w:tcPr>
          <w:p>
            <w:pPr>
              <w:widowControl/>
              <w:jc w:val="center"/>
              <w:rPr>
                <w:rFonts w:ascii="宋体" w:hAnsi="宋体"/>
                <w:color w:val="auto"/>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trPr>
        <w:tc>
          <w:tcPr>
            <w:tcW w:w="529" w:type="pct"/>
            <w:noWrap w:val="0"/>
            <w:vAlign w:val="center"/>
          </w:tcPr>
          <w:p>
            <w:pPr>
              <w:widowControl/>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10</w:t>
            </w:r>
          </w:p>
        </w:tc>
        <w:tc>
          <w:tcPr>
            <w:tcW w:w="3153" w:type="pct"/>
            <w:noWrap w:val="0"/>
            <w:vAlign w:val="center"/>
          </w:tcPr>
          <w:p>
            <w:pPr>
              <w:widowControl/>
              <w:jc w:val="both"/>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对维保弄虚作假</w:t>
            </w:r>
          </w:p>
        </w:tc>
        <w:tc>
          <w:tcPr>
            <w:tcW w:w="880" w:type="pct"/>
            <w:noWrap w:val="0"/>
            <w:vAlign w:val="center"/>
          </w:tcPr>
          <w:p>
            <w:pPr>
              <w:widowControl/>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违反每次扣5分</w:t>
            </w:r>
          </w:p>
        </w:tc>
        <w:tc>
          <w:tcPr>
            <w:tcW w:w="437" w:type="pct"/>
            <w:noWrap w:val="0"/>
            <w:vAlign w:val="center"/>
          </w:tcPr>
          <w:p>
            <w:pPr>
              <w:widowControl/>
              <w:jc w:val="center"/>
              <w:rPr>
                <w:rFonts w:ascii="宋体" w:hAnsi="宋体"/>
                <w:color w:val="auto"/>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trPr>
        <w:tc>
          <w:tcPr>
            <w:tcW w:w="529" w:type="pct"/>
            <w:noWrap w:val="0"/>
            <w:vAlign w:val="center"/>
          </w:tcPr>
          <w:p>
            <w:pPr>
              <w:widowControl/>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11</w:t>
            </w:r>
          </w:p>
        </w:tc>
        <w:tc>
          <w:tcPr>
            <w:tcW w:w="3153" w:type="pct"/>
            <w:noWrap w:val="0"/>
            <w:vAlign w:val="center"/>
          </w:tcPr>
          <w:p>
            <w:pPr>
              <w:widowControl/>
              <w:jc w:val="left"/>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违规操作</w:t>
            </w:r>
          </w:p>
        </w:tc>
        <w:tc>
          <w:tcPr>
            <w:tcW w:w="880" w:type="pct"/>
            <w:noWrap w:val="0"/>
            <w:vAlign w:val="center"/>
          </w:tcPr>
          <w:p>
            <w:pPr>
              <w:widowControl/>
              <w:jc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违反每次扣2分</w:t>
            </w:r>
          </w:p>
        </w:tc>
        <w:tc>
          <w:tcPr>
            <w:tcW w:w="437" w:type="pct"/>
            <w:noWrap w:val="0"/>
            <w:vAlign w:val="center"/>
          </w:tcPr>
          <w:p>
            <w:pPr>
              <w:widowControl/>
              <w:jc w:val="center"/>
              <w:rPr>
                <w:rFonts w:ascii="宋体" w:hAnsi="宋体"/>
                <w:color w:val="auto"/>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trPr>
        <w:tc>
          <w:tcPr>
            <w:tcW w:w="529" w:type="pct"/>
            <w:noWrap w:val="0"/>
            <w:vAlign w:val="center"/>
          </w:tcPr>
          <w:p>
            <w:pPr>
              <w:widowControl/>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12</w:t>
            </w:r>
          </w:p>
        </w:tc>
        <w:tc>
          <w:tcPr>
            <w:tcW w:w="3153" w:type="pct"/>
            <w:noWrap w:val="0"/>
            <w:vAlign w:val="center"/>
          </w:tcPr>
          <w:p>
            <w:pPr>
              <w:widowControl/>
              <w:jc w:val="both"/>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在规定时间解决故障</w:t>
            </w:r>
          </w:p>
        </w:tc>
        <w:tc>
          <w:tcPr>
            <w:tcW w:w="880" w:type="pct"/>
            <w:noWrap w:val="0"/>
            <w:vAlign w:val="center"/>
          </w:tcPr>
          <w:p>
            <w:pPr>
              <w:widowControl/>
              <w:jc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违反每次扣5</w:t>
            </w:r>
          </w:p>
        </w:tc>
        <w:tc>
          <w:tcPr>
            <w:tcW w:w="437" w:type="pct"/>
            <w:noWrap w:val="0"/>
            <w:vAlign w:val="center"/>
          </w:tcPr>
          <w:p>
            <w:pPr>
              <w:widowControl/>
              <w:jc w:val="center"/>
              <w:rPr>
                <w:rFonts w:ascii="宋体" w:hAnsi="宋体"/>
                <w:color w:val="auto"/>
                <w:kern w:val="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trPr>
        <w:tc>
          <w:tcPr>
            <w:tcW w:w="5000" w:type="pct"/>
            <w:gridSpan w:val="4"/>
            <w:noWrap w:val="0"/>
            <w:vAlign w:val="center"/>
          </w:tcPr>
          <w:p>
            <w:pPr>
              <w:widowControl/>
              <w:jc w:val="left"/>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总得分：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trPr>
        <w:tc>
          <w:tcPr>
            <w:tcW w:w="5000" w:type="pct"/>
            <w:gridSpan w:val="4"/>
            <w:noWrap w:val="0"/>
            <w:vAlign w:val="center"/>
          </w:tcPr>
          <w:p>
            <w:pPr>
              <w:widowControl/>
              <w:jc w:val="left"/>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考核人：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trPr>
        <w:tc>
          <w:tcPr>
            <w:tcW w:w="5000" w:type="pct"/>
            <w:gridSpan w:val="4"/>
            <w:noWrap w:val="0"/>
            <w:vAlign w:val="center"/>
          </w:tcPr>
          <w:p>
            <w:pPr>
              <w:widowControl/>
              <w:jc w:val="left"/>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考核日期：</w:t>
            </w:r>
          </w:p>
        </w:tc>
      </w:tr>
    </w:tbl>
    <w:p>
      <w:pPr>
        <w:spacing w:line="400" w:lineRule="exact"/>
        <w:rPr>
          <w:rFonts w:ascii="宋体" w:hAnsi="宋体"/>
          <w:b/>
          <w:color w:val="auto"/>
          <w:kern w:val="0"/>
          <w:sz w:val="24"/>
          <w:szCs w:val="24"/>
          <w:highlight w:val="none"/>
        </w:rPr>
      </w:pPr>
    </w:p>
    <w:p>
      <w:pPr>
        <w:spacing w:line="360" w:lineRule="auto"/>
        <w:rPr>
          <w:rFonts w:hint="eastAsia" w:ascii="宋体" w:hAnsi="宋体"/>
          <w:b/>
          <w:color w:val="auto"/>
          <w:sz w:val="24"/>
          <w:szCs w:val="24"/>
          <w:highlight w:val="none"/>
        </w:rPr>
      </w:pP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四</w:t>
      </w:r>
      <w:r>
        <w:rPr>
          <w:rFonts w:ascii="宋体" w:hAnsi="宋体"/>
          <w:b/>
          <w:color w:val="auto"/>
          <w:sz w:val="24"/>
          <w:szCs w:val="24"/>
          <w:highlight w:val="none"/>
        </w:rPr>
        <w:t>、</w:t>
      </w:r>
      <w:r>
        <w:rPr>
          <w:rFonts w:hint="eastAsia" w:ascii="宋体" w:hAnsi="宋体"/>
          <w:b/>
          <w:color w:val="auto"/>
          <w:sz w:val="24"/>
          <w:szCs w:val="24"/>
          <w:highlight w:val="none"/>
        </w:rPr>
        <w:t>合同</w:t>
      </w:r>
      <w:r>
        <w:rPr>
          <w:rFonts w:ascii="宋体" w:hAnsi="宋体"/>
          <w:b/>
          <w:color w:val="auto"/>
          <w:sz w:val="24"/>
          <w:szCs w:val="24"/>
          <w:highlight w:val="none"/>
        </w:rPr>
        <w:t>期限</w:t>
      </w:r>
    </w:p>
    <w:p>
      <w:pPr>
        <w:spacing w:line="420" w:lineRule="exact"/>
        <w:ind w:firstLine="480" w:firstLineChars="200"/>
        <w:rPr>
          <w:rFonts w:hint="eastAsia" w:hAnsi="宋体"/>
          <w:b/>
          <w:color w:val="auto"/>
          <w:sz w:val="24"/>
          <w:szCs w:val="24"/>
          <w:highlight w:val="none"/>
        </w:rPr>
      </w:pPr>
      <w:r>
        <w:rPr>
          <w:rFonts w:ascii="宋体" w:hAnsi="宋体"/>
          <w:color w:val="auto"/>
          <w:sz w:val="24"/>
          <w:szCs w:val="24"/>
          <w:highlight w:val="none"/>
        </w:rPr>
        <w:t>合同期限</w:t>
      </w:r>
      <w:r>
        <w:rPr>
          <w:rFonts w:hint="eastAsia" w:ascii="宋体" w:hAnsi="宋体"/>
          <w:color w:val="auto"/>
          <w:sz w:val="24"/>
          <w:szCs w:val="24"/>
          <w:highlight w:val="none"/>
          <w:lang w:val="en-US" w:eastAsia="zh-CN"/>
        </w:rPr>
        <w:t>壹</w:t>
      </w:r>
      <w:r>
        <w:rPr>
          <w:rFonts w:ascii="宋体" w:hAnsi="宋体"/>
          <w:color w:val="auto"/>
          <w:sz w:val="24"/>
          <w:szCs w:val="24"/>
          <w:highlight w:val="none"/>
        </w:rPr>
        <w:t>年</w:t>
      </w:r>
      <w:r>
        <w:rPr>
          <w:rFonts w:hint="eastAsia" w:ascii="宋体" w:hAnsi="宋体"/>
          <w:color w:val="auto"/>
          <w:sz w:val="24"/>
          <w:szCs w:val="24"/>
          <w:highlight w:val="none"/>
        </w:rPr>
        <w:t>。</w:t>
      </w:r>
      <w:r>
        <w:rPr>
          <w:rFonts w:hint="eastAsia" w:ascii="宋体" w:hAnsi="宋体"/>
          <w:color w:val="auto"/>
          <w:sz w:val="24"/>
          <w:highlight w:val="none"/>
        </w:rPr>
        <w:t>甲方可与</w:t>
      </w:r>
      <w:r>
        <w:rPr>
          <w:rFonts w:ascii="宋体" w:hAnsi="宋体"/>
          <w:color w:val="auto"/>
          <w:sz w:val="24"/>
          <w:highlight w:val="none"/>
        </w:rPr>
        <w:t>每</w:t>
      </w:r>
      <w:r>
        <w:rPr>
          <w:rFonts w:hint="eastAsia" w:ascii="宋体" w:hAnsi="宋体"/>
          <w:color w:val="auto"/>
          <w:sz w:val="24"/>
          <w:highlight w:val="none"/>
        </w:rPr>
        <w:t>季度</w:t>
      </w:r>
      <w:r>
        <w:rPr>
          <w:rFonts w:ascii="宋体" w:hAnsi="宋体"/>
          <w:color w:val="auto"/>
          <w:sz w:val="24"/>
          <w:highlight w:val="none"/>
        </w:rPr>
        <w:t>考核分数在90分</w:t>
      </w:r>
      <w:r>
        <w:rPr>
          <w:rFonts w:hint="eastAsia" w:ascii="宋体" w:hAnsi="宋体"/>
          <w:color w:val="auto"/>
          <w:sz w:val="24"/>
          <w:highlight w:val="none"/>
        </w:rPr>
        <w:t>（包括</w:t>
      </w:r>
      <w:r>
        <w:rPr>
          <w:rFonts w:ascii="宋体" w:hAnsi="宋体"/>
          <w:color w:val="auto"/>
          <w:sz w:val="24"/>
          <w:highlight w:val="none"/>
        </w:rPr>
        <w:t>90</w:t>
      </w:r>
      <w:r>
        <w:rPr>
          <w:rFonts w:hint="eastAsia" w:ascii="宋体" w:hAnsi="宋体"/>
          <w:color w:val="auto"/>
          <w:sz w:val="24"/>
          <w:highlight w:val="none"/>
        </w:rPr>
        <w:t>分）</w:t>
      </w:r>
      <w:r>
        <w:rPr>
          <w:rFonts w:ascii="宋体" w:hAnsi="宋体"/>
          <w:color w:val="auto"/>
          <w:sz w:val="24"/>
          <w:highlight w:val="none"/>
        </w:rPr>
        <w:t>以上</w:t>
      </w:r>
      <w:r>
        <w:rPr>
          <w:rFonts w:hint="eastAsia" w:ascii="宋体" w:hAnsi="宋体"/>
          <w:color w:val="auto"/>
          <w:sz w:val="24"/>
          <w:highlight w:val="none"/>
        </w:rPr>
        <w:t>的乙方续签合同</w:t>
      </w:r>
      <w:r>
        <w:rPr>
          <w:rFonts w:ascii="宋体" w:hAnsi="宋体"/>
          <w:color w:val="auto"/>
          <w:sz w:val="24"/>
          <w:highlight w:val="none"/>
        </w:rPr>
        <w:t>。</w:t>
      </w:r>
      <w:r>
        <w:rPr>
          <w:rFonts w:hint="eastAsia" w:ascii="宋体" w:hAnsi="宋体"/>
          <w:color w:val="auto"/>
          <w:sz w:val="24"/>
          <w:highlight w:val="none"/>
        </w:rPr>
        <w:t>如续签，则续签合同期限不超过1年，续签不超过</w:t>
      </w:r>
      <w:r>
        <w:rPr>
          <w:rFonts w:hint="eastAsia" w:ascii="宋体" w:hAnsi="宋体"/>
          <w:color w:val="auto"/>
          <w:sz w:val="24"/>
          <w:highlight w:val="none"/>
          <w:lang w:val="en-US" w:eastAsia="zh-CN"/>
        </w:rPr>
        <w:t>1</w:t>
      </w:r>
      <w:r>
        <w:rPr>
          <w:rFonts w:hint="eastAsia" w:ascii="宋体" w:hAnsi="宋体"/>
          <w:color w:val="auto"/>
          <w:sz w:val="24"/>
          <w:highlight w:val="none"/>
        </w:rPr>
        <w:t>次，同时新一期的合同服务要求与上一期相同</w:t>
      </w:r>
      <w:r>
        <w:rPr>
          <w:rFonts w:ascii="宋体" w:hAnsi="宋体"/>
          <w:color w:val="auto"/>
          <w:sz w:val="24"/>
          <w:highlight w:val="none"/>
        </w:rPr>
        <w:t>。</w:t>
      </w:r>
    </w:p>
    <w:p>
      <w:pPr>
        <w:pStyle w:val="6"/>
        <w:spacing w:line="360" w:lineRule="auto"/>
        <w:rPr>
          <w:rFonts w:hAnsi="宋体"/>
          <w:color w:val="auto"/>
          <w:sz w:val="24"/>
          <w:szCs w:val="24"/>
          <w:highlight w:val="none"/>
        </w:rPr>
      </w:pPr>
      <w:r>
        <w:rPr>
          <w:rFonts w:hint="eastAsia" w:hAnsi="宋体"/>
          <w:b/>
          <w:color w:val="auto"/>
          <w:sz w:val="24"/>
          <w:szCs w:val="24"/>
          <w:highlight w:val="none"/>
        </w:rPr>
        <w:t>五</w:t>
      </w:r>
      <w:r>
        <w:rPr>
          <w:rFonts w:hAnsi="宋体"/>
          <w:b/>
          <w:color w:val="auto"/>
          <w:sz w:val="24"/>
          <w:szCs w:val="24"/>
          <w:highlight w:val="none"/>
        </w:rPr>
        <w:t>、结算方式及付款方式</w:t>
      </w:r>
      <w:r>
        <w:rPr>
          <w:rFonts w:hAnsi="宋体"/>
          <w:color w:val="auto"/>
          <w:sz w:val="24"/>
          <w:szCs w:val="24"/>
          <w:highlight w:val="none"/>
        </w:rPr>
        <w:br w:type="textWrapping"/>
      </w:r>
      <w:r>
        <w:rPr>
          <w:rFonts w:hAnsi="宋体"/>
          <w:color w:val="auto"/>
          <w:sz w:val="24"/>
          <w:szCs w:val="24"/>
          <w:highlight w:val="none"/>
        </w:rPr>
        <w:t xml:space="preserve">   </w:t>
      </w:r>
      <w:r>
        <w:rPr>
          <w:rFonts w:hint="default" w:ascii="Times New Roman" w:hAnsi="Times New Roman" w:cs="Times New Roman"/>
          <w:color w:val="auto"/>
          <w:sz w:val="24"/>
          <w:szCs w:val="24"/>
          <w:highlight w:val="none"/>
        </w:rPr>
        <w:t xml:space="preserve"> 每半年结算一次。合同执行半年后支付合同总价的50%，合同到期</w:t>
      </w:r>
      <w:r>
        <w:rPr>
          <w:rFonts w:hint="default" w:ascii="Times New Roman" w:hAnsi="Times New Roman" w:cs="Times New Roman"/>
          <w:color w:val="auto"/>
          <w:sz w:val="24"/>
          <w:szCs w:val="24"/>
          <w:highlight w:val="none"/>
          <w:lang w:val="en-US" w:eastAsia="zh-CN"/>
        </w:rPr>
        <w:t>7天后根据发票</w:t>
      </w:r>
      <w:r>
        <w:rPr>
          <w:rFonts w:hint="default" w:ascii="Times New Roman" w:hAnsi="Times New Roman" w:cs="Times New Roman"/>
          <w:color w:val="auto"/>
          <w:sz w:val="24"/>
          <w:szCs w:val="24"/>
          <w:highlight w:val="none"/>
        </w:rPr>
        <w:t>支付剩余50%维保费</w:t>
      </w:r>
      <w:r>
        <w:rPr>
          <w:rFonts w:hAnsi="宋体"/>
          <w:color w:val="auto"/>
          <w:sz w:val="24"/>
          <w:szCs w:val="24"/>
          <w:highlight w:val="none"/>
        </w:rPr>
        <w:t>。</w:t>
      </w:r>
    </w:p>
    <w:p>
      <w:pPr>
        <w:pStyle w:val="6"/>
        <w:spacing w:line="360" w:lineRule="auto"/>
        <w:rPr>
          <w:rFonts w:hint="eastAsia" w:hAnsi="宋体"/>
          <w:color w:val="auto"/>
          <w:sz w:val="24"/>
          <w:szCs w:val="24"/>
          <w:highlight w:val="none"/>
        </w:rPr>
      </w:pPr>
    </w:p>
    <w:p>
      <w:pPr>
        <w:pStyle w:val="6"/>
        <w:spacing w:line="360" w:lineRule="auto"/>
        <w:rPr>
          <w:rFonts w:hAnsi="宋体"/>
          <w:b/>
          <w:color w:val="auto"/>
          <w:sz w:val="24"/>
          <w:szCs w:val="24"/>
          <w:highlight w:val="none"/>
        </w:rPr>
      </w:pPr>
      <w:r>
        <w:rPr>
          <w:rFonts w:hint="eastAsia" w:hAnsi="宋体"/>
          <w:b/>
          <w:color w:val="auto"/>
          <w:sz w:val="24"/>
          <w:szCs w:val="24"/>
          <w:highlight w:val="none"/>
        </w:rPr>
        <w:t>六</w:t>
      </w:r>
      <w:r>
        <w:rPr>
          <w:rFonts w:hAnsi="宋体"/>
          <w:b/>
          <w:color w:val="auto"/>
          <w:sz w:val="24"/>
          <w:szCs w:val="24"/>
          <w:highlight w:val="none"/>
        </w:rPr>
        <w:t>、</w:t>
      </w:r>
      <w:r>
        <w:rPr>
          <w:rFonts w:hint="eastAsia" w:hAnsi="宋体"/>
          <w:b/>
          <w:color w:val="auto"/>
          <w:sz w:val="24"/>
          <w:szCs w:val="24"/>
          <w:highlight w:val="none"/>
        </w:rPr>
        <w:t>其他</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1．中标人不得转包、分包。</w:t>
      </w:r>
    </w:p>
    <w:p>
      <w:pPr>
        <w:spacing w:line="360" w:lineRule="auto"/>
        <w:ind w:left="479" w:leftChars="228"/>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投标方在投标前可以自行到现场进行实地踏勘，招标单位不另行组织现场勘察会。</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投标单位报价时应以人民币为计算单位，报价总金额到元为止。报价中的管理费、利润、税费等其他费用由各参标单位自行考虑。本次招投标相关资料文件概不退还。</w:t>
      </w:r>
    </w:p>
    <w:p>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4、请投标方认真仔细阅读招标书，若与招标文件不符的请在投标文件中做补充说明， 例如付款方式、结算方式、售后等。</w:t>
      </w:r>
    </w:p>
    <w:p>
      <w:pPr>
        <w:spacing w:line="360" w:lineRule="auto"/>
        <w:ind w:firstLine="720" w:firstLineChars="200"/>
        <w:rPr>
          <w:color w:val="auto"/>
          <w:sz w:val="36"/>
          <w:highlight w:val="none"/>
        </w:rPr>
      </w:pPr>
      <w:r>
        <w:rPr>
          <w:color w:val="auto"/>
          <w:sz w:val="36"/>
          <w:highlight w:val="none"/>
        </w:rPr>
        <w:t xml:space="preserve">          </w:t>
      </w:r>
    </w:p>
    <w:p>
      <w:pPr>
        <w:pStyle w:val="6"/>
        <w:spacing w:line="360" w:lineRule="auto"/>
        <w:rPr>
          <w:rFonts w:hAnsi="宋体"/>
          <w:color w:val="auto"/>
          <w:sz w:val="24"/>
          <w:szCs w:val="24"/>
          <w:highlight w:val="none"/>
        </w:rPr>
      </w:pPr>
    </w:p>
    <w:p>
      <w:pPr>
        <w:rPr>
          <w:rFonts w:hAnsi="宋体"/>
          <w:color w:val="auto"/>
          <w:sz w:val="24"/>
          <w:szCs w:val="24"/>
          <w:highlight w:val="none"/>
        </w:rPr>
      </w:pPr>
    </w:p>
    <w:p>
      <w:pPr>
        <w:pStyle w:val="2"/>
        <w:rPr>
          <w:rFonts w:hAnsi="宋体"/>
          <w:color w:val="auto"/>
          <w:sz w:val="24"/>
          <w:szCs w:val="24"/>
          <w:highlight w:val="none"/>
        </w:rPr>
      </w:pPr>
    </w:p>
    <w:p>
      <w:pPr>
        <w:rPr>
          <w:rFonts w:hAnsi="宋体"/>
          <w:color w:val="auto"/>
          <w:sz w:val="24"/>
          <w:szCs w:val="24"/>
          <w:highlight w:val="none"/>
        </w:rPr>
      </w:pPr>
    </w:p>
    <w:p>
      <w:pPr>
        <w:pStyle w:val="2"/>
        <w:rPr>
          <w:rFonts w:hAnsi="宋体"/>
          <w:color w:val="auto"/>
          <w:sz w:val="24"/>
          <w:szCs w:val="24"/>
          <w:highlight w:val="none"/>
        </w:rPr>
      </w:pPr>
    </w:p>
    <w:p>
      <w:pPr>
        <w:rPr>
          <w:rFonts w:hAnsi="宋体"/>
          <w:color w:val="auto"/>
          <w:sz w:val="24"/>
          <w:szCs w:val="24"/>
          <w:highlight w:val="none"/>
        </w:rPr>
      </w:pPr>
    </w:p>
    <w:p>
      <w:pPr>
        <w:pStyle w:val="2"/>
        <w:rPr>
          <w:rFonts w:hAnsi="宋体"/>
          <w:color w:val="auto"/>
          <w:sz w:val="24"/>
          <w:szCs w:val="24"/>
          <w:highlight w:val="none"/>
        </w:rPr>
      </w:pPr>
    </w:p>
    <w:p>
      <w:pPr>
        <w:rPr>
          <w:rFonts w:hAnsi="宋体"/>
          <w:color w:val="auto"/>
          <w:sz w:val="24"/>
          <w:szCs w:val="24"/>
          <w:highlight w:val="none"/>
        </w:rPr>
      </w:pPr>
    </w:p>
    <w:p>
      <w:pPr>
        <w:pStyle w:val="2"/>
        <w:rPr>
          <w:rFonts w:hAnsi="宋体"/>
          <w:color w:val="auto"/>
          <w:sz w:val="24"/>
          <w:szCs w:val="24"/>
          <w:highlight w:val="none"/>
        </w:rPr>
      </w:pPr>
    </w:p>
    <w:p>
      <w:pPr>
        <w:rPr>
          <w:rFonts w:hAnsi="宋体"/>
          <w:color w:val="auto"/>
          <w:sz w:val="24"/>
          <w:szCs w:val="24"/>
          <w:highlight w:val="none"/>
        </w:rPr>
      </w:pPr>
    </w:p>
    <w:p>
      <w:pPr>
        <w:pStyle w:val="2"/>
        <w:rPr>
          <w:rFonts w:hAnsi="宋体"/>
          <w:color w:val="auto"/>
          <w:sz w:val="24"/>
          <w:szCs w:val="24"/>
          <w:highlight w:val="none"/>
        </w:rPr>
      </w:pPr>
    </w:p>
    <w:p>
      <w:pPr>
        <w:rPr>
          <w:rFonts w:hAnsi="宋体"/>
          <w:color w:val="auto"/>
          <w:sz w:val="24"/>
          <w:szCs w:val="24"/>
          <w:highlight w:val="none"/>
        </w:rPr>
      </w:pPr>
    </w:p>
    <w:p>
      <w:pPr>
        <w:pStyle w:val="2"/>
        <w:rPr>
          <w:rFonts w:hAnsi="宋体"/>
          <w:color w:val="auto"/>
          <w:sz w:val="24"/>
          <w:szCs w:val="24"/>
          <w:highlight w:val="none"/>
        </w:rPr>
      </w:pPr>
    </w:p>
    <w:p>
      <w:pPr>
        <w:rPr>
          <w:rFonts w:hAnsi="宋体"/>
          <w:color w:val="auto"/>
          <w:sz w:val="24"/>
          <w:szCs w:val="24"/>
          <w:highlight w:val="none"/>
        </w:rPr>
      </w:pPr>
    </w:p>
    <w:p>
      <w:pPr>
        <w:pStyle w:val="2"/>
        <w:rPr>
          <w:rFonts w:hAnsi="宋体"/>
          <w:color w:val="auto"/>
          <w:sz w:val="24"/>
          <w:szCs w:val="24"/>
          <w:highlight w:val="none"/>
        </w:rPr>
      </w:pPr>
    </w:p>
    <w:p>
      <w:pPr>
        <w:rPr>
          <w:rFonts w:hAnsi="宋体"/>
          <w:color w:val="auto"/>
          <w:sz w:val="24"/>
          <w:szCs w:val="24"/>
          <w:highlight w:val="none"/>
        </w:rPr>
      </w:pPr>
    </w:p>
    <w:p>
      <w:pPr>
        <w:pStyle w:val="2"/>
        <w:rPr>
          <w:rFonts w:hAnsi="宋体"/>
          <w:color w:val="auto"/>
          <w:sz w:val="24"/>
          <w:szCs w:val="24"/>
          <w:highlight w:val="none"/>
        </w:rPr>
      </w:pPr>
    </w:p>
    <w:p>
      <w:pPr>
        <w:rPr>
          <w:rFonts w:hAnsi="宋体"/>
          <w:color w:val="auto"/>
          <w:sz w:val="24"/>
          <w:szCs w:val="24"/>
          <w:highlight w:val="none"/>
        </w:rPr>
      </w:pPr>
    </w:p>
    <w:p>
      <w:pPr>
        <w:pStyle w:val="2"/>
        <w:rPr>
          <w:rFonts w:hAnsi="宋体"/>
          <w:color w:val="auto"/>
          <w:sz w:val="24"/>
          <w:szCs w:val="24"/>
          <w:highlight w:val="none"/>
        </w:rPr>
      </w:pPr>
    </w:p>
    <w:p>
      <w:pPr>
        <w:rPr>
          <w:rFonts w:hAnsi="宋体"/>
          <w:color w:val="auto"/>
          <w:sz w:val="24"/>
          <w:szCs w:val="24"/>
          <w:highlight w:val="none"/>
        </w:rPr>
      </w:pPr>
    </w:p>
    <w:p>
      <w:pPr>
        <w:pStyle w:val="2"/>
        <w:rPr>
          <w:rFonts w:hAnsi="宋体"/>
          <w:color w:val="auto"/>
          <w:sz w:val="24"/>
          <w:szCs w:val="24"/>
          <w:highlight w:val="none"/>
        </w:rPr>
      </w:pPr>
    </w:p>
    <w:p>
      <w:pPr>
        <w:rPr>
          <w:rFonts w:hAnsi="宋体"/>
          <w:color w:val="auto"/>
          <w:sz w:val="24"/>
          <w:szCs w:val="24"/>
          <w:highlight w:val="none"/>
        </w:rPr>
      </w:pPr>
    </w:p>
    <w:p>
      <w:pPr>
        <w:pStyle w:val="2"/>
      </w:pPr>
    </w:p>
    <w:p>
      <w:pPr>
        <w:rPr>
          <w:rFonts w:hAnsi="宋体"/>
          <w:color w:val="auto"/>
          <w:sz w:val="24"/>
          <w:szCs w:val="24"/>
          <w:highlight w:val="none"/>
        </w:rPr>
      </w:pPr>
    </w:p>
    <w:p>
      <w:pPr>
        <w:pStyle w:val="2"/>
        <w:rPr>
          <w:rFonts w:hAnsi="宋体"/>
          <w:color w:val="auto"/>
          <w:sz w:val="24"/>
          <w:szCs w:val="24"/>
          <w:highlight w:val="none"/>
        </w:rPr>
      </w:pPr>
    </w:p>
    <w:p>
      <w:pPr>
        <w:rPr>
          <w:rFonts w:hAnsi="宋体"/>
          <w:color w:val="auto"/>
          <w:sz w:val="24"/>
          <w:szCs w:val="24"/>
          <w:highlight w:val="none"/>
        </w:rPr>
      </w:pPr>
    </w:p>
    <w:p>
      <w:pPr>
        <w:pStyle w:val="2"/>
        <w:rPr>
          <w:rFonts w:hAnsi="宋体"/>
          <w:color w:val="auto"/>
          <w:sz w:val="24"/>
          <w:szCs w:val="24"/>
          <w:highlight w:val="none"/>
        </w:rPr>
      </w:pPr>
    </w:p>
    <w:p>
      <w:pPr>
        <w:rPr>
          <w:rFonts w:hAnsi="宋体"/>
          <w:color w:val="auto"/>
          <w:sz w:val="24"/>
          <w:szCs w:val="24"/>
          <w:highlight w:val="none"/>
        </w:rPr>
      </w:pPr>
    </w:p>
    <w:p>
      <w:pPr>
        <w:pStyle w:val="2"/>
        <w:rPr>
          <w:rFonts w:hAnsi="宋体"/>
          <w:color w:val="auto"/>
          <w:sz w:val="24"/>
          <w:szCs w:val="24"/>
          <w:highlight w:val="none"/>
        </w:rPr>
      </w:pPr>
    </w:p>
    <w:p>
      <w:pPr>
        <w:rPr>
          <w:rFonts w:hAnsi="宋体"/>
          <w:color w:val="auto"/>
          <w:sz w:val="24"/>
          <w:szCs w:val="24"/>
          <w:highlight w:val="none"/>
        </w:rPr>
      </w:pPr>
    </w:p>
    <w:p>
      <w:pPr>
        <w:pStyle w:val="2"/>
        <w:rPr>
          <w:rFonts w:hAnsi="宋体"/>
          <w:color w:val="auto"/>
          <w:sz w:val="24"/>
          <w:szCs w:val="24"/>
          <w:highlight w:val="none"/>
        </w:rPr>
      </w:pPr>
    </w:p>
    <w:p>
      <w:pPr>
        <w:pStyle w:val="2"/>
        <w:rPr>
          <w:color w:val="auto"/>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第四章   投标文件要求</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一、对投标文件的要求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olor w:val="auto"/>
          <w:sz w:val="24"/>
          <w:szCs w:val="21"/>
          <w:highlight w:val="none"/>
        </w:rPr>
        <w:t>1．投标方应仔细阅读招标文件的所有内容，按招标文件的要求提供投标文件，并保证所提供的全部资料的真实性，以使其投标对招标文件做出实质性响应，否则，其投标可能被拒绝</w:t>
      </w:r>
      <w:r>
        <w:rPr>
          <w:rFonts w:hint="eastAsia" w:ascii="宋体" w:hAnsi="宋体" w:cs="宋体"/>
          <w:color w:val="auto"/>
          <w:kern w:val="0"/>
          <w:sz w:val="24"/>
          <w:szCs w:val="24"/>
          <w:highlight w:val="none"/>
        </w:rPr>
        <w:t>。</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w:t>
      </w:r>
      <w:r>
        <w:rPr>
          <w:rFonts w:hint="eastAsia" w:ascii="宋体" w:hAnsi="宋体"/>
          <w:color w:val="auto"/>
          <w:sz w:val="24"/>
          <w:szCs w:val="21"/>
          <w:highlight w:val="none"/>
        </w:rPr>
        <w:t>．</w:t>
      </w:r>
      <w:r>
        <w:rPr>
          <w:rFonts w:ascii="宋体" w:hAnsi="宋体"/>
          <w:color w:val="auto"/>
          <w:sz w:val="24"/>
          <w:szCs w:val="21"/>
          <w:highlight w:val="none"/>
        </w:rPr>
        <w:t>在招标文件对技术要求中，投标人必须充分应答和满足用户的强制性的需求，如“★”等，否则将导致废标。</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二、投标文件的组成</w:t>
      </w:r>
    </w:p>
    <w:p>
      <w:pPr>
        <w:widowControl/>
        <w:spacing w:line="420" w:lineRule="atLeast"/>
        <w:ind w:firstLine="48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递交的投标文件应分为技术标和商务标，技术标为除商务报价外的所有内容，且技术标和商务标分开制作，并单独密封包装。</w:t>
      </w:r>
      <w:r>
        <w:rPr>
          <w:rFonts w:ascii="宋体" w:hAnsi="宋体" w:cs="宋体"/>
          <w:b/>
          <w:bCs/>
          <w:color w:val="auto"/>
          <w:kern w:val="0"/>
          <w:sz w:val="24"/>
          <w:szCs w:val="24"/>
          <w:highlight w:val="none"/>
        </w:rPr>
        <w:t>技术标（含资信与服务）不得含商务报价，否则作无效标处理。</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技术标：</w:t>
      </w:r>
    </w:p>
    <w:p>
      <w:pPr>
        <w:pStyle w:val="6"/>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应包括下列内容（包含但不仅限于以下）并应按顺序装订成册(复印件需加盖单位公章，提供的所有证书应在有效期内)</w:t>
      </w:r>
    </w:p>
    <w:p>
      <w:pPr>
        <w:pStyle w:val="6"/>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（1）营业执照副本（复印件加盖公章）；组织机构代码证副本（复印件加盖公章）、税务登记证副本（复印件加盖公章）；</w:t>
      </w:r>
    </w:p>
    <w:p>
      <w:pPr>
        <w:pStyle w:val="6"/>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（2）法人资格证明或法人代表授权书；</w:t>
      </w:r>
    </w:p>
    <w:p>
      <w:pPr>
        <w:pStyle w:val="6"/>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（3）法定代表人或授权代表的身份证（复印件）；</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（4）售后服务的及时性等保证措施。</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）对本次采购货物及供货服务的具体方案，包括供货方案、服务团队、常驻联系人等；</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）产品质量保证措施、产品的质量保证承诺；</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）售前、售后服务内容和服务承诺。</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）投标人能够给予招标人的其他优惠条件；</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）其他投标人认为应该提交给招标人的资料（如业绩）；</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）各种能体现投标人实力的响应内容或有利于招标人的各种承诺等；</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rPr>
        <w:t>）若有技术偏离，详细列明技术偏离部分；</w:t>
      </w:r>
      <w:r>
        <w:rPr>
          <w:rFonts w:hint="eastAsia" w:ascii="宋体" w:hAnsi="宋体" w:cs="宋体"/>
          <w:b/>
          <w:color w:val="auto"/>
          <w:kern w:val="0"/>
          <w:sz w:val="24"/>
          <w:szCs w:val="24"/>
          <w:highlight w:val="none"/>
        </w:rPr>
        <w:t>（选填）</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商务标：</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（1）投标函（附件三）</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（2）报价一览表（附件五）</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（3）投标报价明细表（附件六）</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三、投标报价要求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1．投标均以人民币报价。</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投标报价包括货物价款、途中运输费、装卸费、保险费、利润、税金、完成本项目的其它费用和政策性文件规定及合同包含的所有风险、责任等各项应有费用，如有漏项，视同已包含在其总项目中，合同总价不予调整</w:t>
      </w:r>
      <w:r>
        <w:rPr>
          <w:rFonts w:hint="eastAsia" w:ascii="宋体" w:hAnsi="宋体" w:cs="宋体"/>
          <w:color w:val="auto"/>
          <w:kern w:val="0"/>
          <w:sz w:val="24"/>
          <w:szCs w:val="24"/>
          <w:highlight w:val="none"/>
        </w:rPr>
        <w:t>。</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投标文件报价出现前后不一致的，按照下列规定修正：</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投标文件中开标一览表（报价表）内容与投标文件中相应内容不一致的，以开标一览表（报价表）为准；</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大写金额和小写金额不一致的，以大写金额为准；</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单价金额小数点或者百分比有明显错位的，以开标一览表的总价为准，并修改单价；</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总价金额与按单价汇总金额不一致的，以单价金额计算结果为准。</w:t>
      </w:r>
    </w:p>
    <w:p>
      <w:pPr>
        <w:pStyle w:val="6"/>
        <w:spacing w:line="420" w:lineRule="atLeast"/>
        <w:ind w:firstLine="480" w:firstLineChars="200"/>
        <w:rPr>
          <w:rFonts w:hAnsi="宋体" w:cs="宋体"/>
          <w:color w:val="auto"/>
          <w:kern w:val="0"/>
          <w:sz w:val="24"/>
          <w:szCs w:val="24"/>
          <w:highlight w:val="none"/>
        </w:rPr>
      </w:pPr>
      <w:r>
        <w:rPr>
          <w:rFonts w:hAnsi="宋体" w:cs="宋体"/>
          <w:color w:val="auto"/>
          <w:kern w:val="0"/>
          <w:sz w:val="24"/>
          <w:szCs w:val="24"/>
          <w:highlight w:val="none"/>
        </w:rPr>
        <w:t>同时出现两种以上不一致的，按照前款规定的顺序修正。修正后的报价由投标人法定代表人或其授权代表签字确认后产生约束力，投标人不确认的，其投标无效。</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中标后，</w:t>
      </w:r>
      <w:r>
        <w:rPr>
          <w:rFonts w:ascii="宋体" w:hAnsi="宋体" w:cs="宋体"/>
          <w:b/>
          <w:color w:val="auto"/>
          <w:kern w:val="0"/>
          <w:sz w:val="24"/>
          <w:szCs w:val="24"/>
          <w:highlight w:val="none"/>
        </w:rPr>
        <w:t>中标人所填写的单价在合同实施期间不因市场变化因素而变动</w:t>
      </w:r>
      <w:r>
        <w:rPr>
          <w:rFonts w:ascii="宋体" w:hAnsi="宋体" w:cs="宋体"/>
          <w:color w:val="auto"/>
          <w:kern w:val="0"/>
          <w:sz w:val="24"/>
          <w:szCs w:val="24"/>
          <w:highlight w:val="none"/>
        </w:rPr>
        <w:t>；投标人在计算报价时应考虑一定的风险系数。</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投标人应按招标文件规定的报价格式进行投标报价。投标人对每种货物只允许有一个报价，采购人不接受任何有选择性的报价。</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四、投标文件制作要求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1．投标文件正本必须用不退色的墨水填写或打印，幅面规格A4并装订成册，副本可用复印件。投标文件须一式</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份（正本1份，副本</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份），分别加盖“正本”“副本”印章。正本与副本如有差别，以正本为准，责任由投标人自负。</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2．投标文件中不许有加行、涂抹或改写。若修改错漏处，须由法定代表人或其授权代表签字并加盖单位公章方可生效。</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3．投标文件封面应标明“正本”或“副本”字样。</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b/>
          <w:bCs/>
          <w:color w:val="auto"/>
          <w:kern w:val="0"/>
          <w:sz w:val="24"/>
          <w:szCs w:val="24"/>
          <w:highlight w:val="none"/>
        </w:rPr>
        <w:t>技术标和商务标分开制作并单独密封包装，全部投标文件应装入同一密封袋内，封口处应有投标人法定代表人或其授权代表签字并加盖投标单位公章；封面注明招标项目名称和编号，投标人的名称、地址、邮编、传真、联系电话、联系人。</w:t>
      </w:r>
    </w:p>
    <w:p>
      <w:pPr>
        <w:widowControl/>
        <w:spacing w:line="420" w:lineRule="atLeas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 xml:space="preserve">    五 、投标文件的送达时间 </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1．开标地点即为投标文件的递交地点，招标人在投标截止时间前一小时内接收投标文件。</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2．投标截止时间即为开标时间，招标方将拒绝在投标截止时间后收到的投标文件。</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六、投标单位有下列情况之一的，</w:t>
      </w:r>
      <w:r>
        <w:rPr>
          <w:rFonts w:hint="eastAsia" w:ascii="宋体" w:hAnsi="宋体" w:cs="宋体"/>
          <w:b/>
          <w:color w:val="auto"/>
          <w:kern w:val="0"/>
          <w:sz w:val="24"/>
          <w:szCs w:val="24"/>
          <w:highlight w:val="none"/>
          <w:lang w:val="en-GB"/>
        </w:rPr>
        <w:t>其投标将可能被拒绝或作无效投标处理：</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1、未在规定时间内将投标书送达规定地点的。</w:t>
      </w:r>
    </w:p>
    <w:p>
      <w:pPr>
        <w:widowControl/>
        <w:spacing w:line="420" w:lineRule="atLeast"/>
        <w:ind w:firstLine="480"/>
        <w:rPr>
          <w:color w:val="auto"/>
          <w:sz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color w:val="auto"/>
          <w:sz w:val="24"/>
          <w:highlight w:val="none"/>
        </w:rPr>
        <w:t>投标文件未按规定密封的</w:t>
      </w:r>
      <w:r>
        <w:rPr>
          <w:rFonts w:hint="eastAsia"/>
          <w:color w:val="auto"/>
          <w:sz w:val="24"/>
          <w:highlight w:val="none"/>
        </w:rPr>
        <w:t>。</w:t>
      </w:r>
    </w:p>
    <w:p>
      <w:pPr>
        <w:widowControl/>
        <w:spacing w:line="420" w:lineRule="atLeast"/>
        <w:ind w:firstLine="480"/>
        <w:rPr>
          <w:color w:val="auto"/>
          <w:sz w:val="24"/>
          <w:highlight w:val="none"/>
        </w:rPr>
      </w:pPr>
      <w:r>
        <w:rPr>
          <w:rFonts w:hint="eastAsia"/>
          <w:color w:val="auto"/>
          <w:sz w:val="24"/>
          <w:highlight w:val="none"/>
        </w:rPr>
        <w:t>3、</w:t>
      </w:r>
      <w:r>
        <w:rPr>
          <w:color w:val="auto"/>
          <w:sz w:val="24"/>
          <w:highlight w:val="none"/>
        </w:rPr>
        <w:t>投标报价高于预算价或最高限价的</w:t>
      </w:r>
      <w:r>
        <w:rPr>
          <w:rFonts w:hint="eastAsia"/>
          <w:color w:val="auto"/>
          <w:sz w:val="24"/>
          <w:highlight w:val="none"/>
        </w:rPr>
        <w:t>。</w:t>
      </w:r>
    </w:p>
    <w:p>
      <w:pPr>
        <w:widowControl/>
        <w:spacing w:line="420" w:lineRule="atLeast"/>
        <w:ind w:firstLine="480"/>
        <w:rPr>
          <w:rFonts w:ascii="宋体" w:hAnsi="宋体" w:cs="宋体"/>
          <w:b/>
          <w:color w:val="auto"/>
          <w:kern w:val="0"/>
          <w:sz w:val="24"/>
          <w:szCs w:val="24"/>
          <w:highlight w:val="none"/>
        </w:rPr>
      </w:pPr>
      <w:r>
        <w:rPr>
          <w:rFonts w:ascii="宋体" w:hAnsi="宋体" w:cs="宋体"/>
          <w:b/>
          <w:color w:val="auto"/>
          <w:kern w:val="0"/>
          <w:sz w:val="24"/>
          <w:szCs w:val="24"/>
          <w:highlight w:val="none"/>
        </w:rPr>
        <w:t>4</w:t>
      </w:r>
      <w:r>
        <w:rPr>
          <w:rFonts w:hint="eastAsia" w:ascii="宋体" w:hAnsi="宋体" w:cs="宋体"/>
          <w:b/>
          <w:color w:val="auto"/>
          <w:kern w:val="0"/>
          <w:sz w:val="24"/>
          <w:szCs w:val="24"/>
          <w:highlight w:val="none"/>
        </w:rPr>
        <w:t>、投标书未按规定密封或未按要求加盖公章或投标文件签署不符合要求的。</w:t>
      </w:r>
    </w:p>
    <w:p>
      <w:pPr>
        <w:widowControl/>
        <w:spacing w:line="420" w:lineRule="atLeast"/>
        <w:ind w:firstLine="480"/>
        <w:rPr>
          <w:rFonts w:ascii="宋体" w:hAnsi="宋体" w:cs="宋体"/>
          <w:b/>
          <w:color w:val="auto"/>
          <w:kern w:val="0"/>
          <w:sz w:val="24"/>
          <w:szCs w:val="24"/>
          <w:highlight w:val="none"/>
        </w:rPr>
      </w:pPr>
      <w:r>
        <w:rPr>
          <w:rFonts w:ascii="宋体" w:hAnsi="宋体" w:cs="宋体"/>
          <w:b/>
          <w:color w:val="auto"/>
          <w:kern w:val="0"/>
          <w:sz w:val="24"/>
          <w:szCs w:val="24"/>
          <w:highlight w:val="none"/>
        </w:rPr>
        <w:t>5</w:t>
      </w:r>
      <w:r>
        <w:rPr>
          <w:rFonts w:hint="eastAsia" w:ascii="宋体" w:hAnsi="宋体" w:cs="宋体"/>
          <w:b/>
          <w:color w:val="auto"/>
          <w:kern w:val="0"/>
          <w:sz w:val="24"/>
          <w:szCs w:val="24"/>
          <w:highlight w:val="none"/>
        </w:rPr>
        <w:t>、投标文件无法人代表签字或签字无法人代表有效委托的。</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w:t>
      </w:r>
      <w:r>
        <w:rPr>
          <w:rFonts w:eastAsia="新宋体"/>
          <w:color w:val="auto"/>
          <w:sz w:val="24"/>
          <w:highlight w:val="none"/>
        </w:rPr>
        <w:t>投标人的投标资格不符合招标文件的资格要求规定</w:t>
      </w:r>
      <w:r>
        <w:rPr>
          <w:color w:val="auto"/>
          <w:kern w:val="0"/>
          <w:sz w:val="24"/>
          <w:highlight w:val="none"/>
        </w:rPr>
        <w:t>；未按招标文件规定提供相关文件，如资格说明、身份申明等；超出经营范围投标的</w:t>
      </w:r>
      <w:r>
        <w:rPr>
          <w:rFonts w:hint="eastAsia"/>
          <w:color w:val="auto"/>
          <w:kern w:val="0"/>
          <w:sz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w:t>
      </w:r>
      <w:r>
        <w:rPr>
          <w:color w:val="auto"/>
          <w:sz w:val="24"/>
          <w:highlight w:val="none"/>
        </w:rPr>
        <w:t>投标方的所投产品的数量不符合招标文件规定的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如评标委员会一致认为最低投标报价或某些分项明显不合理，有降低质量、不能诚信履约的可能时，评标委员会有权通知投标方限期进行解释。如投标人未在规定期限内做出解释，或所作解释不合理，经评标委员会取得一致意见后，可列为异常报价，确定该投标为无效标。</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w:t>
      </w:r>
      <w:r>
        <w:rPr>
          <w:color w:val="auto"/>
          <w:kern w:val="0"/>
          <w:sz w:val="24"/>
          <w:highlight w:val="none"/>
        </w:rPr>
        <w:t>投标文件不符合招标文件规定，未按规定格式填写的；或投标文件内容不全或关键字迹模糊、无法辨认的；或投标文件内容自相矛盾的</w:t>
      </w:r>
      <w:r>
        <w:rPr>
          <w:rFonts w:hint="eastAsia"/>
          <w:color w:val="auto"/>
          <w:kern w:val="0"/>
          <w:sz w:val="24"/>
          <w:highlight w:val="none"/>
        </w:rPr>
        <w:t>。</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、投标文件中提供伪造、虚假材料的。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w:t>
      </w:r>
      <w:r>
        <w:rPr>
          <w:color w:val="auto"/>
          <w:kern w:val="0"/>
          <w:sz w:val="24"/>
          <w:highlight w:val="none"/>
        </w:rPr>
        <w:t>借用或冒用他人名义或证件、涂改文件、伪造或编造投标文件的</w:t>
      </w:r>
      <w:r>
        <w:rPr>
          <w:rFonts w:hint="eastAsia"/>
          <w:color w:val="auto"/>
          <w:kern w:val="0"/>
          <w:sz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对本招标文件中打★号的条款未完全响应的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13</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投标文件附有采购人不能接受的条件</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14</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技术标中体现或包含商务报价。</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15</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若发现有意串标或提供虚假说明材料者</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16</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评标小组认为技术或商务与招标文件偏离的部分过多，或在实质上不响应招标文件的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olor w:val="auto"/>
          <w:sz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hint="eastAsia"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第五章   评标办法</w:t>
      </w:r>
    </w:p>
    <w:p>
      <w:pPr>
        <w:adjustRightInd w:val="0"/>
        <w:snapToGrid w:val="0"/>
        <w:spacing w:line="360" w:lineRule="auto"/>
        <w:ind w:right="17" w:firstLine="480" w:firstLineChars="200"/>
        <w:rPr>
          <w:rFonts w:ascii="宋体" w:hAnsi="宋体"/>
          <w:color w:val="auto"/>
          <w:sz w:val="24"/>
          <w:szCs w:val="24"/>
          <w:highlight w:val="none"/>
        </w:rPr>
      </w:pPr>
      <w:r>
        <w:rPr>
          <w:rFonts w:ascii="宋体" w:hAnsi="宋体"/>
          <w:color w:val="auto"/>
          <w:sz w:val="24"/>
          <w:szCs w:val="24"/>
          <w:highlight w:val="none"/>
        </w:rPr>
        <w:t>根据《中华人民共和国政府采购法》和《中华人民共和国招标投标法》的有关规定，为更好地做到公开、公平、公正，结合本次招标的特点，特制定本评标办法。评标小组用综合评分法对招标项目作出评标结论</w:t>
      </w:r>
      <w:r>
        <w:rPr>
          <w:rFonts w:hint="eastAsia" w:ascii="宋体" w:hAnsi="宋体"/>
          <w:color w:val="auto"/>
          <w:sz w:val="24"/>
          <w:szCs w:val="24"/>
          <w:highlight w:val="none"/>
        </w:rPr>
        <w:t>。</w:t>
      </w:r>
    </w:p>
    <w:p>
      <w:pPr>
        <w:pStyle w:val="6"/>
        <w:spacing w:line="360" w:lineRule="auto"/>
        <w:rPr>
          <w:rFonts w:hAnsi="宋体"/>
          <w:b/>
          <w:bCs/>
          <w:color w:val="auto"/>
          <w:sz w:val="24"/>
          <w:szCs w:val="24"/>
          <w:highlight w:val="none"/>
        </w:rPr>
      </w:pPr>
      <w:r>
        <w:rPr>
          <w:rFonts w:hint="eastAsia" w:hAnsi="宋体"/>
          <w:b/>
          <w:bCs/>
          <w:color w:val="auto"/>
          <w:sz w:val="24"/>
          <w:szCs w:val="24"/>
          <w:highlight w:val="none"/>
        </w:rPr>
        <w:t>一</w:t>
      </w:r>
      <w:r>
        <w:rPr>
          <w:rFonts w:hAnsi="宋体"/>
          <w:b/>
          <w:bCs/>
          <w:color w:val="auto"/>
          <w:sz w:val="24"/>
          <w:szCs w:val="24"/>
          <w:highlight w:val="none"/>
        </w:rPr>
        <w:t>、评审办法</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评标采用综合评分法，评标委员会从投标人的综合实力、信誉、业绩、售后服务、产品构成、技术性能、质量等方面进行评审。评标委员会根据评审情况，对各投标人的商务报价方面在分值范围内进行统一打分，对各投标人的资信商务方面在分值范围内进行统一打分，对各投标人的技术方面在分值范围内进行独立打分。</w:t>
      </w:r>
    </w:p>
    <w:p>
      <w:pPr>
        <w:adjustRightInd w:val="0"/>
        <w:snapToGrid w:val="0"/>
        <w:spacing w:line="360" w:lineRule="auto"/>
        <w:jc w:val="center"/>
        <w:rPr>
          <w:rFonts w:ascii="宋体" w:hAnsi="宋体"/>
          <w:b/>
          <w:color w:val="auto"/>
          <w:sz w:val="24"/>
          <w:szCs w:val="24"/>
          <w:highlight w:val="none"/>
        </w:rPr>
      </w:pPr>
      <w:r>
        <w:rPr>
          <w:rFonts w:ascii="宋体" w:hAnsi="宋体"/>
          <w:b/>
          <w:color w:val="auto"/>
          <w:sz w:val="24"/>
          <w:szCs w:val="24"/>
          <w:highlight w:val="none"/>
        </w:rPr>
        <w:t>每个投标人最终得分=商务报价分+技术分</w:t>
      </w:r>
    </w:p>
    <w:p>
      <w:pPr>
        <w:adjustRightInd w:val="0"/>
        <w:snapToGrid w:val="0"/>
        <w:spacing w:line="360" w:lineRule="auto"/>
        <w:rPr>
          <w:rFonts w:ascii="宋体" w:hAnsi="宋体"/>
          <w:color w:val="auto"/>
          <w:sz w:val="24"/>
          <w:szCs w:val="24"/>
          <w:highlight w:val="none"/>
        </w:rPr>
      </w:pPr>
      <w:r>
        <w:rPr>
          <w:rFonts w:ascii="宋体" w:hAnsi="宋体"/>
          <w:color w:val="auto"/>
          <w:sz w:val="24"/>
          <w:szCs w:val="24"/>
          <w:highlight w:val="none"/>
        </w:rPr>
        <w:t>评标委员会推荐得分最高的投标人为第一中标候选人、得分次高的投标人为第二中标候选人（如果得分相同，则按投标人报价从低到高顺序推荐为中标候选人；如果投标报价也相同，则抽签决定），并编写评标报告</w:t>
      </w:r>
      <w:r>
        <w:rPr>
          <w:rFonts w:hint="eastAsia" w:ascii="宋体" w:hAnsi="宋体"/>
          <w:color w:val="auto"/>
          <w:sz w:val="24"/>
          <w:szCs w:val="24"/>
          <w:highlight w:val="none"/>
        </w:rPr>
        <w:t>。</w:t>
      </w:r>
    </w:p>
    <w:p>
      <w:pPr>
        <w:adjustRightInd w:val="0"/>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1、技术评审（总分</w:t>
      </w:r>
      <w:r>
        <w:rPr>
          <w:rFonts w:hint="eastAsia" w:ascii="宋体" w:hAnsi="宋体"/>
          <w:b/>
          <w:color w:val="auto"/>
          <w:sz w:val="24"/>
          <w:szCs w:val="24"/>
          <w:highlight w:val="none"/>
          <w:lang w:val="en-US" w:eastAsia="zh-CN"/>
        </w:rPr>
        <w:t>60</w:t>
      </w:r>
      <w:r>
        <w:rPr>
          <w:rFonts w:hint="eastAsia" w:ascii="宋体" w:hAnsi="宋体"/>
          <w:b/>
          <w:color w:val="auto"/>
          <w:sz w:val="24"/>
          <w:szCs w:val="24"/>
          <w:highlight w:val="none"/>
        </w:rPr>
        <w:t>分）</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由评标专家负责对投标文件的技术部分采用记名方式各自评分。</w:t>
      </w:r>
      <w:r>
        <w:rPr>
          <w:rFonts w:hint="eastAsia" w:ascii="宋体" w:hAnsi="宋体" w:cs="黑体"/>
          <w:color w:val="auto"/>
          <w:sz w:val="24"/>
          <w:szCs w:val="24"/>
          <w:highlight w:val="none"/>
        </w:rPr>
        <w:t>投标人的最终技术部分的得分</w:t>
      </w:r>
      <w:r>
        <w:rPr>
          <w:rFonts w:hint="eastAsia" w:ascii="宋体" w:hAnsi="宋体"/>
          <w:color w:val="auto"/>
          <w:sz w:val="24"/>
          <w:szCs w:val="24"/>
          <w:highlight w:val="none"/>
        </w:rPr>
        <w:t>为全体评标专家评分的算术平均值。如某一份评分表中某一项评分，超过评分细则所规定的分值范围，则该张打分表无效。投标人最终得分为评标委员会所有成员的有效评分的算术平均值，计算时保留小数2位。</w:t>
      </w:r>
    </w:p>
    <w:tbl>
      <w:tblPr>
        <w:tblStyle w:val="15"/>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453"/>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465" w:type="dxa"/>
            <w:noWrap w:val="0"/>
            <w:vAlign w:val="center"/>
          </w:tcPr>
          <w:p>
            <w:pPr>
              <w:jc w:val="center"/>
              <w:rPr>
                <w:rFonts w:hint="eastAsia" w:ascii="Times New Roman" w:hAnsi="Times New Roman" w:eastAsia="宋体" w:cs="Times New Roman"/>
                <w:b/>
                <w:color w:val="auto"/>
                <w:sz w:val="24"/>
                <w:szCs w:val="24"/>
                <w:highlight w:val="none"/>
                <w:lang w:eastAsia="zh-CN"/>
              </w:rPr>
            </w:pPr>
            <w:r>
              <w:rPr>
                <w:rFonts w:hint="eastAsia" w:ascii="Times New Roman" w:hAnsi="Times New Roman" w:eastAsia="宋体" w:cs="Times New Roman"/>
                <w:b/>
                <w:color w:val="auto"/>
                <w:sz w:val="24"/>
                <w:szCs w:val="24"/>
                <w:highlight w:val="none"/>
                <w:lang w:eastAsia="zh-CN"/>
              </w:rPr>
              <w:t>评分内容</w:t>
            </w:r>
          </w:p>
        </w:tc>
        <w:tc>
          <w:tcPr>
            <w:tcW w:w="6453" w:type="dxa"/>
            <w:noWrap w:val="0"/>
            <w:vAlign w:val="center"/>
          </w:tcPr>
          <w:p>
            <w:pPr>
              <w:jc w:val="center"/>
              <w:rPr>
                <w:rFonts w:hint="eastAsia" w:ascii="Times New Roman" w:hAnsi="Times New Roman" w:eastAsia="宋体" w:cs="Times New Roman"/>
                <w:b/>
                <w:color w:val="auto"/>
                <w:sz w:val="24"/>
                <w:szCs w:val="24"/>
                <w:highlight w:val="none"/>
                <w:lang w:eastAsia="zh-CN"/>
              </w:rPr>
            </w:pPr>
            <w:r>
              <w:rPr>
                <w:rFonts w:hint="default" w:ascii="Times New Roman" w:hAnsi="Times New Roman" w:eastAsia="宋体" w:cs="Times New Roman"/>
                <w:b/>
                <w:color w:val="auto"/>
                <w:sz w:val="24"/>
                <w:szCs w:val="24"/>
                <w:highlight w:val="none"/>
              </w:rPr>
              <w:t>评分</w:t>
            </w:r>
            <w:r>
              <w:rPr>
                <w:rFonts w:hint="eastAsia" w:ascii="Times New Roman" w:hAnsi="Times New Roman" w:eastAsia="宋体" w:cs="Times New Roman"/>
                <w:b/>
                <w:color w:val="auto"/>
                <w:sz w:val="24"/>
                <w:szCs w:val="24"/>
                <w:highlight w:val="none"/>
                <w:lang w:eastAsia="zh-CN"/>
              </w:rPr>
              <w:t>细则</w:t>
            </w:r>
          </w:p>
        </w:tc>
        <w:tc>
          <w:tcPr>
            <w:tcW w:w="7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465" w:type="dxa"/>
            <w:noWrap w:val="0"/>
            <w:vAlign w:val="center"/>
          </w:tcPr>
          <w:p>
            <w:pPr>
              <w:contextualSpacing/>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同类项目业绩情况</w:t>
            </w:r>
          </w:p>
        </w:tc>
        <w:tc>
          <w:tcPr>
            <w:tcW w:w="6453" w:type="dxa"/>
            <w:noWrap w:val="0"/>
            <w:vAlign w:val="center"/>
          </w:tcPr>
          <w:p>
            <w:pPr>
              <w:contextualSpacing/>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snapToGrid w:val="0"/>
                <w:color w:val="auto"/>
                <w:kern w:val="24"/>
                <w:sz w:val="24"/>
                <w:szCs w:val="24"/>
                <w:highlight w:val="none"/>
              </w:rPr>
              <w:t>提供</w:t>
            </w:r>
            <w:r>
              <w:rPr>
                <w:rFonts w:hint="eastAsia" w:ascii="Times New Roman" w:hAnsi="Times New Roman" w:eastAsia="宋体" w:cs="Times New Roman"/>
                <w:snapToGrid w:val="0"/>
                <w:color w:val="auto"/>
                <w:kern w:val="24"/>
                <w:sz w:val="24"/>
                <w:szCs w:val="24"/>
                <w:highlight w:val="none"/>
                <w:lang w:eastAsia="zh-CN"/>
              </w:rPr>
              <w:t>自</w:t>
            </w:r>
            <w:r>
              <w:rPr>
                <w:rFonts w:hint="eastAsia" w:ascii="Times New Roman" w:hAnsi="Times New Roman" w:eastAsia="宋体" w:cs="Times New Roman"/>
                <w:snapToGrid w:val="0"/>
                <w:color w:val="auto"/>
                <w:kern w:val="24"/>
                <w:sz w:val="24"/>
                <w:szCs w:val="24"/>
                <w:highlight w:val="none"/>
                <w:lang w:val="en-US" w:eastAsia="zh-CN"/>
              </w:rPr>
              <w:t>2018年1月1日以来类似</w:t>
            </w:r>
            <w:r>
              <w:rPr>
                <w:rFonts w:hint="default" w:ascii="Times New Roman" w:hAnsi="Times New Roman" w:eastAsia="宋体" w:cs="Times New Roman"/>
                <w:snapToGrid w:val="0"/>
                <w:color w:val="auto"/>
                <w:kern w:val="24"/>
                <w:sz w:val="24"/>
                <w:szCs w:val="24"/>
                <w:highlight w:val="none"/>
              </w:rPr>
              <w:t>维保业绩</w:t>
            </w:r>
            <w:r>
              <w:rPr>
                <w:rFonts w:hint="default" w:ascii="Times New Roman" w:hAnsi="Times New Roman" w:eastAsia="宋体" w:cs="Times New Roman"/>
                <w:snapToGrid w:val="0"/>
                <w:color w:val="auto"/>
                <w:kern w:val="24"/>
                <w:sz w:val="24"/>
                <w:szCs w:val="24"/>
                <w:highlight w:val="none"/>
                <w:lang w:eastAsia="zh-CN"/>
              </w:rPr>
              <w:t>，</w:t>
            </w:r>
            <w:r>
              <w:rPr>
                <w:rFonts w:hint="eastAsia" w:ascii="Times New Roman" w:hAnsi="Times New Roman" w:eastAsia="宋体" w:cs="Times New Roman"/>
                <w:color w:val="auto"/>
                <w:sz w:val="24"/>
                <w:szCs w:val="24"/>
                <w:highlight w:val="none"/>
                <w:lang w:eastAsia="zh-CN"/>
              </w:rPr>
              <w:t>每提供一个案例得</w:t>
            </w:r>
            <w:r>
              <w:rPr>
                <w:rFonts w:hint="eastAsia" w:ascii="Times New Roman" w:hAnsi="Times New Roman" w:eastAsia="宋体" w:cs="Times New Roman"/>
                <w:color w:val="auto"/>
                <w:sz w:val="24"/>
                <w:szCs w:val="24"/>
                <w:highlight w:val="none"/>
                <w:lang w:val="en-US" w:eastAsia="zh-CN"/>
              </w:rPr>
              <w:t>1分，最高得5分，</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eastAsia="zh-CN"/>
              </w:rPr>
              <w:t>提供合同复印件，否则不得分</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tc>
        <w:tc>
          <w:tcPr>
            <w:tcW w:w="7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465" w:type="dxa"/>
            <w:noWrap w:val="0"/>
            <w:vAlign w:val="center"/>
          </w:tcPr>
          <w:p>
            <w:pPr>
              <w:contextualSpacing/>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napToGrid w:val="0"/>
                <w:color w:val="auto"/>
                <w:kern w:val="24"/>
                <w:sz w:val="24"/>
                <w:szCs w:val="24"/>
                <w:highlight w:val="none"/>
              </w:rPr>
              <w:t>拟投入本项目的人员</w:t>
            </w:r>
          </w:p>
        </w:tc>
        <w:tc>
          <w:tcPr>
            <w:tcW w:w="6453" w:type="dxa"/>
            <w:noWrap w:val="0"/>
            <w:vAlign w:val="center"/>
          </w:tcPr>
          <w:p>
            <w:pPr>
              <w:tabs>
                <w:tab w:val="left" w:pos="900"/>
              </w:tabs>
              <w:adjustRightInd w:val="0"/>
              <w:snapToGrid w:val="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投标人经过</w:t>
            </w:r>
            <w:r>
              <w:rPr>
                <w:rFonts w:hint="default" w:ascii="Times New Roman" w:hAnsi="Times New Roman" w:eastAsia="宋体" w:cs="Times New Roman"/>
                <w:color w:val="auto"/>
                <w:sz w:val="24"/>
                <w:szCs w:val="24"/>
                <w:highlight w:val="none"/>
                <w:lang w:val="en-US" w:eastAsia="zh-CN"/>
              </w:rPr>
              <w:t>UPS（台达）厂</w:t>
            </w:r>
            <w:r>
              <w:rPr>
                <w:rFonts w:hint="default" w:ascii="Times New Roman" w:hAnsi="Times New Roman" w:eastAsia="宋体" w:cs="Times New Roman"/>
                <w:color w:val="auto"/>
                <w:sz w:val="24"/>
                <w:szCs w:val="24"/>
                <w:highlight w:val="none"/>
                <w:lang w:eastAsia="zh-CN"/>
              </w:rPr>
              <w:t>家专业培训并颁发认证证书，提供一个人得</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分，最多得</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分；</w:t>
            </w:r>
          </w:p>
          <w:p>
            <w:pPr>
              <w:tabs>
                <w:tab w:val="left" w:pos="900"/>
              </w:tabs>
              <w:adjustRightInd w:val="0"/>
              <w:snapToGrid w:val="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维修人员具有高压电工证，</w:t>
            </w:r>
            <w:r>
              <w:rPr>
                <w:rFonts w:hint="default" w:ascii="Times New Roman" w:hAnsi="Times New Roman" w:eastAsia="宋体" w:cs="Times New Roman"/>
                <w:color w:val="auto"/>
                <w:sz w:val="24"/>
                <w:szCs w:val="24"/>
                <w:highlight w:val="none"/>
                <w:lang w:eastAsia="zh-CN"/>
              </w:rPr>
              <w:t>提供一个人得</w:t>
            </w:r>
            <w:r>
              <w:rPr>
                <w:rFonts w:hint="default" w:ascii="Times New Roman" w:hAnsi="Times New Roman" w:eastAsia="宋体" w:cs="Times New Roman"/>
                <w:color w:val="auto"/>
                <w:sz w:val="24"/>
                <w:szCs w:val="24"/>
                <w:highlight w:val="none"/>
                <w:lang w:val="en-US" w:eastAsia="zh-CN"/>
              </w:rPr>
              <w:t>2分，最多得2分；</w:t>
            </w:r>
          </w:p>
          <w:p>
            <w:pPr>
              <w:tabs>
                <w:tab w:val="left" w:pos="900"/>
              </w:tabs>
              <w:adjustRightInd w:val="0"/>
              <w:snapToGrid w:val="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维修人员具有低压电工证，</w:t>
            </w:r>
            <w:r>
              <w:rPr>
                <w:rFonts w:hint="default" w:ascii="Times New Roman" w:hAnsi="Times New Roman" w:eastAsia="宋体" w:cs="Times New Roman"/>
                <w:color w:val="auto"/>
                <w:sz w:val="24"/>
                <w:szCs w:val="24"/>
                <w:highlight w:val="none"/>
                <w:lang w:eastAsia="zh-CN"/>
              </w:rPr>
              <w:t>提供一个人得</w:t>
            </w:r>
            <w:r>
              <w:rPr>
                <w:rFonts w:hint="default" w:ascii="Times New Roman" w:hAnsi="Times New Roman" w:eastAsia="宋体" w:cs="Times New Roman"/>
                <w:color w:val="auto"/>
                <w:sz w:val="24"/>
                <w:szCs w:val="24"/>
                <w:highlight w:val="none"/>
                <w:lang w:val="en-US" w:eastAsia="zh-CN"/>
              </w:rPr>
              <w:t>2分，最多得2分；本</w:t>
            </w:r>
            <w:r>
              <w:rPr>
                <w:rFonts w:hint="default" w:ascii="Times New Roman" w:hAnsi="Times New Roman" w:eastAsia="宋体" w:cs="Times New Roman"/>
                <w:color w:val="auto"/>
                <w:sz w:val="24"/>
                <w:szCs w:val="24"/>
                <w:highlight w:val="none"/>
              </w:rPr>
              <w:t>项最高得</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分</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snapToGrid w:val="0"/>
                <w:color w:val="auto"/>
                <w:kern w:val="24"/>
                <w:sz w:val="24"/>
                <w:szCs w:val="24"/>
                <w:highlight w:val="none"/>
              </w:rPr>
              <w:t>（提供的人员必须参与该项目）</w:t>
            </w:r>
          </w:p>
        </w:tc>
        <w:tc>
          <w:tcPr>
            <w:tcW w:w="7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65" w:type="dxa"/>
            <w:noWrap w:val="0"/>
            <w:vAlign w:val="center"/>
          </w:tcPr>
          <w:p>
            <w:pPr>
              <w:contextualSpacing/>
              <w:jc w:val="center"/>
              <w:rPr>
                <w:rFonts w:hint="default" w:ascii="Times New Roman" w:hAnsi="Times New Roman" w:eastAsia="宋体" w:cs="Times New Roman"/>
                <w:snapToGrid w:val="0"/>
                <w:color w:val="auto"/>
                <w:kern w:val="24"/>
                <w:sz w:val="24"/>
                <w:szCs w:val="24"/>
                <w:highlight w:val="none"/>
                <w:lang w:val="en-US" w:eastAsia="zh-CN"/>
              </w:rPr>
            </w:pPr>
            <w:r>
              <w:rPr>
                <w:rFonts w:hint="default" w:ascii="Times New Roman" w:hAnsi="Times New Roman" w:eastAsia="宋体" w:cs="Times New Roman"/>
                <w:snapToGrid w:val="0"/>
                <w:color w:val="auto"/>
                <w:kern w:val="24"/>
                <w:sz w:val="24"/>
                <w:szCs w:val="24"/>
                <w:highlight w:val="none"/>
                <w:lang w:val="en-US" w:eastAsia="zh-CN"/>
              </w:rPr>
              <w:t>标书方案响应情况</w:t>
            </w:r>
          </w:p>
        </w:tc>
        <w:tc>
          <w:tcPr>
            <w:tcW w:w="6453" w:type="dxa"/>
            <w:noWrap w:val="0"/>
            <w:vAlign w:val="center"/>
          </w:tcPr>
          <w:p>
            <w:pPr>
              <w:contextualSpacing/>
              <w:rPr>
                <w:rFonts w:hint="default" w:ascii="Times New Roman" w:hAnsi="Times New Roman" w:eastAsia="宋体" w:cs="Times New Roman"/>
                <w:snapToGrid w:val="0"/>
                <w:color w:val="auto"/>
                <w:kern w:val="24"/>
                <w:sz w:val="24"/>
                <w:szCs w:val="24"/>
                <w:highlight w:val="none"/>
              </w:rPr>
            </w:pPr>
            <w:r>
              <w:rPr>
                <w:rFonts w:hint="default" w:ascii="Times New Roman" w:hAnsi="Times New Roman" w:eastAsia="宋体" w:cs="Times New Roman"/>
                <w:color w:val="auto"/>
                <w:sz w:val="24"/>
                <w:szCs w:val="24"/>
                <w:highlight w:val="none"/>
              </w:rPr>
              <w:t>投标方案响应情况：对投标人所投方案与招标文件要求的服务内容、技术参数的响应性。0-1</w:t>
            </w:r>
            <w:r>
              <w:rPr>
                <w:rFonts w:hint="default"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分。</w:t>
            </w:r>
          </w:p>
        </w:tc>
        <w:tc>
          <w:tcPr>
            <w:tcW w:w="7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65" w:type="dxa"/>
            <w:noWrap w:val="0"/>
            <w:vAlign w:val="center"/>
          </w:tcPr>
          <w:p>
            <w:pPr>
              <w:contextualSpacing/>
              <w:jc w:val="center"/>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易损件报价</w:t>
            </w:r>
          </w:p>
        </w:tc>
        <w:tc>
          <w:tcPr>
            <w:tcW w:w="6453" w:type="dxa"/>
            <w:noWrap w:val="0"/>
            <w:vAlign w:val="center"/>
          </w:tcPr>
          <w:p>
            <w:pPr>
              <w:contextualSpacing/>
              <w:rPr>
                <w:rFonts w:hint="default" w:ascii="Times New Roman" w:hAnsi="Times New Roman" w:eastAsia="宋体" w:cs="Times New Roman"/>
                <w:color w:val="auto"/>
                <w:kern w:val="24"/>
                <w:sz w:val="24"/>
                <w:szCs w:val="24"/>
                <w:highlight w:val="none"/>
              </w:rPr>
            </w:pPr>
            <w:r>
              <w:rPr>
                <w:rFonts w:hint="default" w:ascii="Times New Roman" w:hAnsi="Times New Roman" w:eastAsia="宋体" w:cs="Times New Roman"/>
                <w:color w:val="auto"/>
                <w:sz w:val="24"/>
                <w:szCs w:val="24"/>
                <w:highlight w:val="none"/>
              </w:rPr>
              <w:t>服务质量控制手段及方法的合理性</w:t>
            </w:r>
            <w:r>
              <w:rPr>
                <w:rFonts w:hint="default" w:ascii="Times New Roman" w:hAnsi="Times New Roman" w:eastAsia="宋体" w:cs="Times New Roman"/>
                <w:color w:val="auto"/>
                <w:kern w:val="24"/>
                <w:sz w:val="24"/>
                <w:szCs w:val="24"/>
                <w:highlight w:val="none"/>
              </w:rPr>
              <w:t>，如</w:t>
            </w:r>
            <w:r>
              <w:rPr>
                <w:rFonts w:hint="default" w:ascii="Times New Roman" w:hAnsi="Times New Roman" w:eastAsia="宋体" w:cs="Times New Roman"/>
                <w:color w:val="auto"/>
                <w:kern w:val="24"/>
                <w:sz w:val="24"/>
                <w:szCs w:val="24"/>
                <w:highlight w:val="none"/>
                <w:lang w:val="en-US" w:eastAsia="zh-CN"/>
              </w:rPr>
              <w:t>易损</w:t>
            </w:r>
            <w:r>
              <w:rPr>
                <w:rFonts w:hint="default" w:ascii="Times New Roman" w:hAnsi="Times New Roman" w:eastAsia="宋体" w:cs="Times New Roman"/>
                <w:color w:val="auto"/>
                <w:kern w:val="24"/>
                <w:sz w:val="24"/>
                <w:szCs w:val="24"/>
                <w:highlight w:val="none"/>
              </w:rPr>
              <w:t>配件</w:t>
            </w:r>
            <w:r>
              <w:rPr>
                <w:rFonts w:hint="default" w:ascii="Times New Roman" w:hAnsi="Times New Roman" w:eastAsia="宋体" w:cs="Times New Roman"/>
                <w:color w:val="auto"/>
                <w:kern w:val="24"/>
                <w:sz w:val="24"/>
                <w:szCs w:val="24"/>
                <w:highlight w:val="none"/>
                <w:lang w:val="en-US" w:eastAsia="zh-CN"/>
              </w:rPr>
              <w:t>完整性</w:t>
            </w:r>
            <w:r>
              <w:rPr>
                <w:rFonts w:hint="default" w:ascii="Times New Roman" w:hAnsi="Times New Roman" w:eastAsia="宋体" w:cs="Times New Roman"/>
                <w:color w:val="auto"/>
                <w:kern w:val="24"/>
                <w:sz w:val="24"/>
                <w:szCs w:val="24"/>
                <w:highlight w:val="none"/>
              </w:rPr>
              <w:t>及</w:t>
            </w:r>
            <w:r>
              <w:rPr>
                <w:rFonts w:hint="default" w:ascii="Times New Roman" w:hAnsi="Times New Roman" w:eastAsia="宋体" w:cs="Times New Roman"/>
                <w:color w:val="auto"/>
                <w:kern w:val="24"/>
                <w:sz w:val="24"/>
                <w:szCs w:val="24"/>
                <w:highlight w:val="none"/>
                <w:lang w:val="en-US" w:eastAsia="zh-CN"/>
              </w:rPr>
              <w:t>坏件更换周期</w:t>
            </w:r>
            <w:r>
              <w:rPr>
                <w:rFonts w:hint="eastAsia" w:ascii="Times New Roman" w:hAnsi="Times New Roman" w:eastAsia="宋体" w:cs="Times New Roman"/>
                <w:color w:val="auto"/>
                <w:kern w:val="24"/>
                <w:sz w:val="24"/>
                <w:szCs w:val="24"/>
                <w:highlight w:val="none"/>
                <w:lang w:val="en-US" w:eastAsia="zh-CN"/>
              </w:rPr>
              <w:t>等</w:t>
            </w:r>
            <w:r>
              <w:rPr>
                <w:rFonts w:hint="default" w:ascii="Times New Roman" w:hAnsi="Times New Roman" w:eastAsia="宋体" w:cs="Times New Roman"/>
                <w:color w:val="auto"/>
                <w:kern w:val="24"/>
                <w:sz w:val="24"/>
                <w:szCs w:val="24"/>
                <w:highlight w:val="none"/>
                <w:lang w:val="en-US" w:eastAsia="zh-CN"/>
              </w:rPr>
              <w:t>，</w:t>
            </w:r>
            <w:r>
              <w:rPr>
                <w:rFonts w:hint="default" w:ascii="Times New Roman" w:hAnsi="Times New Roman" w:eastAsia="宋体" w:cs="Times New Roman"/>
                <w:color w:val="auto"/>
                <w:sz w:val="24"/>
                <w:szCs w:val="24"/>
                <w:highlight w:val="none"/>
              </w:rPr>
              <w:t>0-</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分</w:t>
            </w:r>
          </w:p>
        </w:tc>
        <w:tc>
          <w:tcPr>
            <w:tcW w:w="7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5" w:type="dxa"/>
            <w:noWrap w:val="0"/>
            <w:vAlign w:val="center"/>
          </w:tcPr>
          <w:p>
            <w:pPr>
              <w:contextualSpacing/>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rPr>
              <w:t>维保设备</w:t>
            </w:r>
          </w:p>
        </w:tc>
        <w:tc>
          <w:tcPr>
            <w:tcW w:w="6453" w:type="dxa"/>
            <w:noWrap w:val="0"/>
            <w:vAlign w:val="center"/>
          </w:tcPr>
          <w:p>
            <w:pPr>
              <w:contextualSpacing/>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kern w:val="24"/>
                <w:sz w:val="24"/>
                <w:szCs w:val="24"/>
                <w:highlight w:val="none"/>
              </w:rPr>
              <w:t>根据投入维保设备的先进性</w:t>
            </w:r>
            <w:r>
              <w:rPr>
                <w:rFonts w:hint="default" w:ascii="Times New Roman" w:hAnsi="Times New Roman" w:eastAsia="宋体" w:cs="Times New Roman"/>
                <w:color w:val="auto"/>
                <w:sz w:val="24"/>
                <w:szCs w:val="24"/>
                <w:highlight w:val="none"/>
              </w:rPr>
              <w:t>0-</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分</w:t>
            </w:r>
            <w:r>
              <w:rPr>
                <w:rFonts w:hint="default" w:ascii="Times New Roman" w:hAnsi="Times New Roman" w:eastAsia="宋体" w:cs="Times New Roman"/>
                <w:color w:val="auto"/>
                <w:kern w:val="24"/>
                <w:sz w:val="24"/>
                <w:szCs w:val="24"/>
                <w:highlight w:val="none"/>
                <w:lang w:eastAsia="zh-CN"/>
              </w:rPr>
              <w:t>。</w:t>
            </w:r>
          </w:p>
        </w:tc>
        <w:tc>
          <w:tcPr>
            <w:tcW w:w="7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5" w:type="dxa"/>
            <w:noWrap w:val="0"/>
            <w:vAlign w:val="center"/>
          </w:tcPr>
          <w:p>
            <w:pPr>
              <w:contextualSpacing/>
              <w:jc w:val="center"/>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维保方案</w:t>
            </w:r>
          </w:p>
        </w:tc>
        <w:tc>
          <w:tcPr>
            <w:tcW w:w="6453" w:type="dxa"/>
            <w:noWrap w:val="0"/>
            <w:vAlign w:val="center"/>
          </w:tcPr>
          <w:p>
            <w:pPr>
              <w:contextualSpacing/>
              <w:rPr>
                <w:rFonts w:hint="default" w:ascii="Times New Roman" w:hAnsi="Times New Roman" w:eastAsia="宋体" w:cs="Times New Roman"/>
                <w:color w:val="auto"/>
                <w:kern w:val="24"/>
                <w:sz w:val="24"/>
                <w:szCs w:val="24"/>
                <w:highlight w:val="none"/>
              </w:rPr>
            </w:pPr>
            <w:r>
              <w:rPr>
                <w:rFonts w:hint="default" w:ascii="Times New Roman" w:hAnsi="Times New Roman" w:eastAsia="宋体" w:cs="Times New Roman"/>
                <w:color w:val="auto"/>
                <w:sz w:val="24"/>
                <w:szCs w:val="24"/>
                <w:highlight w:val="none"/>
              </w:rPr>
              <w:t>总体方案的科学性、合理性，0-</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分。</w:t>
            </w:r>
          </w:p>
        </w:tc>
        <w:tc>
          <w:tcPr>
            <w:tcW w:w="7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5" w:type="dxa"/>
            <w:noWrap w:val="0"/>
            <w:vAlign w:val="center"/>
          </w:tcPr>
          <w:p>
            <w:pPr>
              <w:contextualSpacing/>
              <w:jc w:val="center"/>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服务响应</w:t>
            </w:r>
          </w:p>
        </w:tc>
        <w:tc>
          <w:tcPr>
            <w:tcW w:w="6453" w:type="dxa"/>
            <w:noWrap w:val="0"/>
            <w:vAlign w:val="center"/>
          </w:tcPr>
          <w:p>
            <w:pPr>
              <w:adjustRightInd w:val="0"/>
              <w:snapToGrid w:val="0"/>
              <w:spacing w:before="120" w:beforeLines="50"/>
              <w:rPr>
                <w:rFonts w:hint="default" w:ascii="Times New Roman" w:hAnsi="Times New Roman" w:eastAsia="宋体" w:cs="Times New Roman"/>
                <w:color w:val="auto"/>
                <w:kern w:val="24"/>
                <w:sz w:val="24"/>
                <w:szCs w:val="24"/>
                <w:highlight w:val="none"/>
              </w:rPr>
            </w:pPr>
            <w:r>
              <w:rPr>
                <w:rFonts w:hint="default" w:ascii="Times New Roman" w:hAnsi="Times New Roman" w:eastAsia="宋体" w:cs="Times New Roman"/>
                <w:color w:val="auto"/>
                <w:sz w:val="24"/>
                <w:szCs w:val="24"/>
                <w:highlight w:val="none"/>
              </w:rPr>
              <w:t>服务响应时间及服务承诺情况，合同期满后与下一任中标人交接的承诺0-</w:t>
            </w:r>
            <w:r>
              <w:rPr>
                <w:rFonts w:hint="eastAsia"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分。</w:t>
            </w:r>
          </w:p>
        </w:tc>
        <w:tc>
          <w:tcPr>
            <w:tcW w:w="7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5" w:type="dxa"/>
            <w:noWrap w:val="0"/>
            <w:vAlign w:val="center"/>
          </w:tcPr>
          <w:p>
            <w:pPr>
              <w:contextualSpacing/>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snapToGrid w:val="0"/>
                <w:color w:val="auto"/>
                <w:kern w:val="24"/>
                <w:sz w:val="24"/>
                <w:szCs w:val="24"/>
                <w:highlight w:val="none"/>
              </w:rPr>
              <w:t>维保期间安全应急措施</w:t>
            </w:r>
          </w:p>
        </w:tc>
        <w:tc>
          <w:tcPr>
            <w:tcW w:w="6453" w:type="dxa"/>
            <w:noWrap w:val="0"/>
            <w:vAlign w:val="center"/>
          </w:tcPr>
          <w:p>
            <w:pPr>
              <w:contextualSpacing/>
              <w:rPr>
                <w:rFonts w:hint="default" w:ascii="Times New Roman" w:hAnsi="Times New Roman" w:eastAsia="宋体" w:cs="Times New Roman"/>
                <w:color w:val="auto"/>
                <w:kern w:val="24"/>
                <w:sz w:val="24"/>
                <w:szCs w:val="24"/>
                <w:highlight w:val="none"/>
              </w:rPr>
            </w:pPr>
            <w:r>
              <w:rPr>
                <w:rFonts w:hint="default" w:ascii="Times New Roman" w:hAnsi="Times New Roman" w:eastAsia="宋体" w:cs="Times New Roman"/>
                <w:snapToGrid w:val="0"/>
                <w:color w:val="auto"/>
                <w:kern w:val="24"/>
                <w:sz w:val="24"/>
                <w:szCs w:val="24"/>
                <w:highlight w:val="none"/>
              </w:rPr>
              <w:t>按照投标人针对本项目制定的应急措施的科学性、可行性和保障手段等因素综合评分</w:t>
            </w:r>
            <w:r>
              <w:rPr>
                <w:rFonts w:hint="default" w:ascii="Times New Roman" w:hAnsi="Times New Roman" w:eastAsia="宋体" w:cs="Times New Roman"/>
                <w:color w:val="auto"/>
                <w:sz w:val="24"/>
                <w:szCs w:val="24"/>
                <w:highlight w:val="none"/>
              </w:rPr>
              <w:t>0-1</w:t>
            </w:r>
            <w:r>
              <w:rPr>
                <w:rFonts w:hint="default"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分</w:t>
            </w:r>
            <w:r>
              <w:rPr>
                <w:rFonts w:hint="default" w:ascii="Times New Roman" w:hAnsi="Times New Roman" w:eastAsia="宋体" w:cs="Times New Roman"/>
                <w:snapToGrid w:val="0"/>
                <w:color w:val="auto"/>
                <w:kern w:val="24"/>
                <w:sz w:val="24"/>
                <w:szCs w:val="24"/>
                <w:highlight w:val="none"/>
              </w:rPr>
              <w:t>。</w:t>
            </w:r>
          </w:p>
        </w:tc>
        <w:tc>
          <w:tcPr>
            <w:tcW w:w="7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分</w:t>
            </w:r>
          </w:p>
        </w:tc>
      </w:tr>
    </w:tbl>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2、商务评审（总分</w:t>
      </w:r>
      <w:r>
        <w:rPr>
          <w:rFonts w:hint="eastAsia" w:ascii="宋体" w:hAnsi="宋体"/>
          <w:b/>
          <w:color w:val="auto"/>
          <w:sz w:val="24"/>
          <w:szCs w:val="24"/>
          <w:highlight w:val="none"/>
          <w:lang w:val="en-US" w:eastAsia="zh-CN"/>
        </w:rPr>
        <w:t>40</w:t>
      </w:r>
      <w:r>
        <w:rPr>
          <w:rFonts w:hint="eastAsia" w:ascii="宋体" w:hAnsi="宋体"/>
          <w:b/>
          <w:color w:val="auto"/>
          <w:sz w:val="24"/>
          <w:szCs w:val="24"/>
          <w:highlight w:val="none"/>
        </w:rPr>
        <w:t>分）</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评标基准价以满足招标文件要求且投标价格最低的投标报价为评标基准价，其商务报价分为XX分</w:t>
      </w:r>
      <w:r>
        <w:rPr>
          <w:rFonts w:hint="eastAsia" w:ascii="宋体" w:hAnsi="宋体"/>
          <w:color w:val="auto"/>
          <w:sz w:val="24"/>
          <w:szCs w:val="24"/>
          <w:highlight w:val="none"/>
        </w:rPr>
        <w:t>。</w:t>
      </w:r>
    </w:p>
    <w:p>
      <w:pPr>
        <w:adjustRightInd w:val="0"/>
        <w:snapToGrid w:val="0"/>
        <w:spacing w:line="360" w:lineRule="auto"/>
        <w:ind w:firstLine="482" w:firstLineChars="200"/>
        <w:jc w:val="center"/>
        <w:rPr>
          <w:rFonts w:ascii="宋体" w:hAnsi="宋体"/>
          <w:b/>
          <w:color w:val="auto"/>
          <w:sz w:val="24"/>
          <w:szCs w:val="24"/>
          <w:highlight w:val="none"/>
        </w:rPr>
      </w:pPr>
      <w:r>
        <w:rPr>
          <w:rFonts w:ascii="宋体" w:hAnsi="宋体"/>
          <w:b/>
          <w:color w:val="auto"/>
          <w:sz w:val="24"/>
          <w:szCs w:val="24"/>
          <w:highlight w:val="none"/>
        </w:rPr>
        <w:t>商务得分=（评标基准价/投标报价）×</w:t>
      </w:r>
      <w:r>
        <w:rPr>
          <w:rFonts w:hint="eastAsia" w:ascii="宋体" w:hAnsi="宋体"/>
          <w:b/>
          <w:color w:val="auto"/>
          <w:sz w:val="24"/>
          <w:szCs w:val="24"/>
          <w:highlight w:val="none"/>
          <w:lang w:val="en-US" w:eastAsia="zh-CN"/>
        </w:rPr>
        <w:t>40</w:t>
      </w:r>
      <w:r>
        <w:rPr>
          <w:rFonts w:ascii="宋体" w:hAnsi="宋体"/>
          <w:b/>
          <w:color w:val="auto"/>
          <w:sz w:val="24"/>
          <w:szCs w:val="24"/>
          <w:highlight w:val="none"/>
        </w:rPr>
        <w:t>%×100，保留小数2位</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由商务评标专家对投标文件进行商务评审。商务评标专家应对商务报价的范围、单价等进行全面审阅和对比分析，找出报价差异的原因及存在的问题。商务报价评审应以报价口径范围一致的评标价为依据。评标价应在最终报价的基础上，按照招标文件约定的因素和方法进行计算。凡属招标文件的原因造成报价口径范围不一致的，应予以调整，但因投标人自身失误造成多算、少算、漏算的，不得调整。</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3、投标人的综合得分为以上两部分评分的总和。</w:t>
      </w:r>
    </w:p>
    <w:p>
      <w:pPr>
        <w:adjustRightInd w:val="0"/>
        <w:snapToGrid w:val="0"/>
        <w:spacing w:line="360" w:lineRule="auto"/>
        <w:rPr>
          <w:rFonts w:ascii="宋体" w:hAnsi="宋体" w:cs="Courier New"/>
          <w:b/>
          <w:bCs/>
          <w:color w:val="auto"/>
          <w:sz w:val="24"/>
          <w:szCs w:val="24"/>
          <w:highlight w:val="none"/>
        </w:rPr>
      </w:pPr>
      <w:r>
        <w:rPr>
          <w:rFonts w:hint="eastAsia" w:ascii="宋体" w:hAnsi="宋体" w:cs="Courier New"/>
          <w:b/>
          <w:bCs/>
          <w:color w:val="auto"/>
          <w:sz w:val="24"/>
          <w:szCs w:val="24"/>
          <w:highlight w:val="none"/>
        </w:rPr>
        <w:t xml:space="preserve">二、评标报告 </w:t>
      </w:r>
    </w:p>
    <w:p>
      <w:pPr>
        <w:adjustRightInd w:val="0"/>
        <w:snapToGrid w:val="0"/>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评标委员会应根据评标情况和结果，向招标领导小组提交评标报告。评标报告应由评标委员会起草，按少数服从多数的原则通过。评标委员会全体成员应在评标报告上签字认可，评标专家如有保留意见可以在评标报告中阐明。</w:t>
      </w:r>
    </w:p>
    <w:p>
      <w:pPr>
        <w:adjustRightInd w:val="0"/>
        <w:snapToGrid w:val="0"/>
        <w:spacing w:line="360" w:lineRule="auto"/>
        <w:ind w:firstLine="435"/>
        <w:rPr>
          <w:rFonts w:hint="eastAsia" w:ascii="宋体" w:hAnsi="宋体"/>
          <w:color w:val="auto"/>
          <w:sz w:val="24"/>
          <w:szCs w:val="24"/>
          <w:highlight w:val="none"/>
        </w:rPr>
      </w:pPr>
      <w:r>
        <w:rPr>
          <w:rFonts w:hint="eastAsia" w:ascii="宋体" w:hAnsi="宋体"/>
          <w:color w:val="auto"/>
          <w:sz w:val="24"/>
          <w:szCs w:val="24"/>
          <w:highlight w:val="none"/>
        </w:rPr>
        <w:t>评标委员会应在评标报告中，由得分从高到低推荐前二名为中标候选人。得分相同时，投标价低者优先。若第一中标候选人在中标后30天内拒绝与采购人签订合同的，采购人可以与符合标的的第二中标候选人签约采购货物；若第一中标候选人签订合同后未按合同及采购人要求进行产品设计制作的，采购人有权与其解除合同并与符合标的的第二中标候选人签订采购合同。</w:t>
      </w:r>
    </w:p>
    <w:p>
      <w:pPr>
        <w:pStyle w:val="2"/>
        <w:rPr>
          <w:rFonts w:hint="eastAsia" w:ascii="宋体" w:hAnsi="宋体"/>
          <w:color w:val="auto"/>
          <w:sz w:val="24"/>
          <w:szCs w:val="24"/>
          <w:highlight w:val="none"/>
        </w:rPr>
      </w:pPr>
    </w:p>
    <w:p>
      <w:pPr>
        <w:rPr>
          <w:rFonts w:hint="eastAsia" w:ascii="宋体" w:hAnsi="宋体"/>
          <w:color w:val="auto"/>
          <w:sz w:val="24"/>
          <w:szCs w:val="24"/>
          <w:highlight w:val="none"/>
        </w:rPr>
      </w:pPr>
    </w:p>
    <w:p>
      <w:pPr>
        <w:pStyle w:val="2"/>
        <w:rPr>
          <w:rFonts w:hint="eastAsia" w:ascii="宋体" w:hAnsi="宋体"/>
          <w:color w:val="auto"/>
          <w:sz w:val="24"/>
          <w:szCs w:val="24"/>
          <w:highlight w:val="none"/>
        </w:rPr>
      </w:pPr>
    </w:p>
    <w:p>
      <w:pPr>
        <w:rPr>
          <w:rFonts w:hint="eastAsia" w:ascii="宋体" w:hAnsi="宋体"/>
          <w:color w:val="auto"/>
          <w:sz w:val="24"/>
          <w:szCs w:val="24"/>
          <w:highlight w:val="none"/>
        </w:rPr>
      </w:pPr>
    </w:p>
    <w:p>
      <w:pPr>
        <w:pStyle w:val="2"/>
        <w:rPr>
          <w:rFonts w:hint="eastAsia" w:ascii="宋体" w:hAnsi="宋体"/>
          <w:color w:val="auto"/>
          <w:sz w:val="24"/>
          <w:szCs w:val="24"/>
          <w:highlight w:val="none"/>
        </w:rPr>
      </w:pPr>
    </w:p>
    <w:p>
      <w:pPr>
        <w:rPr>
          <w:rFonts w:hint="eastAsia" w:ascii="宋体" w:hAnsi="宋体"/>
          <w:color w:val="auto"/>
          <w:sz w:val="24"/>
          <w:szCs w:val="24"/>
          <w:highlight w:val="none"/>
        </w:rPr>
      </w:pPr>
    </w:p>
    <w:p>
      <w:pPr>
        <w:pStyle w:val="2"/>
        <w:rPr>
          <w:rFonts w:hint="eastAsia" w:ascii="宋体" w:hAnsi="宋体"/>
          <w:color w:val="auto"/>
          <w:sz w:val="24"/>
          <w:szCs w:val="24"/>
          <w:highlight w:val="none"/>
        </w:rPr>
      </w:pPr>
    </w:p>
    <w:p>
      <w:pPr>
        <w:rPr>
          <w:rFonts w:hint="eastAsia" w:ascii="宋体" w:hAnsi="宋体"/>
          <w:color w:val="auto"/>
          <w:sz w:val="24"/>
          <w:szCs w:val="24"/>
          <w:highlight w:val="none"/>
        </w:rPr>
      </w:pPr>
    </w:p>
    <w:p>
      <w:pPr>
        <w:pStyle w:val="2"/>
        <w:rPr>
          <w:rFonts w:hint="eastAsia"/>
        </w:rPr>
      </w:pPr>
    </w:p>
    <w:p>
      <w:pPr>
        <w:rPr>
          <w:rFonts w:hint="eastAsia" w:ascii="宋体" w:hAnsi="宋体"/>
          <w:color w:val="auto"/>
          <w:sz w:val="24"/>
          <w:szCs w:val="24"/>
          <w:highlight w:val="none"/>
        </w:rPr>
      </w:pPr>
    </w:p>
    <w:p>
      <w:pPr>
        <w:pStyle w:val="2"/>
        <w:rPr>
          <w:rFonts w:hint="eastAsia" w:ascii="宋体" w:hAnsi="宋体"/>
          <w:color w:val="auto"/>
          <w:sz w:val="24"/>
          <w:szCs w:val="24"/>
          <w:highlight w:val="none"/>
        </w:rPr>
      </w:pPr>
    </w:p>
    <w:p>
      <w:pPr>
        <w:rPr>
          <w:rFonts w:hint="eastAsia" w:ascii="宋体" w:hAnsi="宋体"/>
          <w:color w:val="auto"/>
          <w:sz w:val="24"/>
          <w:szCs w:val="24"/>
          <w:highlight w:val="none"/>
        </w:rPr>
      </w:pPr>
    </w:p>
    <w:p>
      <w:pPr>
        <w:pStyle w:val="2"/>
        <w:rPr>
          <w:color w:val="auto"/>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第五章</w:t>
      </w:r>
      <w:r>
        <w:rPr>
          <w:rFonts w:ascii="宋体" w:hAnsi="宋体"/>
          <w:b/>
          <w:color w:val="auto"/>
          <w:sz w:val="32"/>
          <w:szCs w:val="32"/>
          <w:highlight w:val="none"/>
        </w:rPr>
        <w:t xml:space="preserve">  </w:t>
      </w:r>
      <w:r>
        <w:rPr>
          <w:rFonts w:hint="eastAsia" w:ascii="宋体" w:hAnsi="宋体"/>
          <w:b/>
          <w:color w:val="auto"/>
          <w:sz w:val="32"/>
          <w:szCs w:val="32"/>
          <w:highlight w:val="none"/>
        </w:rPr>
        <w:t>投标相关文件格式</w:t>
      </w:r>
    </w:p>
    <w:p>
      <w:pPr>
        <w:widowControl/>
        <w:tabs>
          <w:tab w:val="left" w:pos="0"/>
        </w:tabs>
        <w:snapToGrid w:val="0"/>
        <w:spacing w:line="360" w:lineRule="auto"/>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Cs w:val="21"/>
          <w:highlight w:val="none"/>
        </w:rPr>
      </w:pPr>
      <w:bookmarkStart w:id="0" w:name="_Toc350938485"/>
      <w:r>
        <w:rPr>
          <w:rFonts w:ascii="宋体" w:hAnsi="宋体"/>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一</w:t>
      </w:r>
      <w:r>
        <w:rPr>
          <w:rFonts w:ascii="宋体" w:hAnsi="宋体"/>
          <w:b/>
          <w:bCs/>
          <w:color w:val="auto"/>
          <w:kern w:val="0"/>
          <w:sz w:val="36"/>
          <w:szCs w:val="36"/>
          <w:highlight w:val="none"/>
        </w:rPr>
        <w:t xml:space="preserve">                 封面格式1</w:t>
      </w:r>
      <w:bookmarkEnd w:id="0"/>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885" w:firstLineChars="245"/>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（技术文件）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bookmarkStart w:id="1" w:name="_Toc350938486"/>
    </w:p>
    <w:p>
      <w:pPr>
        <w:widowControl/>
        <w:spacing w:before="260" w:after="260" w:line="270" w:lineRule="atLeast"/>
        <w:ind w:left="-141" w:leftChars="-67"/>
        <w:jc w:val="left"/>
        <w:rPr>
          <w:rFonts w:ascii="宋体" w:hAnsi="宋体"/>
          <w:b/>
          <w:bCs/>
          <w:color w:val="auto"/>
          <w:kern w:val="0"/>
          <w:sz w:val="36"/>
          <w:szCs w:val="36"/>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r>
        <w:rPr>
          <w:rFonts w:ascii="宋体" w:hAnsi="宋体"/>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color w:val="auto"/>
          <w:kern w:val="0"/>
          <w:szCs w:val="21"/>
          <w:highlight w:val="none"/>
        </w:rPr>
      </w:pP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二</w:t>
      </w:r>
      <w:r>
        <w:rPr>
          <w:rFonts w:ascii="宋体" w:hAnsi="宋体"/>
          <w:b/>
          <w:bCs/>
          <w:color w:val="auto"/>
          <w:kern w:val="0"/>
          <w:sz w:val="36"/>
          <w:szCs w:val="36"/>
          <w:highlight w:val="none"/>
        </w:rPr>
        <w:t xml:space="preserve">                  封面格式2</w:t>
      </w:r>
      <w:bookmarkEnd w:id="1"/>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531" w:firstLineChars="147"/>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（商务文件）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spacing w:line="360" w:lineRule="auto"/>
        <w:rPr>
          <w:rFonts w:ascii="宋体" w:hAnsi="宋体"/>
          <w:b/>
          <w:color w:val="auto"/>
          <w:sz w:val="32"/>
          <w:szCs w:val="32"/>
          <w:highlight w:val="none"/>
        </w:rPr>
      </w:pP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附件三：                 投标函（格式）</w:t>
      </w:r>
    </w:p>
    <w:p>
      <w:pPr>
        <w:pStyle w:val="6"/>
        <w:spacing w:line="400" w:lineRule="exact"/>
        <w:rPr>
          <w:rFonts w:hAnsi="宋体" w:cs="宋体"/>
          <w:color w:val="auto"/>
          <w:kern w:val="0"/>
          <w:sz w:val="24"/>
          <w:szCs w:val="24"/>
          <w:highlight w:val="none"/>
        </w:rPr>
      </w:pPr>
    </w:p>
    <w:p>
      <w:pPr>
        <w:pStyle w:val="6"/>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6"/>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1）所附投标报价表中规定的应提供和支付的设备和服务投标总价为（人民币） </w:t>
      </w:r>
      <w:r>
        <w:rPr>
          <w:rFonts w:hint="eastAsia" w:ascii="宋体" w:hAnsi="宋体" w:cs="宋体"/>
          <w:color w:val="auto"/>
          <w:kern w:val="0"/>
          <w:sz w:val="24"/>
          <w:szCs w:val="24"/>
          <w:highlight w:val="none"/>
          <w:u w:val="single"/>
        </w:rPr>
        <w:t>__   _</w:t>
      </w:r>
      <w:r>
        <w:rPr>
          <w:rFonts w:hint="eastAsia" w:ascii="宋体" w:hAnsi="宋体" w:cs="宋体"/>
          <w:color w:val="auto"/>
          <w:kern w:val="0"/>
          <w:sz w:val="24"/>
          <w:szCs w:val="24"/>
          <w:highlight w:val="none"/>
        </w:rPr>
        <w:t xml:space="preserve">， 即 </w:t>
      </w:r>
      <w:r>
        <w:rPr>
          <w:rFonts w:hint="eastAsia" w:ascii="宋体" w:hAnsi="宋体" w:cs="宋体"/>
          <w:color w:val="auto"/>
          <w:kern w:val="0"/>
          <w:sz w:val="24"/>
          <w:szCs w:val="24"/>
          <w:highlight w:val="none"/>
          <w:u w:val="single"/>
        </w:rPr>
        <w:t>___  ____</w:t>
      </w:r>
      <w:r>
        <w:rPr>
          <w:rFonts w:hint="eastAsia" w:ascii="宋体" w:hAnsi="宋体" w:cs="宋体"/>
          <w:color w:val="auto"/>
          <w:kern w:val="0"/>
          <w:sz w:val="24"/>
          <w:szCs w:val="24"/>
          <w:highlight w:val="none"/>
        </w:rPr>
        <w:t>（大写）。（企业成本价为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附件四 </w:t>
      </w:r>
      <w:r>
        <w:rPr>
          <w:rFonts w:hint="eastAsia" w:ascii="宋体" w:hAnsi="宋体" w:cs="宋体"/>
          <w:b/>
          <w:bCs/>
          <w:color w:val="auto"/>
          <w:kern w:val="0"/>
          <w:sz w:val="28"/>
          <w:szCs w:val="28"/>
          <w:highlight w:val="none"/>
        </w:rPr>
        <w:t xml:space="preserve">        投标人法定代表人授权书（格式）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注册于</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（注册地址）的</w:t>
      </w:r>
      <w:r>
        <w:rPr>
          <w:rFonts w:hint="eastAsia" w:ascii="宋体" w:hAnsi="宋体" w:cs="宋体"/>
          <w:color w:val="auto"/>
          <w:kern w:val="0"/>
          <w:sz w:val="24"/>
          <w:szCs w:val="24"/>
          <w:highlight w:val="none"/>
          <w:u w:val="single"/>
          <w:lang w:val="zh-CN"/>
        </w:rPr>
        <w:t xml:space="preserve">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（投标人名称），系中华人民共和国合法企业；本人</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（授权人姓名）系该公司的法定代表人。现特授权本单位的（被授权人姓名）</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（身份证号码）</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为我公司合法代理人，全权代表我公司办理就</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项目的投标、谈判、签约等具体工作，并签署全部有关的文件、协议及合同。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附件五、报价一览表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rPr>
        <w:t>投标人名称：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15"/>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UPS维保服务</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年</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、以上报价应与“投标设备报价明细表”中的“投标总价”相一致。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投标人名称（盖章）：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附件六 </w:t>
      </w:r>
      <w:r>
        <w:rPr>
          <w:rFonts w:hAnsi="宋体"/>
          <w:b/>
          <w:color w:val="auto"/>
          <w:sz w:val="24"/>
          <w:szCs w:val="24"/>
          <w:highlight w:val="none"/>
        </w:rPr>
        <w:t xml:space="preserve">投标报价明细表格式：       </w:t>
      </w:r>
    </w:p>
    <w:p>
      <w:pPr>
        <w:pStyle w:val="6"/>
        <w:snapToGrid w:val="0"/>
        <w:spacing w:before="295" w:after="295"/>
        <w:jc w:val="center"/>
        <w:rPr>
          <w:rFonts w:hAnsi="宋体"/>
          <w:color w:val="auto"/>
          <w:sz w:val="24"/>
          <w:szCs w:val="24"/>
          <w:highlight w:val="none"/>
        </w:rPr>
      </w:pPr>
      <w:r>
        <w:rPr>
          <w:rFonts w:hAnsi="宋体"/>
          <w:color w:val="auto"/>
          <w:sz w:val="24"/>
          <w:szCs w:val="24"/>
          <w:highlight w:val="none"/>
        </w:rPr>
        <w:t>投标报价明细表</w:t>
      </w:r>
    </w:p>
    <w:p>
      <w:pPr>
        <w:pStyle w:val="6"/>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tbl>
      <w:tblPr>
        <w:tblStyle w:val="15"/>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名称</w:t>
            </w:r>
          </w:p>
        </w:tc>
        <w:tc>
          <w:tcPr>
            <w:tcW w:w="1080" w:type="dxa"/>
            <w:tcBorders>
              <w:top w:val="single" w:color="auto" w:sz="4" w:space="0"/>
              <w:left w:val="single" w:color="auto" w:sz="4" w:space="0"/>
              <w:bottom w:val="single" w:color="auto" w:sz="4" w:space="0"/>
              <w:right w:val="single" w:color="auto" w:sz="4" w:space="0"/>
            </w:tcBorders>
            <w:vAlign w:val="center"/>
          </w:tcPr>
          <w:p>
            <w:pPr>
              <w:pStyle w:val="102"/>
              <w:snapToGrid w:val="0"/>
              <w:spacing w:before="50" w:after="50" w:line="24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规格</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材质</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ascii="宋体" w:hAnsi="宋体"/>
                <w:color w:val="auto"/>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0" w:type="dxa"/>
            <w:gridSpan w:val="6"/>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投 标 总</w:t>
            </w:r>
            <w:r>
              <w:rPr>
                <w:rFonts w:ascii="宋体" w:hAnsi="宋体"/>
                <w:color w:val="auto"/>
                <w:spacing w:val="20"/>
                <w:szCs w:val="21"/>
                <w:highlight w:val="none"/>
              </w:rPr>
              <w:t xml:space="preserve">  </w:t>
            </w:r>
            <w:r>
              <w:rPr>
                <w:rFonts w:hint="eastAsia" w:ascii="宋体" w:hAnsi="宋体"/>
                <w:color w:val="auto"/>
                <w:spacing w:val="20"/>
                <w:szCs w:val="21"/>
                <w:highlight w:val="none"/>
              </w:rPr>
              <w:t>价</w:t>
            </w: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bl>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投标人盖章：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pStyle w:val="6"/>
        <w:snapToGrid w:val="0"/>
        <w:spacing w:before="295" w:after="295"/>
        <w:ind w:firstLine="480" w:firstLineChars="200"/>
        <w:rPr>
          <w:rFonts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rPr>
          <w:rFonts w:ascii="宋体" w:hAnsi="宋体"/>
          <w:color w:val="auto"/>
          <w:highlight w:val="none"/>
        </w:rPr>
      </w:pPr>
    </w:p>
    <w:p>
      <w:pPr>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附件七 技术规格偏离表格式</w:t>
      </w: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技术规格偏离表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p>
    <w:tbl>
      <w:tblPr>
        <w:tblStyle w:val="15"/>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144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招标要求</w:t>
            </w:r>
          </w:p>
        </w:tc>
        <w:tc>
          <w:tcPr>
            <w:tcW w:w="198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投标响应情况</w:t>
            </w:r>
          </w:p>
        </w:tc>
        <w:tc>
          <w:tcPr>
            <w:tcW w:w="882"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偏离</w:t>
            </w:r>
          </w:p>
        </w:tc>
        <w:tc>
          <w:tcPr>
            <w:tcW w:w="16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ascii="宋体" w:hAnsi="宋体"/>
          <w:color w:val="auto"/>
          <w:sz w:val="24"/>
          <w:highlight w:val="none"/>
        </w:rPr>
        <w:br w:type="page"/>
      </w:r>
      <w:r>
        <w:rPr>
          <w:rFonts w:hint="eastAsia" w:ascii="宋体" w:hAnsi="宋体"/>
          <w:color w:val="auto"/>
          <w:sz w:val="24"/>
          <w:szCs w:val="24"/>
          <w:highlight w:val="none"/>
        </w:rPr>
        <w:t>附件八 商务条款偏离表</w:t>
      </w:r>
    </w:p>
    <w:p>
      <w:pPr>
        <w:spacing w:line="360" w:lineRule="auto"/>
        <w:rPr>
          <w:rFonts w:ascii="宋体" w:hAnsi="宋体"/>
          <w:b/>
          <w:color w:val="auto"/>
          <w:sz w:val="24"/>
          <w:szCs w:val="24"/>
          <w:highlight w:val="none"/>
        </w:rPr>
      </w:pP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商务条款偏离表</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p>
    <w:tbl>
      <w:tblPr>
        <w:tblStyle w:val="15"/>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216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招标文件的商务条款</w:t>
            </w:r>
          </w:p>
        </w:tc>
        <w:tc>
          <w:tcPr>
            <w:tcW w:w="273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投标文件的商务条款</w:t>
            </w:r>
          </w:p>
        </w:tc>
        <w:tc>
          <w:tcPr>
            <w:tcW w:w="945"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highlight w:val="none"/>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AcdKr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Ey2dN5qLDq3mNd7N+7HpdmygMmk+peBpPeqIfgPZp7PJsr+kh4+qhcXi+uKOF4VS7K5fIqoRRP&#10;H/sA8U44Q1JQ04Czy5ayw0eIQ+lUknpZd6u0zvPT9q8EYqZMkZgPDFMU+20/ytm65ohqOhx7TS1u&#10;OSX6g0VX04ZMQZiC7RTsfVC7FqmVmRf4d/uIJDK31GGAHRvjvLK6cbfSQvx5zlVP/9P6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gHHSqzgEAAJcDAAAOAAAAAAAAAAEAIAAAAB8BAABkcnMv&#10;ZTJvRG9jLnhtbFBLBQYAAAAABgAGAFkBAABf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0"/>
      </w:pBdr>
      <w:ind w:right="142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56FA0"/>
    <w:multiLevelType w:val="multilevel"/>
    <w:tmpl w:val="26D56FA0"/>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7B3B521E"/>
    <w:multiLevelType w:val="multilevel"/>
    <w:tmpl w:val="7B3B521E"/>
    <w:lvl w:ilvl="0" w:tentative="0">
      <w:start w:val="1"/>
      <w:numFmt w:val="japaneseCounting"/>
      <w:lvlText w:val="%1、"/>
      <w:lvlJc w:val="left"/>
      <w:pPr>
        <w:tabs>
          <w:tab w:val="left" w:pos="480"/>
        </w:tabs>
        <w:ind w:left="480" w:hanging="480"/>
      </w:pPr>
      <w:rPr>
        <w:rFonts w:hint="default"/>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62C2"/>
    <w:rsid w:val="000B0F2D"/>
    <w:rsid w:val="000B1B46"/>
    <w:rsid w:val="000B2173"/>
    <w:rsid w:val="000B55A0"/>
    <w:rsid w:val="000B6FF1"/>
    <w:rsid w:val="000C072A"/>
    <w:rsid w:val="000C328E"/>
    <w:rsid w:val="000C485C"/>
    <w:rsid w:val="000C61AC"/>
    <w:rsid w:val="000D1BCC"/>
    <w:rsid w:val="000D35AF"/>
    <w:rsid w:val="000D4989"/>
    <w:rsid w:val="000D6013"/>
    <w:rsid w:val="000D6E5D"/>
    <w:rsid w:val="000D71C1"/>
    <w:rsid w:val="000E349E"/>
    <w:rsid w:val="000E35D7"/>
    <w:rsid w:val="000E378F"/>
    <w:rsid w:val="000E5EA2"/>
    <w:rsid w:val="000E6EFC"/>
    <w:rsid w:val="000E6F4C"/>
    <w:rsid w:val="000F61AB"/>
    <w:rsid w:val="00100F1D"/>
    <w:rsid w:val="001050F9"/>
    <w:rsid w:val="00105FD5"/>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3E6F"/>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2E1E"/>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40E45"/>
    <w:rsid w:val="00C41810"/>
    <w:rsid w:val="00C45471"/>
    <w:rsid w:val="00C479D1"/>
    <w:rsid w:val="00C52406"/>
    <w:rsid w:val="00C53AAB"/>
    <w:rsid w:val="00C53C9F"/>
    <w:rsid w:val="00C55239"/>
    <w:rsid w:val="00C56B66"/>
    <w:rsid w:val="00C577D2"/>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973AA"/>
    <w:rsid w:val="00DA50F7"/>
    <w:rsid w:val="00DA5F1E"/>
    <w:rsid w:val="00DB05C2"/>
    <w:rsid w:val="00DB376F"/>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64CE"/>
    <w:rsid w:val="00E139BC"/>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7AF1"/>
    <w:rsid w:val="00E67E46"/>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6C1E"/>
    <w:rsid w:val="00EF2504"/>
    <w:rsid w:val="00EF2580"/>
    <w:rsid w:val="00EF2B55"/>
    <w:rsid w:val="00EF3CAA"/>
    <w:rsid w:val="00EF4ECD"/>
    <w:rsid w:val="00F05EB2"/>
    <w:rsid w:val="00F05FBE"/>
    <w:rsid w:val="00F07DF7"/>
    <w:rsid w:val="00F13056"/>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40B0"/>
    <w:rsid w:val="00F66388"/>
    <w:rsid w:val="00F67F7F"/>
    <w:rsid w:val="00F71C86"/>
    <w:rsid w:val="00F7215A"/>
    <w:rsid w:val="00F75492"/>
    <w:rsid w:val="00F77F0D"/>
    <w:rsid w:val="00F85B58"/>
    <w:rsid w:val="00F86E78"/>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9C64ADE"/>
    <w:rsid w:val="12357DCC"/>
    <w:rsid w:val="14B547A7"/>
    <w:rsid w:val="16165549"/>
    <w:rsid w:val="1B311381"/>
    <w:rsid w:val="3D4101DE"/>
    <w:rsid w:val="4B9559A6"/>
    <w:rsid w:val="61445380"/>
    <w:rsid w:val="654F4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2"/>
    <w:basedOn w:val="1"/>
    <w:next w:val="1"/>
    <w:link w:val="106"/>
    <w:qFormat/>
    <w:uiPriority w:val="0"/>
    <w:pPr>
      <w:keepNext/>
      <w:keepLines/>
      <w:spacing w:before="260" w:after="260" w:line="416" w:lineRule="auto"/>
      <w:outlineLvl w:val="1"/>
    </w:pPr>
    <w:rPr>
      <w:rFonts w:ascii="Arial" w:hAnsi="Arial" w:eastAsia="黑体"/>
      <w:b/>
      <w:bCs/>
      <w:sz w:val="32"/>
      <w:szCs w:val="32"/>
    </w:rPr>
  </w:style>
  <w:style w:type="paragraph" w:styleId="2">
    <w:name w:val="heading 4"/>
    <w:basedOn w:val="1"/>
    <w:next w:val="1"/>
    <w:qFormat/>
    <w:uiPriority w:val="9"/>
    <w:pPr>
      <w:outlineLvl w:val="3"/>
    </w:pPr>
    <w:rPr>
      <w:b/>
      <w:iCs/>
      <w:sz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eastAsia="仿宋_GB2312"/>
      <w:sz w:val="32"/>
    </w:rPr>
  </w:style>
  <w:style w:type="paragraph" w:styleId="5">
    <w:name w:val="Body Text"/>
    <w:basedOn w:val="1"/>
    <w:link w:val="103"/>
    <w:semiHidden/>
    <w:unhideWhenUsed/>
    <w:qFormat/>
    <w:uiPriority w:val="99"/>
    <w:pPr>
      <w:spacing w:after="120"/>
    </w:pPr>
  </w:style>
  <w:style w:type="paragraph" w:styleId="6">
    <w:name w:val="Plain Text"/>
    <w:basedOn w:val="1"/>
    <w:next w:val="1"/>
    <w:link w:val="24"/>
    <w:unhideWhenUsed/>
    <w:qFormat/>
    <w:uiPriority w:val="0"/>
    <w:rPr>
      <w:rFonts w:ascii="宋体" w:hAnsi="Courier New" w:cs="Courier New"/>
      <w:szCs w:val="21"/>
    </w:rPr>
  </w:style>
  <w:style w:type="paragraph" w:styleId="7">
    <w:name w:val="Date"/>
    <w:basedOn w:val="1"/>
    <w:next w:val="1"/>
    <w:link w:val="29"/>
    <w:qFormat/>
    <w:uiPriority w:val="0"/>
    <w:pPr>
      <w:adjustRightInd w:val="0"/>
      <w:spacing w:line="312" w:lineRule="atLeast"/>
      <w:textAlignment w:val="baseline"/>
    </w:pPr>
    <w:rPr>
      <w:rFonts w:ascii="仿宋_GB2312" w:eastAsia="仿宋_GB2312"/>
      <w:kern w:val="0"/>
      <w:sz w:val="28"/>
    </w:rPr>
  </w:style>
  <w:style w:type="paragraph" w:styleId="8">
    <w:name w:val="Body Text Indent 2"/>
    <w:basedOn w:val="1"/>
    <w:link w:val="26"/>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9">
    <w:name w:val="Balloon Text"/>
    <w:basedOn w:val="1"/>
    <w:link w:val="105"/>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107"/>
    <w:qFormat/>
    <w:uiPriority w:val="0"/>
    <w:pPr>
      <w:spacing w:after="120" w:line="480" w:lineRule="auto"/>
    </w:pPr>
    <w:rPr>
      <w:szCs w:val="24"/>
    </w:rPr>
  </w:style>
  <w:style w:type="paragraph" w:styleId="13">
    <w:name w:val="HTML Preformatted"/>
    <w:basedOn w:val="1"/>
    <w:link w:val="23"/>
    <w:unhideWhenUsed/>
    <w:qFormat/>
    <w:uiPriority w:val="99"/>
    <w:rPr>
      <w:rFonts w:ascii="Courier New" w:hAnsi="Courier New" w:cs="Courier New" w:eastAsiaTheme="minorEastAsia"/>
      <w:szCs w:val="22"/>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character" w:styleId="17">
    <w:name w:val="Strong"/>
    <w:basedOn w:val="16"/>
    <w:qFormat/>
    <w:uiPriority w:val="0"/>
    <w:rPr>
      <w:b/>
      <w:bCs/>
    </w:rPr>
  </w:style>
  <w:style w:type="character" w:styleId="18">
    <w:name w:val="page number"/>
    <w:basedOn w:val="16"/>
    <w:qFormat/>
    <w:uiPriority w:val="0"/>
  </w:style>
  <w:style w:type="character" w:styleId="19">
    <w:name w:val="FollowedHyperlink"/>
    <w:basedOn w:val="16"/>
    <w:semiHidden/>
    <w:unhideWhenUsed/>
    <w:qFormat/>
    <w:uiPriority w:val="99"/>
    <w:rPr>
      <w:color w:val="800080"/>
      <w:u w:val="single"/>
    </w:rPr>
  </w:style>
  <w:style w:type="character" w:styleId="20">
    <w:name w:val="Hyperlink"/>
    <w:basedOn w:val="16"/>
    <w:unhideWhenUsed/>
    <w:qFormat/>
    <w:uiPriority w:val="99"/>
    <w:rPr>
      <w:color w:val="0000FF"/>
      <w:u w:val="single"/>
    </w:rPr>
  </w:style>
  <w:style w:type="character" w:customStyle="1" w:styleId="21">
    <w:name w:val="页眉 Char"/>
    <w:basedOn w:val="16"/>
    <w:link w:val="11"/>
    <w:qFormat/>
    <w:uiPriority w:val="99"/>
    <w:rPr>
      <w:sz w:val="18"/>
      <w:szCs w:val="18"/>
    </w:rPr>
  </w:style>
  <w:style w:type="character" w:customStyle="1" w:styleId="22">
    <w:name w:val="页脚 Char"/>
    <w:basedOn w:val="16"/>
    <w:link w:val="10"/>
    <w:uiPriority w:val="99"/>
    <w:rPr>
      <w:sz w:val="18"/>
      <w:szCs w:val="18"/>
    </w:rPr>
  </w:style>
  <w:style w:type="character" w:customStyle="1" w:styleId="23">
    <w:name w:val="HTML 预设格式 Char"/>
    <w:link w:val="13"/>
    <w:uiPriority w:val="99"/>
    <w:rPr>
      <w:rFonts w:ascii="Courier New" w:hAnsi="Courier New" w:cs="Courier New"/>
    </w:rPr>
  </w:style>
  <w:style w:type="character" w:customStyle="1" w:styleId="24">
    <w:name w:val="纯文本 Char"/>
    <w:basedOn w:val="16"/>
    <w:link w:val="6"/>
    <w:qFormat/>
    <w:uiPriority w:val="6"/>
    <w:rPr>
      <w:rFonts w:ascii="宋体" w:hAnsi="Courier New" w:eastAsia="宋体" w:cs="Courier New"/>
      <w:szCs w:val="21"/>
    </w:rPr>
  </w:style>
  <w:style w:type="character" w:customStyle="1" w:styleId="25">
    <w:name w:val="HTML 预设格式 Char1"/>
    <w:basedOn w:val="16"/>
    <w:semiHidden/>
    <w:qFormat/>
    <w:uiPriority w:val="99"/>
    <w:rPr>
      <w:rFonts w:ascii="Courier New" w:hAnsi="Courier New" w:eastAsia="宋体" w:cs="Courier New"/>
      <w:sz w:val="20"/>
      <w:szCs w:val="20"/>
    </w:rPr>
  </w:style>
  <w:style w:type="character" w:customStyle="1" w:styleId="26">
    <w:name w:val="正文文本缩进 2 Char"/>
    <w:basedOn w:val="16"/>
    <w:link w:val="8"/>
    <w:semiHidden/>
    <w:qFormat/>
    <w:uiPriority w:val="0"/>
    <w:rPr>
      <w:rFonts w:ascii="仿宋_GB2312" w:hAnsi="Times New Roman" w:eastAsia="仿宋_GB2312" w:cs="Times New Roman"/>
      <w:kern w:val="0"/>
      <w:sz w:val="28"/>
      <w:szCs w:val="20"/>
    </w:rPr>
  </w:style>
  <w:style w:type="paragraph" w:styleId="27">
    <w:name w:val="List Paragraph"/>
    <w:basedOn w:val="1"/>
    <w:qFormat/>
    <w:uiPriority w:val="34"/>
    <w:pPr>
      <w:ind w:firstLine="420" w:firstLineChars="200"/>
    </w:pPr>
  </w:style>
  <w:style w:type="character" w:customStyle="1" w:styleId="28">
    <w:name w:val="tpc_content1"/>
    <w:basedOn w:val="16"/>
    <w:qFormat/>
    <w:uiPriority w:val="0"/>
    <w:rPr>
      <w:sz w:val="20"/>
      <w:szCs w:val="20"/>
    </w:rPr>
  </w:style>
  <w:style w:type="character" w:customStyle="1" w:styleId="29">
    <w:name w:val="日期 Char"/>
    <w:basedOn w:val="16"/>
    <w:link w:val="7"/>
    <w:semiHidden/>
    <w:qFormat/>
    <w:uiPriority w:val="0"/>
    <w:rPr>
      <w:rFonts w:ascii="仿宋_GB2312" w:hAnsi="Times New Roman" w:eastAsia="仿宋_GB2312" w:cs="Times New Roman"/>
      <w:kern w:val="0"/>
      <w:sz w:val="28"/>
      <w:szCs w:val="20"/>
    </w:rPr>
  </w:style>
  <w:style w:type="paragraph" w:customStyle="1" w:styleId="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3">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4">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font10"/>
    <w:basedOn w:val="1"/>
    <w:qFormat/>
    <w:uiPriority w:val="0"/>
    <w:pPr>
      <w:widowControl/>
      <w:spacing w:before="100" w:beforeAutospacing="1" w:after="100" w:afterAutospacing="1"/>
      <w:jc w:val="left"/>
    </w:pPr>
    <w:rPr>
      <w:kern w:val="0"/>
      <w:sz w:val="24"/>
      <w:szCs w:val="24"/>
    </w:rPr>
  </w:style>
  <w:style w:type="paragraph" w:customStyle="1" w:styleId="3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9">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1">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4">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6">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7">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4">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0">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7">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9">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0">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2">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3">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4">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5">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6">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7">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8">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0">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2">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4">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9">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0">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1">
    <w:name w:val="纯文本 Char1"/>
    <w:qFormat/>
    <w:uiPriority w:val="0"/>
    <w:rPr>
      <w:rFonts w:ascii="宋体" w:hAnsi="Courier New" w:eastAsia="宋体"/>
      <w:kern w:val="2"/>
      <w:sz w:val="24"/>
      <w:szCs w:val="24"/>
      <w:lang w:val="en-US" w:eastAsia="zh-CN" w:bidi="ar-SA"/>
    </w:rPr>
  </w:style>
  <w:style w:type="paragraph" w:customStyle="1" w:styleId="102">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3">
    <w:name w:val="正文文本 Char"/>
    <w:basedOn w:val="16"/>
    <w:link w:val="5"/>
    <w:semiHidden/>
    <w:qFormat/>
    <w:uiPriority w:val="99"/>
    <w:rPr>
      <w:rFonts w:ascii="Times New Roman" w:hAnsi="Times New Roman" w:eastAsia="宋体" w:cs="Times New Roman"/>
      <w:szCs w:val="20"/>
    </w:rPr>
  </w:style>
  <w:style w:type="paragraph" w:customStyle="1" w:styleId="104">
    <w:name w:val="默认段落字体 Para Char Char Char Char Char Char Char Char Char1 Char Char Char Char"/>
    <w:basedOn w:val="1"/>
    <w:qFormat/>
    <w:uiPriority w:val="0"/>
    <w:rPr>
      <w:rFonts w:ascii="Tahoma" w:hAnsi="Tahoma"/>
      <w:sz w:val="24"/>
    </w:rPr>
  </w:style>
  <w:style w:type="character" w:customStyle="1" w:styleId="105">
    <w:name w:val="批注框文本 Char"/>
    <w:basedOn w:val="16"/>
    <w:link w:val="9"/>
    <w:semiHidden/>
    <w:qFormat/>
    <w:uiPriority w:val="99"/>
    <w:rPr>
      <w:rFonts w:ascii="Times New Roman" w:hAnsi="Times New Roman" w:eastAsia="宋体" w:cs="Times New Roman"/>
      <w:sz w:val="18"/>
      <w:szCs w:val="18"/>
    </w:rPr>
  </w:style>
  <w:style w:type="character" w:customStyle="1" w:styleId="106">
    <w:name w:val="标题 2 Char"/>
    <w:basedOn w:val="16"/>
    <w:link w:val="3"/>
    <w:qFormat/>
    <w:uiPriority w:val="0"/>
    <w:rPr>
      <w:rFonts w:ascii="Arial" w:hAnsi="Arial" w:eastAsia="黑体" w:cs="Times New Roman"/>
      <w:b/>
      <w:bCs/>
      <w:sz w:val="32"/>
      <w:szCs w:val="32"/>
    </w:rPr>
  </w:style>
  <w:style w:type="character" w:customStyle="1" w:styleId="107">
    <w:name w:val="正文文本 2 Char"/>
    <w:basedOn w:val="16"/>
    <w:link w:val="12"/>
    <w:qFormat/>
    <w:uiPriority w:val="0"/>
    <w:rPr>
      <w:rFonts w:ascii="Times New Roman" w:hAnsi="Times New Roman" w:eastAsia="宋体" w:cs="Times New Roman"/>
      <w:szCs w:val="24"/>
    </w:rPr>
  </w:style>
  <w:style w:type="character" w:customStyle="1" w:styleId="108">
    <w:name w:val="纯文本 Char2"/>
    <w:qFormat/>
    <w:uiPriority w:val="99"/>
    <w:rPr>
      <w:rFonts w:ascii="宋体" w:hAnsi="Courier New" w:eastAsia="宋体"/>
      <w:kern w:val="2"/>
      <w:sz w:val="21"/>
      <w:lang w:val="en-US" w:eastAsia="zh-CN" w:bidi="ar-SA"/>
    </w:rPr>
  </w:style>
  <w:style w:type="character" w:customStyle="1" w:styleId="109">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98A48-A53D-45CC-958F-ACEF2E58899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1928</Words>
  <Characters>10990</Characters>
  <Lines>91</Lines>
  <Paragraphs>25</Paragraphs>
  <TotalTime>10</TotalTime>
  <ScaleCrop>false</ScaleCrop>
  <LinksUpToDate>false</LinksUpToDate>
  <CharactersWithSpaces>12893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2014-10-30T02:25:00Z</dcterms:created>
  <dc:creator>lenovo</dc:creator>
  <cp:lastModifiedBy>ZJU4H</cp:lastModifiedBy>
  <cp:lastPrinted>2015-07-08T07:44:00Z</cp:lastPrinted>
  <dcterms:modified xsi:type="dcterms:W3CDTF">2021-12-20T06:22:01Z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0B2C59B50B294272895949D62003B34B</vt:lpwstr>
  </property>
</Properties>
</file>