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浙江大学国际健康医学研究院健身器材招标文件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lang w:val="zh-CN"/>
        </w:rPr>
        <w:t>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国际健康医学研究院采购要求,对我院健身器材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u w:val="single"/>
        </w:rPr>
      </w:pPr>
      <w:r>
        <w:rPr>
          <w:rFonts w:hint="eastAsia" w:ascii="宋体" w:hAnsi="宋体"/>
          <w:color w:val="auto"/>
          <w:sz w:val="24"/>
          <w:highlight w:val="none"/>
        </w:rPr>
        <w:t>项目编号: 健康研究院-2022</w:t>
      </w:r>
      <w:r>
        <w:rPr>
          <w:rFonts w:hint="eastAsia" w:ascii="宋体" w:hAnsi="宋体"/>
          <w:color w:val="auto"/>
          <w:sz w:val="24"/>
          <w:highlight w:val="none"/>
          <w:lang w:val="en-US" w:eastAsia="zh-CN"/>
        </w:rPr>
        <w:t>N</w:t>
      </w:r>
      <w:r>
        <w:rPr>
          <w:rFonts w:hint="eastAsia" w:ascii="宋体" w:hAnsi="宋体"/>
          <w:color w:val="auto"/>
          <w:sz w:val="24"/>
          <w:highlight w:val="none"/>
        </w:rPr>
        <w:t>-001</w:t>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浙江大学国际健康医学研究院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采购内容：健身器材一批，详见第三章项目概况及要求。</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lang w:val="en-US" w:eastAsia="zh-CN"/>
        </w:rPr>
        <w:t>17.5</w:t>
      </w:r>
      <w:bookmarkStart w:id="2" w:name="_GoBack"/>
      <w:bookmarkEnd w:id="2"/>
      <w:r>
        <w:rPr>
          <w:rFonts w:hint="eastAsia" w:ascii="宋体" w:hAnsi="宋体"/>
          <w:b/>
          <w:color w:val="auto"/>
          <w:sz w:val="24"/>
          <w:szCs w:val="24"/>
          <w:highlight w:val="none"/>
        </w:rPr>
        <w:t>万，</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合作期限：一次性合作</w:t>
      </w:r>
      <w:r>
        <w:rPr>
          <w:rFonts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31"/>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31"/>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31"/>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31"/>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31"/>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5、该行业国家规定必备的资质、资格。</w:t>
      </w:r>
    </w:p>
    <w:p>
      <w:pPr>
        <w:pStyle w:val="31"/>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招标文件发放方式：浙江大学国际健康医学研究院</w:t>
      </w:r>
      <w:r>
        <w:rPr>
          <w:rFonts w:hint="eastAsia" w:ascii="宋体" w:hAnsi="宋体"/>
          <w:color w:val="auto"/>
          <w:sz w:val="24"/>
          <w:highlight w:val="none"/>
          <w:lang w:val="en-US" w:eastAsia="zh-CN"/>
        </w:rPr>
        <w:t>或</w:t>
      </w:r>
      <w:r>
        <w:rPr>
          <w:rFonts w:hint="eastAsia" w:ascii="宋体" w:hAnsi="宋体"/>
          <w:color w:val="auto"/>
          <w:sz w:val="24"/>
          <w:highlight w:val="none"/>
        </w:rPr>
        <w:t>浙江大学</w:t>
      </w:r>
      <w:r>
        <w:rPr>
          <w:rFonts w:hint="eastAsia" w:ascii="宋体" w:hAnsi="宋体"/>
          <w:color w:val="auto"/>
          <w:sz w:val="24"/>
          <w:highlight w:val="none"/>
          <w:lang w:val="en-US" w:eastAsia="zh-CN"/>
        </w:rPr>
        <w:t>医学院附属第四医院</w:t>
      </w:r>
      <w:r>
        <w:rPr>
          <w:rFonts w:hint="eastAsia" w:ascii="宋体" w:hAnsi="宋体"/>
          <w:color w:val="auto"/>
          <w:sz w:val="24"/>
          <w:highlight w:val="none"/>
        </w:rPr>
        <w:t>网站免费下载</w:t>
      </w:r>
      <w:r>
        <w:rPr>
          <w:rFonts w:hint="eastAsia" w:ascii="宋体" w:hAnsi="宋体"/>
          <w:color w:val="auto"/>
          <w:sz w:val="24"/>
          <w:highlight w:val="none"/>
          <w:lang w:eastAsia="zh-CN"/>
        </w:rPr>
        <w:t>。</w:t>
      </w:r>
    </w:p>
    <w:p>
      <w:pPr>
        <w:pStyle w:val="31"/>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投标单位必须于2022年</w:t>
      </w:r>
      <w:r>
        <w:rPr>
          <w:rFonts w:hint="eastAsia" w:ascii="宋体" w:hAnsi="宋体" w:cs="Tahoma"/>
          <w:color w:val="auto"/>
          <w:sz w:val="24"/>
          <w:highlight w:val="none"/>
          <w:lang w:val="en-US" w:eastAsia="zh-CN"/>
        </w:rPr>
        <w:t>2</w:t>
      </w:r>
      <w:r>
        <w:rPr>
          <w:rFonts w:hint="eastAsia" w:ascii="宋体" w:hAnsi="宋体"/>
          <w:color w:val="auto"/>
          <w:sz w:val="24"/>
          <w:highlight w:val="none"/>
        </w:rPr>
        <w:t>月</w:t>
      </w:r>
      <w:r>
        <w:rPr>
          <w:rFonts w:hint="eastAsia" w:ascii="宋体" w:hAnsi="宋体"/>
          <w:color w:val="auto"/>
          <w:sz w:val="24"/>
          <w:highlight w:val="none"/>
          <w:lang w:val="en-US" w:eastAsia="zh-CN"/>
        </w:rPr>
        <w:t>20</w:t>
      </w:r>
      <w:r>
        <w:rPr>
          <w:rFonts w:hint="eastAsia" w:ascii="宋体" w:hAnsi="宋体"/>
          <w:color w:val="auto"/>
          <w:sz w:val="24"/>
          <w:highlight w:val="none"/>
        </w:rPr>
        <w:t>日17:00之前将</w:t>
      </w:r>
      <w:r>
        <w:rPr>
          <w:rFonts w:hint="eastAsia"/>
          <w:b/>
          <w:color w:val="auto"/>
          <w:sz w:val="24"/>
          <w:highlight w:val="none"/>
        </w:rPr>
        <w:t>以下</w:t>
      </w:r>
      <w:r>
        <w:rPr>
          <w:b/>
          <w:color w:val="auto"/>
          <w:sz w:val="24"/>
          <w:highlight w:val="none"/>
        </w:rPr>
        <w:t>报名资料</w:t>
      </w:r>
      <w:r>
        <w:rPr>
          <w:color w:val="auto"/>
          <w:highlight w:val="none"/>
        </w:rPr>
        <w:fldChar w:fldCharType="begin"/>
      </w:r>
      <w:r>
        <w:rPr>
          <w:color w:val="auto"/>
          <w:highlight w:val="none"/>
        </w:rPr>
        <w:instrText xml:space="preserve"> HYPERLINK "mailto:发送至邮箱zshqzb@163.com" </w:instrText>
      </w:r>
      <w:r>
        <w:rPr>
          <w:color w:val="auto"/>
          <w:highlight w:val="none"/>
        </w:rPr>
        <w:fldChar w:fldCharType="separate"/>
      </w:r>
      <w:r>
        <w:rPr>
          <w:rStyle w:val="23"/>
          <w:rFonts w:hint="eastAsia" w:ascii="宋体" w:hAnsi="宋体"/>
          <w:color w:val="auto"/>
          <w:sz w:val="24"/>
          <w:highlight w:val="none"/>
        </w:rPr>
        <w:t>发送至邮箱</w:t>
      </w:r>
      <w:r>
        <w:rPr>
          <w:rStyle w:val="23"/>
          <w:rFonts w:ascii="宋体" w:hAnsi="宋体"/>
          <w:b/>
          <w:color w:val="auto"/>
          <w:sz w:val="24"/>
          <w:highlight w:val="none"/>
        </w:rPr>
        <w:t>zshqzb@163.com</w:t>
      </w:r>
      <w:r>
        <w:rPr>
          <w:rStyle w:val="23"/>
          <w:rFonts w:ascii="宋体" w:hAnsi="宋体"/>
          <w:b/>
          <w:color w:val="auto"/>
          <w:sz w:val="24"/>
          <w:highlight w:val="none"/>
        </w:rPr>
        <w:fldChar w:fldCharType="end"/>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31"/>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（加盖单位公章红章）；</w:t>
      </w:r>
    </w:p>
    <w:p>
      <w:pPr>
        <w:pStyle w:val="31"/>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31"/>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31"/>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投标时间和地点：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hint="eastAsia" w:ascii="宋体" w:hAnsi="宋体"/>
          <w:color w:val="auto"/>
          <w:sz w:val="24"/>
          <w:highlight w:val="none"/>
          <w:u w:val="single"/>
        </w:rPr>
        <w:t>2022年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日</w:t>
      </w:r>
      <w:r>
        <w:rPr>
          <w:rFonts w:ascii="宋体" w:hAnsi="宋体"/>
          <w:color w:val="auto"/>
          <w:sz w:val="24"/>
          <w:highlight w:val="none"/>
          <w:u w:val="single"/>
        </w:rPr>
        <w:t>9</w:t>
      </w:r>
      <w:r>
        <w:rPr>
          <w:rFonts w:hint="eastAsia" w:ascii="宋体" w:hAnsi="宋体"/>
          <w:color w:val="auto"/>
          <w:sz w:val="24"/>
          <w:highlight w:val="none"/>
          <w:u w:val="single"/>
        </w:rPr>
        <w:t>:00前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hint="eastAsia" w:ascii="宋体" w:hAnsi="宋体"/>
          <w:color w:val="auto"/>
          <w:sz w:val="24"/>
          <w:highlight w:val="none"/>
          <w:u w:val="single"/>
        </w:rPr>
        <w:t>2022年</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u w:val="single"/>
        </w:rPr>
        <w:t>日上午</w:t>
      </w:r>
      <w:r>
        <w:rPr>
          <w:rFonts w:ascii="宋体" w:hAnsi="宋体"/>
          <w:color w:val="auto"/>
          <w:sz w:val="24"/>
          <w:highlight w:val="none"/>
          <w:u w:val="single"/>
        </w:rPr>
        <w:t>9</w:t>
      </w:r>
      <w:r>
        <w:rPr>
          <w:rFonts w:hint="eastAsia" w:ascii="宋体" w:hAnsi="宋体"/>
          <w:color w:val="auto"/>
          <w:sz w:val="24"/>
          <w:highlight w:val="none"/>
          <w:u w:val="single"/>
        </w:rPr>
        <w:t xml:space="preserve">:00 </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开标地点：浙江大学医学院附属第四医院行政楼104室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ascii="宋体" w:hAnsi="宋体"/>
          <w:color w:val="auto"/>
          <w:sz w:val="24"/>
          <w:highlight w:val="none"/>
        </w:rPr>
      </w:pPr>
      <w:r>
        <w:rPr>
          <w:rFonts w:hint="eastAsia" w:ascii="宋体" w:hAnsi="宋体"/>
          <w:color w:val="auto"/>
          <w:sz w:val="24"/>
          <w:highlight w:val="none"/>
        </w:rPr>
        <w:t>地址：浙江大学医学院附属第四医院行政楼104室</w:t>
      </w:r>
    </w:p>
    <w:p>
      <w:pPr>
        <w:spacing w:line="360" w:lineRule="auto"/>
        <w:ind w:left="480"/>
        <w:rPr>
          <w:rFonts w:ascii="宋体" w:hAnsi="宋体"/>
          <w:color w:val="auto"/>
          <w:sz w:val="24"/>
          <w:highlight w:val="none"/>
        </w:rPr>
      </w:pPr>
      <w:r>
        <w:rPr>
          <w:rFonts w:hint="eastAsia" w:ascii="宋体" w:hAnsi="宋体"/>
          <w:color w:val="auto"/>
          <w:sz w:val="24"/>
          <w:highlight w:val="none"/>
        </w:rPr>
        <w:t>联系人：吴老师</w:t>
      </w:r>
    </w:p>
    <w:p>
      <w:pPr>
        <w:spacing w:line="360" w:lineRule="auto"/>
        <w:ind w:left="480"/>
        <w:rPr>
          <w:rFonts w:ascii="宋体" w:hAnsi="宋体"/>
          <w:color w:val="auto"/>
          <w:sz w:val="24"/>
          <w:highlight w:val="none"/>
          <w:u w:val="single"/>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0579-89935103</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浙江大学国际健康医学研究院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5、现场勘察</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5.2投标单位在考察过程中发生的各类事件及所发生的各项费用，均由投标单位自行承担。采购人和代理机构概不负责。</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第三章项目概况及要求</w:t>
      </w:r>
    </w:p>
    <w:p>
      <w:pPr>
        <w:snapToGrid w:val="0"/>
        <w:spacing w:line="400" w:lineRule="exact"/>
        <w:ind w:firstLine="480" w:firstLineChars="200"/>
        <w:rPr>
          <w:rFonts w:ascii="宋体" w:hAnsi="宋体"/>
          <w:color w:val="auto"/>
          <w:sz w:val="24"/>
          <w:szCs w:val="24"/>
          <w:highlight w:val="none"/>
        </w:rPr>
      </w:pPr>
    </w:p>
    <w:p>
      <w:pPr>
        <w:snapToGrid w:val="0"/>
        <w:spacing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一、招标内容</w:t>
      </w:r>
    </w:p>
    <w:p>
      <w:pPr>
        <w:widowControl/>
        <w:jc w:val="left"/>
        <w:rPr>
          <w:rFonts w:ascii="宋体" w:hAnsi="宋体"/>
          <w:b/>
          <w:color w:val="auto"/>
          <w:kern w:val="0"/>
          <w:sz w:val="24"/>
          <w:szCs w:val="24"/>
          <w:highlight w:val="none"/>
        </w:rPr>
        <w:sectPr>
          <w:headerReference r:id="rId3" w:type="default"/>
          <w:footerReference r:id="rId4" w:type="default"/>
          <w:type w:val="continuous"/>
          <w:pgSz w:w="11906" w:h="16838"/>
          <w:pgMar w:top="1134" w:right="1247" w:bottom="1134" w:left="1247" w:header="397" w:footer="567" w:gutter="0"/>
          <w:cols w:space="720" w:num="1"/>
          <w:docGrid w:type="lines" w:linePitch="312" w:charSpace="0"/>
        </w:sectPr>
      </w:pPr>
    </w:p>
    <w:p>
      <w:pPr>
        <w:pStyle w:val="7"/>
        <w:spacing w:line="460" w:lineRule="exact"/>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w:t>
      </w:r>
      <w:r>
        <w:rPr>
          <w:rFonts w:hint="eastAsia" w:hAnsi="宋体"/>
          <w:color w:val="auto"/>
          <w:sz w:val="24"/>
          <w:szCs w:val="24"/>
          <w:highlight w:val="none"/>
        </w:rPr>
        <w:t>项目概况</w:t>
      </w:r>
    </w:p>
    <w:p>
      <w:pPr>
        <w:spacing w:line="400" w:lineRule="exact"/>
        <w:rPr>
          <w:rFonts w:hAnsi="宋体"/>
          <w:color w:val="auto"/>
          <w:sz w:val="24"/>
          <w:szCs w:val="24"/>
          <w:highlight w:val="none"/>
          <w:u w:val="single"/>
        </w:rPr>
      </w:pPr>
      <w:r>
        <w:rPr>
          <w:rFonts w:hint="eastAsia" w:hAnsi="宋体"/>
          <w:color w:val="auto"/>
          <w:sz w:val="24"/>
          <w:szCs w:val="24"/>
          <w:highlight w:val="none"/>
          <w:u w:val="single"/>
        </w:rPr>
        <w:t>该项目位于义乌市鼎富广场A座8F。</w:t>
      </w:r>
    </w:p>
    <w:p>
      <w:pPr>
        <w:spacing w:line="400" w:lineRule="exact"/>
        <w:rPr>
          <w:rFonts w:ascii="宋体" w:hAnsi="宋体"/>
          <w:color w:val="auto"/>
          <w:kern w:val="0"/>
          <w:sz w:val="24"/>
          <w:szCs w:val="24"/>
          <w:highlight w:val="none"/>
        </w:rPr>
      </w:pPr>
      <w:r>
        <w:rPr>
          <w:rFonts w:hint="eastAsia" w:ascii="宋体" w:hAnsi="宋体"/>
          <w:color w:val="auto"/>
          <w:kern w:val="0"/>
          <w:sz w:val="24"/>
          <w:szCs w:val="24"/>
          <w:highlight w:val="none"/>
        </w:rPr>
        <w:t>2</w:t>
      </w:r>
      <w:r>
        <w:rPr>
          <w:rFonts w:ascii="宋体" w:hAnsi="宋体"/>
          <w:color w:val="auto"/>
          <w:kern w:val="0"/>
          <w:sz w:val="24"/>
          <w:szCs w:val="24"/>
          <w:highlight w:val="none"/>
        </w:rPr>
        <w:t>.需求清单</w:t>
      </w:r>
    </w:p>
    <w:tbl>
      <w:tblPr>
        <w:tblStyle w:val="18"/>
        <w:tblW w:w="84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47"/>
        <w:gridCol w:w="4317"/>
        <w:gridCol w:w="28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高端跑步机</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高端椭圆机</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动感单车</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坐式胸肌推举训练器</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大腿伸展训练器</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可调式双滑轮多功能训练器</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哑铃架</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多重可调节练习椅</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jc w:val="center"/>
        </w:trPr>
        <w:tc>
          <w:tcPr>
            <w:tcW w:w="13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哑铃组合</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1347"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4317"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商用地胶</w:t>
            </w:r>
          </w:p>
        </w:tc>
        <w:tc>
          <w:tcPr>
            <w:tcW w:w="2835"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75平方</w:t>
            </w:r>
          </w:p>
        </w:tc>
      </w:tr>
    </w:tbl>
    <w:p>
      <w:pPr>
        <w:spacing w:line="400" w:lineRule="exact"/>
        <w:rPr>
          <w:rFonts w:ascii="宋体" w:hAnsi="宋体"/>
          <w:b/>
          <w:color w:val="auto"/>
          <w:kern w:val="0"/>
          <w:sz w:val="24"/>
          <w:szCs w:val="24"/>
          <w:highlight w:val="none"/>
        </w:rPr>
      </w:pPr>
    </w:p>
    <w:p>
      <w:pPr>
        <w:spacing w:line="400" w:lineRule="exact"/>
        <w:rPr>
          <w:rFonts w:ascii="宋体" w:hAnsi="宋体"/>
          <w:b/>
          <w:color w:val="auto"/>
          <w:kern w:val="0"/>
          <w:sz w:val="24"/>
          <w:szCs w:val="24"/>
          <w:highlight w:val="none"/>
        </w:rPr>
        <w:sectPr>
          <w:type w:val="continuous"/>
          <w:pgSz w:w="11906" w:h="16838"/>
          <w:pgMar w:top="1440" w:right="1800" w:bottom="1440" w:left="1800" w:header="510" w:footer="567" w:gutter="0"/>
          <w:cols w:space="720" w:num="1"/>
          <w:docGrid w:type="lines" w:linePitch="312" w:charSpace="0"/>
        </w:sectPr>
      </w:pPr>
    </w:p>
    <w:p>
      <w:pPr>
        <w:spacing w:line="400" w:lineRule="exact"/>
        <w:ind w:firstLine="472" w:firstLineChars="196"/>
        <w:rPr>
          <w:rFonts w:ascii="宋体" w:hAnsi="宋体"/>
          <w:b/>
          <w:color w:val="auto"/>
          <w:kern w:val="0"/>
          <w:sz w:val="24"/>
          <w:szCs w:val="24"/>
          <w:highlight w:val="none"/>
        </w:rPr>
      </w:pPr>
      <w:r>
        <w:rPr>
          <w:rFonts w:hint="eastAsia" w:ascii="宋体" w:hAnsi="宋体"/>
          <w:b/>
          <w:color w:val="auto"/>
          <w:sz w:val="24"/>
          <w:highlight w:val="none"/>
          <w:lang w:val="zh-CN"/>
        </w:rPr>
        <w:t>二、技术要求</w:t>
      </w:r>
    </w:p>
    <w:tbl>
      <w:tblPr>
        <w:tblStyle w:val="18"/>
        <w:tblW w:w="105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6"/>
        <w:gridCol w:w="1620"/>
        <w:gridCol w:w="1620"/>
        <w:gridCol w:w="67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产品名称</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图片</w:t>
            </w:r>
          </w:p>
        </w:tc>
        <w:tc>
          <w:tcPr>
            <w:tcW w:w="6703"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技术参数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高端跑步机</w:t>
            </w:r>
          </w:p>
        </w:tc>
        <w:tc>
          <w:tcPr>
            <w:tcW w:w="1620" w:type="dxa"/>
            <w:vAlign w:val="center"/>
          </w:tcPr>
          <w:p>
            <w:pPr>
              <w:jc w:val="center"/>
              <w:rPr>
                <w:rFonts w:ascii="宋体" w:hAnsi="宋体" w:cs="宋体"/>
                <w:color w:val="auto"/>
                <w:sz w:val="24"/>
                <w:szCs w:val="24"/>
                <w:highlight w:val="none"/>
              </w:rPr>
            </w:pPr>
            <w:r>
              <w:rPr>
                <w:rFonts w:hint="eastAsia" w:ascii="宋体" w:hAnsi="宋体"/>
                <w:color w:val="auto"/>
                <w:szCs w:val="24"/>
                <w:highlight w:val="none"/>
              </w:rPr>
              <w:drawing>
                <wp:inline distT="0" distB="0" distL="0" distR="0">
                  <wp:extent cx="887730" cy="720090"/>
                  <wp:effectExtent l="0" t="0" r="7620" b="3810"/>
                  <wp:docPr id="4" name="图片 324" descr="ec48a90b9c50511515a03e10c9df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24" descr="ec48a90b9c50511515a03e10c9df075"/>
                          <pic:cNvPicPr>
                            <a:picLocks noChangeAspect="1" noChangeArrowheads="1"/>
                          </pic:cNvPicPr>
                        </pic:nvPicPr>
                        <pic:blipFill>
                          <a:blip r:embed="rId6" cstate="print"/>
                          <a:srcRect l="25087" t="6860" r="25223" b="7732"/>
                          <a:stretch>
                            <a:fillRect/>
                          </a:stretch>
                        </pic:blipFill>
                        <pic:spPr>
                          <a:xfrm>
                            <a:off x="0" y="0"/>
                            <a:ext cx="887730" cy="720090"/>
                          </a:xfrm>
                          <a:prstGeom prst="rect">
                            <a:avLst/>
                          </a:prstGeom>
                          <a:noFill/>
                          <a:ln w="9525">
                            <a:noFill/>
                            <a:miter lim="800000"/>
                            <a:headEnd/>
                            <a:tailEnd/>
                          </a:ln>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numPr>
                <w:ilvl w:val="0"/>
                <w:numId w:val="3"/>
              </w:numPr>
              <w:rPr>
                <w:rFonts w:ascii="宋体" w:hAnsi="宋体" w:cs="宋体"/>
                <w:color w:val="auto"/>
                <w:sz w:val="24"/>
                <w:szCs w:val="24"/>
                <w:highlight w:val="none"/>
              </w:rPr>
            </w:pPr>
            <w:r>
              <w:rPr>
                <w:rFonts w:hint="eastAsia" w:ascii="宋体" w:hAnsi="宋体" w:cs="宋体"/>
                <w:color w:val="auto"/>
                <w:sz w:val="24"/>
                <w:szCs w:val="24"/>
                <w:highlight w:val="none"/>
              </w:rPr>
              <w:t>驱动马达:交流马达;显示屏：LED六窗显示屏；</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★2.速度范围：≥1-20Km/h；坡度范围：≥-2.5%-15%</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3．允许使用者最大体重：180kg</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4．跑带厚度：≥2.2mm；跑板厚度：≥25mm  </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★5．立主管规格：≥180×65×2.0mm；</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★6．跑步表面尺寸（长*宽）：≥1570×580mm</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7．产品尺寸（长*宽*高）：≥2180×950×1600mm</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8．程序：跑步机自带6个专业锻炼程序：丘陵、山坡、间歇、减脂、心肺、随机模式，及三个倒计模式（时间、距离、卡路里）另增加放松功能和下坡功能</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9．心率检测：接触式心率检测，可选配无线心率检测；</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▲产品通过nscc认证且同时提供有效期内认证证书（复印件加盖厂家公章）</w:t>
            </w:r>
          </w:p>
          <w:p>
            <w:pPr>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高端椭圆机</w:t>
            </w:r>
          </w:p>
        </w:tc>
        <w:tc>
          <w:tcPr>
            <w:tcW w:w="1620" w:type="dxa"/>
            <w:vAlign w:val="center"/>
          </w:tcPr>
          <w:p>
            <w:pPr>
              <w:jc w:val="center"/>
              <w:rPr>
                <w:rFonts w:ascii="宋体" w:hAnsi="宋体" w:cs="宋体"/>
                <w:color w:val="auto"/>
                <w:sz w:val="24"/>
                <w:szCs w:val="24"/>
                <w:highlight w:val="none"/>
              </w:rPr>
            </w:pPr>
            <w:r>
              <w:rPr>
                <w:color w:val="auto"/>
                <w:szCs w:val="24"/>
                <w:highlight w:val="none"/>
              </w:rPr>
              <w:drawing>
                <wp:inline distT="0" distB="0" distL="0" distR="0">
                  <wp:extent cx="915670" cy="904240"/>
                  <wp:effectExtent l="0" t="0" r="17780" b="1016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pic:cNvPicPr>
                            <a:picLocks noChangeAspect="1" noChangeArrowheads="1"/>
                          </pic:cNvPicPr>
                        </pic:nvPicPr>
                        <pic:blipFill>
                          <a:blip r:embed="rId7" cstate="print"/>
                          <a:srcRect/>
                          <a:stretch>
                            <a:fillRect/>
                          </a:stretch>
                        </pic:blipFill>
                        <pic:spPr>
                          <a:xfrm>
                            <a:off x="0" y="0"/>
                            <a:ext cx="915670" cy="904240"/>
                          </a:xfrm>
                          <a:prstGeom prst="rect">
                            <a:avLst/>
                          </a:prstGeom>
                          <a:noFill/>
                          <a:ln w="9525">
                            <a:noFill/>
                            <a:miter lim="800000"/>
                            <a:headEnd/>
                            <a:tailEnd/>
                          </a:ln>
                          <a:effectLst/>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rPr>
                <w:rFonts w:ascii="宋体" w:hAnsi="宋体" w:cs="宋体"/>
                <w:color w:val="auto"/>
                <w:sz w:val="24"/>
                <w:szCs w:val="24"/>
                <w:highlight w:val="none"/>
              </w:rPr>
            </w:pPr>
            <w:r>
              <w:rPr>
                <w:rFonts w:hint="eastAsia" w:ascii="宋体" w:hAnsi="宋体" w:cs="宋体"/>
                <w:color w:val="auto"/>
                <w:sz w:val="24"/>
                <w:szCs w:val="24"/>
                <w:highlight w:val="none"/>
              </w:rPr>
              <w:t>1.仪表显示时间、转速、速度、距离、心率、卡路里、功率；</w:t>
            </w:r>
          </w:p>
          <w:p>
            <w:pPr>
              <w:rPr>
                <w:rFonts w:ascii="宋体" w:hAnsi="宋体" w:cs="宋体"/>
                <w:color w:val="auto"/>
                <w:sz w:val="24"/>
                <w:szCs w:val="24"/>
                <w:highlight w:val="none"/>
              </w:rPr>
            </w:pPr>
            <w:r>
              <w:rPr>
                <w:rFonts w:hint="eastAsia" w:ascii="宋体" w:hAnsi="宋体" w:cs="宋体"/>
                <w:color w:val="auto"/>
                <w:sz w:val="24"/>
                <w:szCs w:val="24"/>
                <w:highlight w:val="none"/>
              </w:rPr>
              <w:t>2.电子屏幕不小于 7寸LCD屏（142*90mm）</w:t>
            </w:r>
          </w:p>
          <w:p>
            <w:pPr>
              <w:rPr>
                <w:rFonts w:ascii="宋体" w:hAnsi="宋体" w:cs="宋体"/>
                <w:color w:val="auto"/>
                <w:sz w:val="24"/>
                <w:szCs w:val="24"/>
                <w:highlight w:val="none"/>
              </w:rPr>
            </w:pPr>
            <w:r>
              <w:rPr>
                <w:rFonts w:hint="eastAsia" w:ascii="宋体" w:hAnsi="宋体" w:cs="宋体"/>
                <w:color w:val="auto"/>
                <w:sz w:val="24"/>
                <w:szCs w:val="24"/>
                <w:highlight w:val="none"/>
              </w:rPr>
              <w:t>3.飞轮重量 12英寸 10kg磁控轮；</w:t>
            </w:r>
          </w:p>
          <w:p>
            <w:pPr>
              <w:rPr>
                <w:rFonts w:ascii="宋体" w:hAnsi="宋体" w:cs="宋体"/>
                <w:color w:val="auto"/>
                <w:sz w:val="24"/>
                <w:szCs w:val="24"/>
                <w:highlight w:val="none"/>
              </w:rPr>
            </w:pPr>
            <w:r>
              <w:rPr>
                <w:rFonts w:hint="eastAsia" w:ascii="宋体" w:hAnsi="宋体" w:cs="宋体"/>
                <w:color w:val="auto"/>
                <w:sz w:val="24"/>
                <w:szCs w:val="24"/>
                <w:highlight w:val="none"/>
              </w:rPr>
              <w:t>4.阻力系统电磁控系统；阻力等级 24段；</w:t>
            </w:r>
          </w:p>
          <w:p>
            <w:pPr>
              <w:rPr>
                <w:rFonts w:ascii="宋体" w:hAnsi="宋体" w:cs="宋体"/>
                <w:color w:val="auto"/>
                <w:sz w:val="24"/>
                <w:szCs w:val="24"/>
                <w:highlight w:val="none"/>
              </w:rPr>
            </w:pPr>
            <w:r>
              <w:rPr>
                <w:rFonts w:hint="eastAsia" w:ascii="宋体" w:hAnsi="宋体" w:cs="宋体"/>
                <w:color w:val="auto"/>
                <w:sz w:val="24"/>
                <w:szCs w:val="24"/>
                <w:highlight w:val="none"/>
              </w:rPr>
              <w:t>5.把立管规格≥1003 mm x500 mm x2.0mm：</w:t>
            </w:r>
          </w:p>
          <w:p>
            <w:pPr>
              <w:rPr>
                <w:rFonts w:ascii="宋体" w:hAnsi="宋体" w:cs="宋体"/>
                <w:color w:val="auto"/>
                <w:sz w:val="24"/>
                <w:szCs w:val="24"/>
                <w:highlight w:val="none"/>
              </w:rPr>
            </w:pPr>
            <w:r>
              <w:rPr>
                <w:rFonts w:hint="eastAsia" w:ascii="宋体" w:hAnsi="宋体" w:cs="宋体"/>
                <w:color w:val="auto"/>
                <w:sz w:val="24"/>
                <w:szCs w:val="24"/>
                <w:highlight w:val="none"/>
              </w:rPr>
              <w:t>6.产品规格尺寸：≥ 1700 mm×720 mm×1790mm（长×宽×高）</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2" w:hRule="atLeast"/>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动感单车</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0" distR="0">
                  <wp:extent cx="985520" cy="980440"/>
                  <wp:effectExtent l="0" t="0" r="5080" b="10160"/>
                  <wp:docPr id="6" name="图片 1" descr="c12ff7a4978eef89a56a7fa1a61a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12ff7a4978eef89a56a7fa1a61a872"/>
                          <pic:cNvPicPr>
                            <a:picLocks noChangeAspect="1" noChangeArrowheads="1"/>
                          </pic:cNvPicPr>
                        </pic:nvPicPr>
                        <pic:blipFill>
                          <a:blip r:embed="rId8" cstate="print"/>
                          <a:srcRect l="21646" r="21062" b="9700"/>
                          <a:stretch>
                            <a:fillRect/>
                          </a:stretch>
                        </pic:blipFill>
                        <pic:spPr>
                          <a:xfrm>
                            <a:off x="0" y="0"/>
                            <a:ext cx="985520" cy="980440"/>
                          </a:xfrm>
                          <a:prstGeom prst="rect">
                            <a:avLst/>
                          </a:prstGeom>
                          <a:noFill/>
                          <a:ln w="9525">
                            <a:noFill/>
                            <a:miter lim="800000"/>
                            <a:headEnd/>
                            <a:tailEnd/>
                          </a:ln>
                        </pic:spPr>
                      </pic:pic>
                    </a:graphicData>
                  </a:graphic>
                </wp:inline>
              </w:drawing>
            </w:r>
          </w:p>
        </w:tc>
        <w:tc>
          <w:tcPr>
            <w:tcW w:w="6703" w:type="dxa"/>
            <w:vAlign w:val="center"/>
          </w:tcPr>
          <w:p>
            <w:pPr>
              <w:rPr>
                <w:rFonts w:ascii="宋体" w:hAnsi="宋体" w:cs="宋体"/>
                <w:color w:val="auto"/>
                <w:sz w:val="24"/>
                <w:szCs w:val="24"/>
                <w:highlight w:val="none"/>
              </w:rPr>
            </w:pPr>
            <w:r>
              <w:rPr>
                <w:rFonts w:hint="eastAsia" w:ascii="宋体" w:hAnsi="宋体" w:cs="宋体"/>
                <w:b/>
                <w:bCs/>
                <w:color w:val="auto"/>
                <w:sz w:val="24"/>
                <w:szCs w:val="24"/>
                <w:highlight w:val="none"/>
              </w:rPr>
              <w:t>参数要求：</w:t>
            </w:r>
          </w:p>
          <w:p>
            <w:pPr>
              <w:rPr>
                <w:rFonts w:ascii="宋体" w:hAnsi="宋体" w:cs="宋体"/>
                <w:color w:val="auto"/>
                <w:sz w:val="24"/>
                <w:szCs w:val="24"/>
                <w:highlight w:val="none"/>
              </w:rPr>
            </w:pPr>
            <w:r>
              <w:rPr>
                <w:rFonts w:hint="eastAsia" w:ascii="宋体" w:hAnsi="宋体" w:cs="宋体"/>
                <w:color w:val="auto"/>
                <w:sz w:val="24"/>
                <w:szCs w:val="24"/>
                <w:highlight w:val="none"/>
              </w:rPr>
              <w:t>1．飞轮重量：13kg 实心飞轮+磁阻；</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2.阻力系统无级调节，手动磁控系统</w:t>
            </w:r>
          </w:p>
          <w:p>
            <w:pPr>
              <w:rPr>
                <w:rFonts w:ascii="宋体" w:hAnsi="宋体" w:cs="宋体"/>
                <w:color w:val="auto"/>
                <w:sz w:val="24"/>
                <w:szCs w:val="24"/>
                <w:highlight w:val="none"/>
              </w:rPr>
            </w:pPr>
            <w:r>
              <w:rPr>
                <w:rFonts w:hint="eastAsia" w:ascii="宋体" w:hAnsi="宋体" w:cs="宋体"/>
                <w:color w:val="auto"/>
                <w:sz w:val="24"/>
                <w:szCs w:val="24"/>
                <w:highlight w:val="none"/>
              </w:rPr>
              <w:t>3.传动系统：高品质，耐磨橡胶皮带，5PK （为53英寸1340mm)</w:t>
            </w:r>
          </w:p>
          <w:p>
            <w:pPr>
              <w:rPr>
                <w:rFonts w:ascii="宋体" w:hAnsi="宋体" w:cs="宋体"/>
                <w:color w:val="auto"/>
                <w:sz w:val="24"/>
                <w:szCs w:val="24"/>
                <w:highlight w:val="none"/>
              </w:rPr>
            </w:pPr>
            <w:r>
              <w:rPr>
                <w:rFonts w:hint="eastAsia" w:ascii="宋体" w:hAnsi="宋体" w:cs="宋体"/>
                <w:color w:val="auto"/>
                <w:sz w:val="24"/>
                <w:szCs w:val="24"/>
                <w:highlight w:val="none"/>
              </w:rPr>
              <w:t>4.座椅：高品质加厚透气PU坐垫，可上下、前后轻松调节；</w:t>
            </w:r>
          </w:p>
          <w:p>
            <w:pPr>
              <w:rPr>
                <w:rFonts w:ascii="宋体" w:hAnsi="宋体" w:cs="宋体"/>
                <w:color w:val="auto"/>
                <w:sz w:val="24"/>
                <w:szCs w:val="24"/>
                <w:highlight w:val="none"/>
              </w:rPr>
            </w:pPr>
            <w:r>
              <w:rPr>
                <w:rFonts w:hint="eastAsia" w:ascii="宋体" w:hAnsi="宋体" w:cs="宋体"/>
                <w:color w:val="auto"/>
                <w:sz w:val="24"/>
                <w:szCs w:val="24"/>
                <w:highlight w:val="none"/>
              </w:rPr>
              <w:t>5.产品规格尺寸：≥1230x500x1125mm（长×宽×高）</w:t>
            </w:r>
          </w:p>
          <w:p>
            <w:pPr>
              <w:rPr>
                <w:rFonts w:ascii="宋体" w:hAnsi="宋体" w:cs="宋体"/>
                <w:b/>
                <w:bCs/>
                <w:color w:val="auto"/>
                <w:sz w:val="24"/>
                <w:szCs w:val="24"/>
                <w:highlight w:val="none"/>
              </w:rPr>
            </w:pPr>
          </w:p>
          <w:p>
            <w:pPr>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坐式胸肌推举训练器</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114300" distR="114300">
                  <wp:extent cx="884555" cy="1110615"/>
                  <wp:effectExtent l="0" t="0" r="10795" b="13335"/>
                  <wp:docPr id="1412" name="图片 10" descr="SH-6801（坐式胸肌推举训练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图片 10" descr="SH-6801（坐式胸肌推举训练器）.jpg"/>
                          <pic:cNvPicPr>
                            <a:picLocks noChangeAspect="1"/>
                          </pic:cNvPicPr>
                        </pic:nvPicPr>
                        <pic:blipFill>
                          <a:blip r:embed="rId9"/>
                          <a:stretch>
                            <a:fillRect/>
                          </a:stretch>
                        </pic:blipFill>
                        <pic:spPr>
                          <a:xfrm>
                            <a:off x="0" y="0"/>
                            <a:ext cx="884555" cy="1110615"/>
                          </a:xfrm>
                          <a:prstGeom prst="rect">
                            <a:avLst/>
                          </a:prstGeom>
                          <a:noFill/>
                          <a:ln w="9525">
                            <a:noFill/>
                          </a:ln>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rPr>
                <w:rFonts w:ascii="宋体" w:hAnsi="宋体" w:cs="宋体"/>
                <w:color w:val="auto"/>
                <w:sz w:val="24"/>
                <w:szCs w:val="24"/>
                <w:highlight w:val="none"/>
              </w:rPr>
            </w:pPr>
            <w:r>
              <w:rPr>
                <w:rFonts w:hint="eastAsia" w:ascii="宋体" w:hAnsi="宋体" w:cs="宋体"/>
                <w:color w:val="auto"/>
                <w:sz w:val="24"/>
                <w:szCs w:val="24"/>
                <w:highlight w:val="none"/>
              </w:rPr>
              <w:t>1、外形尺寸：不小于1470x1260x1800mm（长x宽x高）</w:t>
            </w:r>
          </w:p>
          <w:p>
            <w:pPr>
              <w:rPr>
                <w:rFonts w:ascii="宋体" w:hAnsi="宋体" w:cs="宋体"/>
                <w:color w:val="auto"/>
                <w:sz w:val="24"/>
                <w:szCs w:val="24"/>
                <w:highlight w:val="none"/>
              </w:rPr>
            </w:pPr>
            <w:r>
              <w:rPr>
                <w:rFonts w:hint="eastAsia" w:ascii="宋体" w:hAnsi="宋体" w:cs="宋体"/>
                <w:color w:val="auto"/>
                <w:sz w:val="24"/>
                <w:szCs w:val="24"/>
                <w:highlight w:val="none"/>
              </w:rPr>
              <w:t>2、锻炼部位：胸大肌、三角肌前束、三头肌</w:t>
            </w:r>
          </w:p>
          <w:p>
            <w:pPr>
              <w:rPr>
                <w:rFonts w:ascii="宋体" w:hAnsi="宋体" w:cs="宋体"/>
                <w:color w:val="auto"/>
                <w:sz w:val="24"/>
                <w:szCs w:val="24"/>
                <w:highlight w:val="none"/>
              </w:rPr>
            </w:pPr>
            <w:r>
              <w:rPr>
                <w:rFonts w:hint="eastAsia" w:ascii="宋体" w:hAnsi="宋体" w:cs="宋体"/>
                <w:color w:val="auto"/>
                <w:sz w:val="24"/>
                <w:szCs w:val="24"/>
                <w:highlight w:val="none"/>
              </w:rPr>
              <w:t>3、主立管规格：平椭，不小于120x50xT3.0mm</w:t>
            </w:r>
          </w:p>
          <w:p>
            <w:pPr>
              <w:rPr>
                <w:rFonts w:ascii="宋体" w:hAnsi="宋体" w:cs="宋体"/>
                <w:color w:val="auto"/>
                <w:sz w:val="24"/>
                <w:szCs w:val="24"/>
                <w:highlight w:val="none"/>
              </w:rPr>
            </w:pPr>
            <w:r>
              <w:rPr>
                <w:rFonts w:hint="eastAsia" w:ascii="宋体" w:hAnsi="宋体" w:cs="宋体"/>
                <w:color w:val="auto"/>
                <w:sz w:val="24"/>
                <w:szCs w:val="24"/>
                <w:highlight w:val="none"/>
              </w:rPr>
              <w:t>4.最大承受人体重量：不低于148KG</w:t>
            </w:r>
          </w:p>
          <w:p>
            <w:pPr>
              <w:rPr>
                <w:rFonts w:ascii="宋体" w:hAnsi="宋体" w:cs="宋体"/>
                <w:color w:val="auto"/>
                <w:sz w:val="24"/>
                <w:szCs w:val="24"/>
                <w:highlight w:val="none"/>
              </w:rPr>
            </w:pPr>
            <w:r>
              <w:rPr>
                <w:rFonts w:hint="eastAsia" w:ascii="宋体" w:hAnsi="宋体" w:cs="宋体"/>
                <w:color w:val="auto"/>
                <w:sz w:val="24"/>
                <w:szCs w:val="24"/>
                <w:highlight w:val="none"/>
              </w:rPr>
              <w:t>5.最大训练载荷：不小于105KG.</w:t>
            </w:r>
          </w:p>
          <w:p>
            <w:pPr>
              <w:rPr>
                <w:rFonts w:ascii="宋体" w:hAnsi="宋体" w:cs="宋体"/>
                <w:color w:val="auto"/>
                <w:sz w:val="24"/>
                <w:szCs w:val="24"/>
                <w:highlight w:val="none"/>
              </w:rPr>
            </w:pPr>
            <w:r>
              <w:rPr>
                <w:rFonts w:hint="eastAsia" w:ascii="宋体" w:hAnsi="宋体" w:cs="宋体"/>
                <w:color w:val="auto"/>
                <w:sz w:val="24"/>
                <w:szCs w:val="24"/>
                <w:highlight w:val="none"/>
              </w:rPr>
              <w:t>6、导杆：实心、镀铬；</w:t>
            </w:r>
          </w:p>
          <w:p>
            <w:pPr>
              <w:rPr>
                <w:rFonts w:ascii="宋体" w:hAnsi="宋体" w:cs="宋体"/>
                <w:color w:val="auto"/>
                <w:sz w:val="24"/>
                <w:szCs w:val="24"/>
                <w:highlight w:val="none"/>
              </w:rPr>
            </w:pPr>
            <w:r>
              <w:rPr>
                <w:rFonts w:hint="eastAsia" w:ascii="宋体" w:hAnsi="宋体" w:cs="宋体"/>
                <w:color w:val="auto"/>
                <w:sz w:val="24"/>
                <w:szCs w:val="24"/>
                <w:highlight w:val="none"/>
              </w:rPr>
              <w:t>7.阻力方式：插片配重式</w:t>
            </w:r>
          </w:p>
          <w:p>
            <w:pPr>
              <w:rPr>
                <w:rFonts w:ascii="宋体" w:hAnsi="宋体" w:cs="宋体"/>
                <w:color w:val="auto"/>
                <w:sz w:val="24"/>
                <w:szCs w:val="24"/>
                <w:highlight w:val="none"/>
              </w:rPr>
            </w:pPr>
            <w:r>
              <w:rPr>
                <w:rFonts w:hint="eastAsia" w:ascii="宋体" w:hAnsi="宋体" w:cs="宋体"/>
                <w:color w:val="auto"/>
                <w:sz w:val="24"/>
                <w:szCs w:val="24"/>
                <w:highlight w:val="none"/>
              </w:rPr>
              <w:t>8.牵索方式：钢丝绳+滑轮</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大腿伸展训练器</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114300" distR="114300">
                  <wp:extent cx="906780" cy="1101090"/>
                  <wp:effectExtent l="0" t="0" r="7620" b="3810"/>
                  <wp:docPr id="1416" name="图片 19" descr="SH-6810（大腿伸展训练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图片 19" descr="SH-6810（大腿伸展训练器）.jpg"/>
                          <pic:cNvPicPr>
                            <a:picLocks noChangeAspect="1"/>
                          </pic:cNvPicPr>
                        </pic:nvPicPr>
                        <pic:blipFill>
                          <a:blip r:embed="rId10"/>
                          <a:stretch>
                            <a:fillRect/>
                          </a:stretch>
                        </pic:blipFill>
                        <pic:spPr>
                          <a:xfrm>
                            <a:off x="0" y="0"/>
                            <a:ext cx="906780" cy="1101090"/>
                          </a:xfrm>
                          <a:prstGeom prst="rect">
                            <a:avLst/>
                          </a:prstGeom>
                          <a:noFill/>
                          <a:ln w="9525">
                            <a:noFill/>
                          </a:ln>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1．外形尺寸：1395x1165x1545mm</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2．锻炼部位：大腿股四头肌</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3．主框架：材质：Q235A；规格：平椭120x50xT3.0mm</w:t>
            </w:r>
            <w:r>
              <w:rPr>
                <w:rFonts w:hint="eastAsia" w:ascii="宋体" w:hAnsi="宋体" w:cs="宋体"/>
                <w:color w:val="auto"/>
                <w:sz w:val="24"/>
                <w:szCs w:val="24"/>
                <w:highlight w:val="none"/>
              </w:rPr>
              <w:tab/>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4．导杆：实心、镀铬；规格：∮19x1250</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5．滑轮：尼龙+玻璃纤维；规格：∮117</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6．防护罩：龙门架两侧防护；材质：铁皮+亚克力板，亚克力板单面磨砂半透明，δ=3mm</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7．配重铁：材质：铸铁</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8．最大配重：100KG  ；最小配重：5KG </w:t>
            </w:r>
          </w:p>
          <w:p>
            <w:pPr>
              <w:spacing w:line="276" w:lineRule="auto"/>
              <w:rPr>
                <w:rFonts w:ascii="宋体" w:hAnsi="宋体" w:cs="宋体"/>
                <w:color w:val="auto"/>
                <w:sz w:val="24"/>
                <w:szCs w:val="24"/>
                <w:highlight w:val="none"/>
              </w:rPr>
            </w:pPr>
          </w:p>
          <w:p>
            <w:pPr>
              <w:spacing w:line="276" w:lineRule="auto"/>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7" w:hRule="atLeast"/>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哑铃架</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114300" distR="114300">
                  <wp:extent cx="953770" cy="709930"/>
                  <wp:effectExtent l="0" t="0" r="17780" b="13970"/>
                  <wp:docPr id="1413" name="图片 14" descr="R-390组合哑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图片 14" descr="R-390组合哑铃.jpg"/>
                          <pic:cNvPicPr>
                            <a:picLocks noChangeAspect="1"/>
                          </pic:cNvPicPr>
                        </pic:nvPicPr>
                        <pic:blipFill>
                          <a:blip r:embed="rId11"/>
                          <a:stretch>
                            <a:fillRect/>
                          </a:stretch>
                        </pic:blipFill>
                        <pic:spPr>
                          <a:xfrm>
                            <a:off x="0" y="0"/>
                            <a:ext cx="953770" cy="709930"/>
                          </a:xfrm>
                          <a:prstGeom prst="rect">
                            <a:avLst/>
                          </a:prstGeom>
                          <a:noFill/>
                          <a:ln w="9525">
                            <a:noFill/>
                          </a:ln>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rPr>
                <w:rFonts w:ascii="宋体" w:hAnsi="宋体" w:cs="宋体"/>
                <w:color w:val="auto"/>
                <w:sz w:val="24"/>
                <w:szCs w:val="24"/>
                <w:highlight w:val="none"/>
              </w:rPr>
            </w:pPr>
            <w:r>
              <w:rPr>
                <w:rFonts w:hint="eastAsia" w:ascii="宋体" w:hAnsi="宋体" w:cs="宋体"/>
                <w:color w:val="auto"/>
                <w:sz w:val="24"/>
                <w:szCs w:val="24"/>
                <w:highlight w:val="none"/>
              </w:rPr>
              <w:t>1．产品尺寸：≥1430*582*863mm（长*宽*高）</w:t>
            </w:r>
          </w:p>
          <w:p>
            <w:pPr>
              <w:rPr>
                <w:rFonts w:ascii="宋体" w:hAnsi="宋体" w:cs="宋体"/>
                <w:color w:val="auto"/>
                <w:sz w:val="24"/>
                <w:szCs w:val="24"/>
                <w:highlight w:val="none"/>
              </w:rPr>
            </w:pPr>
            <w:r>
              <w:rPr>
                <w:rFonts w:hint="eastAsia" w:ascii="宋体" w:hAnsi="宋体" w:cs="宋体"/>
                <w:color w:val="auto"/>
                <w:sz w:val="24"/>
                <w:szCs w:val="24"/>
                <w:highlight w:val="none"/>
              </w:rPr>
              <w:t>2．符合商用俱乐部要求，重新设计，专为R-390设计,最大可放12支哑铃;</w:t>
            </w:r>
          </w:p>
          <w:p>
            <w:pPr>
              <w:rPr>
                <w:rFonts w:ascii="宋体" w:hAnsi="宋体" w:cs="宋体"/>
                <w:color w:val="auto"/>
                <w:sz w:val="24"/>
                <w:szCs w:val="24"/>
                <w:highlight w:val="none"/>
              </w:rPr>
            </w:pPr>
            <w:r>
              <w:rPr>
                <w:rFonts w:hint="eastAsia" w:ascii="宋体" w:hAnsi="宋体" w:cs="宋体"/>
                <w:color w:val="auto"/>
                <w:sz w:val="24"/>
                <w:szCs w:val="24"/>
                <w:highlight w:val="none"/>
              </w:rPr>
              <w:t>3．主立管规格：≥76mm*3mm</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多重可调节练习椅</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114300" distR="114300">
                  <wp:extent cx="974725" cy="591185"/>
                  <wp:effectExtent l="0" t="0" r="15875" b="18415"/>
                  <wp:docPr id="1414" name="图片 10" descr="SH-6857（多重可调节练习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图片 10" descr="SH-6857（多重可调节练习椅）.jpg"/>
                          <pic:cNvPicPr>
                            <a:picLocks noChangeAspect="1"/>
                          </pic:cNvPicPr>
                        </pic:nvPicPr>
                        <pic:blipFill>
                          <a:blip r:embed="rId12"/>
                          <a:stretch>
                            <a:fillRect/>
                          </a:stretch>
                        </pic:blipFill>
                        <pic:spPr>
                          <a:xfrm>
                            <a:off x="0" y="0"/>
                            <a:ext cx="974725" cy="591185"/>
                          </a:xfrm>
                          <a:prstGeom prst="rect">
                            <a:avLst/>
                          </a:prstGeom>
                          <a:noFill/>
                          <a:ln w="9525">
                            <a:noFill/>
                          </a:ln>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1．锻炼功能：组合及辅助训练；</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2．主框架材质：Q235A；主力管规格：≥ 80mm*40mm*3.0 mm   </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3．机颜色：主架：黑色银砂纹；</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4．产品规格尺寸：≥1360mm×590mm×435mm（长×宽×高）</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5．使用者最大重量≥100KG；类别 S级（商用）；</w:t>
            </w:r>
          </w:p>
          <w:p>
            <w:pPr>
              <w:spacing w:line="420" w:lineRule="exact"/>
              <w:rPr>
                <w:rFonts w:ascii="宋体" w:hAnsi="宋体" w:cs="宋体"/>
                <w:color w:val="auto"/>
                <w:sz w:val="24"/>
                <w:szCs w:val="24"/>
                <w:highlight w:val="none"/>
              </w:rPr>
            </w:pPr>
          </w:p>
          <w:p>
            <w:pPr>
              <w:spacing w:line="420" w:lineRule="exact"/>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哑铃组合</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114300" distR="114300">
                  <wp:extent cx="932180" cy="943610"/>
                  <wp:effectExtent l="0" t="0" r="1270" b="8890"/>
                  <wp:docPr id="513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7" name="图片 1"/>
                          <pic:cNvPicPr>
                            <a:picLocks noChangeAspect="1"/>
                          </pic:cNvPicPr>
                        </pic:nvPicPr>
                        <pic:blipFill>
                          <a:blip r:embed="rId13"/>
                          <a:stretch>
                            <a:fillRect/>
                          </a:stretch>
                        </pic:blipFill>
                        <pic:spPr>
                          <a:xfrm>
                            <a:off x="0" y="0"/>
                            <a:ext cx="932180" cy="943610"/>
                          </a:xfrm>
                          <a:prstGeom prst="rect">
                            <a:avLst/>
                          </a:prstGeom>
                          <a:noFill/>
                          <a:ln w="9525">
                            <a:noFill/>
                          </a:ln>
                        </pic:spPr>
                      </pic:pic>
                    </a:graphicData>
                  </a:graphic>
                </wp:inline>
              </w:drawing>
            </w:r>
          </w:p>
        </w:tc>
        <w:tc>
          <w:tcPr>
            <w:tcW w:w="6703" w:type="dxa"/>
            <w:vAlign w:val="center"/>
          </w:tcPr>
          <w:p>
            <w:pPr>
              <w:widowControl/>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1．哑铃架主立管：≥ 76×3.0mm，可放6对哑铃；简约造型，新型材料，保护性外观设计</w:t>
            </w:r>
          </w:p>
          <w:p>
            <w:pPr>
              <w:widowControl/>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2．哑铃：把手直径30/33mm，PU聚氨酯包胶，优质钢材铸造；采用高级滚花技术，舒适、防滑、环保、耐用，免伤手菱形纹路；2.5kg-15kg各一对，2.5kg为一档，共6对哑铃</w:t>
            </w:r>
          </w:p>
          <w:p>
            <w:pPr>
              <w:widowControl/>
              <w:spacing w:line="276"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3.产品符合GB17498-2008国标要求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可调式双滑轮多功能训练器</w:t>
            </w:r>
          </w:p>
        </w:tc>
        <w:tc>
          <w:tcPr>
            <w:tcW w:w="162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drawing>
                <wp:inline distT="0" distB="0" distL="114300" distR="114300">
                  <wp:extent cx="887730" cy="887730"/>
                  <wp:effectExtent l="0" t="0" r="7620" b="7620"/>
                  <wp:docPr id="7" name="图片 7" descr="925e9f316bb8695b97c3ca8121845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25e9f316bb8695b97c3ca8121845e3"/>
                          <pic:cNvPicPr>
                            <a:picLocks noChangeAspect="1"/>
                          </pic:cNvPicPr>
                        </pic:nvPicPr>
                        <pic:blipFill>
                          <a:blip r:embed="rId14"/>
                          <a:stretch>
                            <a:fillRect/>
                          </a:stretch>
                        </pic:blipFill>
                        <pic:spPr>
                          <a:xfrm>
                            <a:off x="0" y="0"/>
                            <a:ext cx="887730" cy="887730"/>
                          </a:xfrm>
                          <a:prstGeom prst="rect">
                            <a:avLst/>
                          </a:prstGeom>
                        </pic:spPr>
                      </pic:pic>
                    </a:graphicData>
                  </a:graphic>
                </wp:inline>
              </w:drawing>
            </w:r>
          </w:p>
        </w:tc>
        <w:tc>
          <w:tcPr>
            <w:tcW w:w="6703" w:type="dxa"/>
            <w:vAlign w:val="center"/>
          </w:tcPr>
          <w:p>
            <w:pPr>
              <w:rPr>
                <w:rFonts w:ascii="宋体" w:hAnsi="宋体" w:cs="宋体"/>
                <w:b/>
                <w:bCs/>
                <w:color w:val="auto"/>
                <w:sz w:val="24"/>
                <w:szCs w:val="24"/>
                <w:highlight w:val="none"/>
              </w:rPr>
            </w:pPr>
            <w:r>
              <w:rPr>
                <w:rFonts w:hint="eastAsia" w:ascii="宋体" w:hAnsi="宋体" w:cs="宋体"/>
                <w:b/>
                <w:bCs/>
                <w:color w:val="auto"/>
                <w:sz w:val="24"/>
                <w:szCs w:val="24"/>
                <w:highlight w:val="none"/>
              </w:rPr>
              <w:t>参数要求：</w:t>
            </w:r>
          </w:p>
          <w:p>
            <w:pPr>
              <w:rPr>
                <w:rFonts w:ascii="宋体" w:hAnsi="宋体" w:cs="宋体"/>
                <w:color w:val="auto"/>
                <w:sz w:val="24"/>
                <w:szCs w:val="24"/>
                <w:highlight w:val="none"/>
              </w:rPr>
            </w:pPr>
            <w:r>
              <w:rPr>
                <w:rFonts w:hint="eastAsia" w:ascii="宋体" w:hAnsi="宋体" w:cs="宋体"/>
                <w:color w:val="auto"/>
                <w:sz w:val="24"/>
                <w:szCs w:val="24"/>
                <w:highlight w:val="none"/>
              </w:rPr>
              <w:t>1.外形尺寸：≥1860x1000x2240mm（长x宽x高）</w:t>
            </w:r>
          </w:p>
          <w:p>
            <w:pPr>
              <w:rPr>
                <w:rFonts w:ascii="宋体" w:hAnsi="宋体" w:cs="宋体"/>
                <w:color w:val="auto"/>
                <w:sz w:val="24"/>
                <w:szCs w:val="24"/>
                <w:highlight w:val="none"/>
              </w:rPr>
            </w:pPr>
            <w:r>
              <w:rPr>
                <w:rFonts w:hint="eastAsia" w:ascii="宋体" w:hAnsi="宋体" w:cs="宋体"/>
                <w:color w:val="auto"/>
                <w:sz w:val="24"/>
                <w:szCs w:val="24"/>
                <w:highlight w:val="none"/>
              </w:rPr>
              <w:t>2.锻炼部位：多肌群训练（胸、肩、背、腿）</w:t>
            </w:r>
          </w:p>
          <w:p>
            <w:pPr>
              <w:rPr>
                <w:rFonts w:ascii="宋体" w:hAnsi="宋体" w:cs="宋体"/>
                <w:color w:val="auto"/>
                <w:sz w:val="24"/>
                <w:szCs w:val="24"/>
                <w:highlight w:val="none"/>
              </w:rPr>
            </w:pPr>
            <w:r>
              <w:rPr>
                <w:rFonts w:hint="eastAsia" w:ascii="宋体" w:hAnsi="宋体" w:cs="宋体"/>
                <w:color w:val="auto"/>
                <w:sz w:val="24"/>
                <w:szCs w:val="24"/>
                <w:highlight w:val="none"/>
              </w:rPr>
              <w:t>3.主立管规格：平椭≥120x50x2.0mm</w:t>
            </w:r>
          </w:p>
          <w:p>
            <w:pPr>
              <w:rPr>
                <w:rFonts w:ascii="宋体" w:hAnsi="宋体" w:cs="宋体"/>
                <w:color w:val="auto"/>
                <w:sz w:val="24"/>
                <w:szCs w:val="24"/>
                <w:highlight w:val="none"/>
              </w:rPr>
            </w:pPr>
            <w:r>
              <w:rPr>
                <w:rFonts w:hint="eastAsia" w:ascii="宋体" w:hAnsi="宋体" w:cs="宋体"/>
                <w:color w:val="auto"/>
                <w:sz w:val="24"/>
                <w:szCs w:val="24"/>
                <w:highlight w:val="none"/>
              </w:rPr>
              <w:t>4.导杆：实心、镀铬</w:t>
            </w:r>
          </w:p>
          <w:p>
            <w:pPr>
              <w:rPr>
                <w:rFonts w:ascii="宋体" w:hAnsi="宋体" w:cs="宋体"/>
                <w:color w:val="auto"/>
                <w:sz w:val="24"/>
                <w:szCs w:val="24"/>
                <w:highlight w:val="none"/>
              </w:rPr>
            </w:pPr>
            <w:r>
              <w:rPr>
                <w:rFonts w:hint="eastAsia" w:ascii="宋体" w:hAnsi="宋体" w:cs="宋体"/>
                <w:color w:val="auto"/>
                <w:sz w:val="24"/>
                <w:szCs w:val="24"/>
                <w:highlight w:val="none"/>
              </w:rPr>
              <w:t>5.滑轮：尼龙+玻璃纤维</w:t>
            </w:r>
          </w:p>
          <w:p>
            <w:pPr>
              <w:rPr>
                <w:rFonts w:ascii="宋体" w:hAnsi="宋体" w:cs="宋体"/>
                <w:color w:val="auto"/>
                <w:sz w:val="24"/>
                <w:szCs w:val="24"/>
                <w:highlight w:val="none"/>
              </w:rPr>
            </w:pPr>
            <w:r>
              <w:rPr>
                <w:rFonts w:hint="eastAsia" w:ascii="宋体" w:hAnsi="宋体" w:cs="宋体"/>
                <w:color w:val="auto"/>
                <w:sz w:val="24"/>
                <w:szCs w:val="24"/>
                <w:highlight w:val="none"/>
              </w:rPr>
              <w:t>6.防护罩：龙门架两侧防护；</w:t>
            </w:r>
          </w:p>
          <w:p>
            <w:pPr>
              <w:rPr>
                <w:rFonts w:ascii="宋体" w:hAnsi="宋体" w:cs="宋体"/>
                <w:color w:val="auto"/>
                <w:sz w:val="24"/>
                <w:szCs w:val="24"/>
                <w:highlight w:val="none"/>
              </w:rPr>
            </w:pPr>
            <w:r>
              <w:rPr>
                <w:rFonts w:hint="eastAsia" w:ascii="宋体" w:hAnsi="宋体" w:cs="宋体"/>
                <w:color w:val="auto"/>
                <w:sz w:val="24"/>
                <w:szCs w:val="24"/>
                <w:highlight w:val="none"/>
              </w:rPr>
              <w:t>7.牵索形式：钢丝绳+滑轮；阻力形式：插片配重式</w:t>
            </w:r>
          </w:p>
          <w:p>
            <w:pPr>
              <w:rPr>
                <w:rFonts w:ascii="宋体" w:hAnsi="宋体" w:cs="宋体"/>
                <w:color w:val="auto"/>
                <w:sz w:val="24"/>
                <w:szCs w:val="24"/>
                <w:highlight w:val="none"/>
              </w:rPr>
            </w:pPr>
            <w:r>
              <w:rPr>
                <w:rFonts w:hint="eastAsia" w:ascii="宋体" w:hAnsi="宋体" w:cs="宋体"/>
                <w:color w:val="auto"/>
                <w:sz w:val="24"/>
                <w:szCs w:val="24"/>
                <w:highlight w:val="none"/>
              </w:rPr>
              <w:t>8.最大训练载荷：≥190kg；最大人体质量：≥150kg</w:t>
            </w:r>
          </w:p>
          <w:p>
            <w:pPr>
              <w:rPr>
                <w:rFonts w:ascii="宋体" w:hAnsi="宋体" w:cs="宋体"/>
                <w:color w:val="auto"/>
                <w:sz w:val="24"/>
                <w:szCs w:val="24"/>
                <w:highlight w:val="none"/>
              </w:rPr>
            </w:pPr>
          </w:p>
          <w:p>
            <w:pPr>
              <w:rPr>
                <w:rFonts w:ascii="宋体" w:hAnsi="宋体" w:cs="宋体"/>
                <w:b/>
                <w:bCs/>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▲产品通过nscc认证且同时提供有效期内认证证书（复印件加盖厂家公章）</w:t>
            </w:r>
          </w:p>
          <w:p>
            <w:pPr>
              <w:rPr>
                <w:rFonts w:ascii="宋体" w:hAnsi="宋体" w:cs="宋体"/>
                <w:color w:val="auto"/>
                <w:sz w:val="24"/>
                <w:szCs w:val="24"/>
                <w:highlight w:val="none"/>
              </w:rPr>
            </w:pPr>
            <w:r>
              <w:rPr>
                <w:rFonts w:hint="eastAsia" w:ascii="宋体" w:hAnsi="宋体" w:cs="宋体"/>
                <w:color w:val="auto"/>
                <w:sz w:val="24"/>
                <w:szCs w:val="24"/>
                <w:highlight w:val="none"/>
              </w:rPr>
              <w:t>▲产品符合GB17498-2008国标要求，并提供国家体育用品质量监督检验中心检验合格的检验报告（提供证书复印件加盖厂家公章）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4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62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商用地胶</w:t>
            </w:r>
          </w:p>
        </w:tc>
        <w:tc>
          <w:tcPr>
            <w:tcW w:w="1620" w:type="dxa"/>
            <w:vAlign w:val="center"/>
          </w:tcPr>
          <w:p>
            <w:pPr>
              <w:jc w:val="center"/>
              <w:rPr>
                <w:rFonts w:ascii="宋体" w:hAnsi="宋体" w:cs="宋体"/>
                <w:color w:val="auto"/>
                <w:sz w:val="24"/>
                <w:szCs w:val="24"/>
                <w:highlight w:val="none"/>
              </w:rPr>
            </w:pPr>
            <w:r>
              <w:rPr>
                <w:color w:val="auto"/>
                <w:highlight w:val="none"/>
              </w:rPr>
              <w:drawing>
                <wp:inline distT="0" distB="0" distL="114300" distR="114300">
                  <wp:extent cx="944245" cy="638810"/>
                  <wp:effectExtent l="0" t="0" r="8255" b="8890"/>
                  <wp:docPr id="513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8" name="图片 2"/>
                          <pic:cNvPicPr>
                            <a:picLocks noChangeAspect="1"/>
                          </pic:cNvPicPr>
                        </pic:nvPicPr>
                        <pic:blipFill>
                          <a:blip r:embed="rId15"/>
                          <a:stretch>
                            <a:fillRect/>
                          </a:stretch>
                        </pic:blipFill>
                        <pic:spPr>
                          <a:xfrm>
                            <a:off x="0" y="0"/>
                            <a:ext cx="944245" cy="638810"/>
                          </a:xfrm>
                          <a:prstGeom prst="rect">
                            <a:avLst/>
                          </a:prstGeom>
                          <a:noFill/>
                          <a:ln w="9525">
                            <a:noFill/>
                          </a:ln>
                        </pic:spPr>
                      </pic:pic>
                    </a:graphicData>
                  </a:graphic>
                </wp:inline>
              </w:drawing>
            </w:r>
          </w:p>
        </w:tc>
        <w:tc>
          <w:tcPr>
            <w:tcW w:w="6703" w:type="dxa"/>
            <w:vAlign w:val="center"/>
          </w:tcPr>
          <w:p>
            <w:pPr>
              <w:rPr>
                <w:rFonts w:ascii="宋体" w:hAnsi="宋体" w:cs="宋体"/>
                <w:color w:val="auto"/>
                <w:sz w:val="24"/>
                <w:szCs w:val="24"/>
                <w:highlight w:val="none"/>
              </w:rPr>
            </w:pPr>
            <w:r>
              <w:rPr>
                <w:rFonts w:hint="eastAsia" w:ascii="宋体" w:hAnsi="宋体" w:cs="宋体"/>
                <w:b/>
                <w:bCs/>
                <w:color w:val="auto"/>
                <w:sz w:val="24"/>
                <w:szCs w:val="24"/>
                <w:highlight w:val="none"/>
              </w:rPr>
              <w:t>参数要求：</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1、硬度（邵A）：55-90（度）</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2、拉伸强度</w:t>
            </w:r>
            <w:r>
              <w:rPr>
                <w:rFonts w:hint="eastAsia" w:ascii="宋体" w:hAnsi="宋体" w:cs="宋体"/>
                <w:color w:val="auto"/>
                <w:sz w:val="24"/>
                <w:szCs w:val="24"/>
                <w:highlight w:val="none"/>
              </w:rPr>
              <w:tab/>
            </w:r>
            <w:r>
              <w:rPr>
                <w:rFonts w:hint="eastAsia" w:ascii="宋体" w:hAnsi="宋体" w:cs="宋体"/>
                <w:color w:val="auto"/>
                <w:sz w:val="24"/>
                <w:szCs w:val="24"/>
                <w:highlight w:val="none"/>
              </w:rPr>
              <w:t>≥1.0Mpa</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3、拉断伸长率≥120%</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4、阻燃性：Ⅰ级</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5、产品厚度：≥4.5MM</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6、可溶性重金属镉含量≤20mg/㎡</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7、挥发物含量≤35g/㎡</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8、加热翘曲，符合GB/T 11982.1-2015标准要求，检验结果≤8mm</w:t>
            </w:r>
          </w:p>
          <w:p>
            <w:pPr>
              <w:rPr>
                <w:rFonts w:ascii="宋体" w:hAnsi="宋体" w:cs="宋体"/>
                <w:color w:val="auto"/>
                <w:sz w:val="24"/>
                <w:szCs w:val="24"/>
                <w:highlight w:val="none"/>
              </w:rPr>
            </w:pPr>
            <w:r>
              <w:rPr>
                <w:rFonts w:hint="eastAsia" w:ascii="宋体" w:hAnsi="宋体" w:cs="宋体"/>
                <w:color w:val="auto"/>
                <w:sz w:val="24"/>
                <w:szCs w:val="24"/>
                <w:highlight w:val="none"/>
              </w:rPr>
              <w:t>9、热老化试验，温度不低于70°C，时长不短于168h，产品外观正反面均无气泡、裂纹、分层、粘结和孔洞，检测报告需附产品热老化试验前后对比照片。</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10、载荷500N，加载时间5h，耐压痕≤0.4mm</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▲11、邻苯二甲酸酯类增塑剂（邻苯）不少于58种检测报告，检测结果为未检出。</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12、快速变温试验：24个循环后，尺寸变化率（横向、纵向）≤0.01%，且样品表面无破损、变形等现象。</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13、冷热冲击试验：24个循环后，拉伸强度变化率≤1%，尺寸变化率（横向、纵向）≤0.01%，且表面不破损、变形、脆裂等现象。</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▲14、耐环境应力开裂测试时长不少于9000h，破裂率为0%</w:t>
            </w:r>
          </w:p>
          <w:p>
            <w:pPr>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▲15、提供自然气候暴露试验时长不少于十二个月的检测报告，自然气候暴露后，外观表面无开裂、粉化现象。</w:t>
            </w:r>
          </w:p>
          <w:p>
            <w:pPr>
              <w:rPr>
                <w:rFonts w:ascii="宋体" w:hAnsi="宋体" w:cs="宋体"/>
                <w:color w:val="auto"/>
                <w:sz w:val="24"/>
                <w:szCs w:val="24"/>
                <w:highlight w:val="none"/>
              </w:rPr>
            </w:pPr>
            <w:r>
              <w:rPr>
                <w:rFonts w:hint="eastAsia" w:ascii="宋体" w:hAnsi="宋体" w:cs="宋体"/>
                <w:color w:val="auto"/>
                <w:sz w:val="24"/>
                <w:szCs w:val="24"/>
                <w:highlight w:val="none"/>
              </w:rPr>
              <w:t>▲16、耐湿热老化10000h后，外观无明显变化，灰卡评级4级。</w:t>
            </w:r>
          </w:p>
          <w:p>
            <w:pPr>
              <w:rPr>
                <w:rFonts w:ascii="宋体" w:hAnsi="宋体" w:cs="宋体"/>
                <w:b/>
                <w:bCs/>
                <w:color w:val="auto"/>
                <w:sz w:val="24"/>
                <w:szCs w:val="24"/>
                <w:highlight w:val="none"/>
              </w:rPr>
            </w:pPr>
          </w:p>
          <w:p>
            <w:pPr>
              <w:rPr>
                <w:rFonts w:ascii="宋体" w:hAnsi="宋体" w:cs="宋体"/>
                <w:color w:val="auto"/>
                <w:sz w:val="24"/>
                <w:szCs w:val="24"/>
                <w:highlight w:val="none"/>
              </w:rPr>
            </w:pPr>
            <w:r>
              <w:rPr>
                <w:rFonts w:hint="eastAsia" w:ascii="宋体" w:hAnsi="宋体" w:cs="宋体"/>
                <w:b/>
                <w:bCs/>
                <w:color w:val="auto"/>
                <w:sz w:val="24"/>
                <w:szCs w:val="24"/>
                <w:highlight w:val="none"/>
              </w:rPr>
              <w:t>认证及检验报告：</w:t>
            </w:r>
          </w:p>
          <w:p>
            <w:pPr>
              <w:rPr>
                <w:rFonts w:ascii="宋体" w:hAnsi="宋体" w:cs="宋体"/>
                <w:color w:val="auto"/>
                <w:sz w:val="24"/>
                <w:szCs w:val="24"/>
                <w:highlight w:val="none"/>
              </w:rPr>
            </w:pPr>
            <w:r>
              <w:rPr>
                <w:rFonts w:hint="eastAsia" w:ascii="宋体" w:hAnsi="宋体" w:cs="宋体"/>
                <w:color w:val="auto"/>
                <w:sz w:val="24"/>
                <w:szCs w:val="24"/>
                <w:highlight w:val="none"/>
              </w:rPr>
              <w:t>▲提供CMA及CNAS认可的检测机构出具的检测报告原件核验。</w:t>
            </w:r>
          </w:p>
        </w:tc>
      </w:tr>
    </w:tbl>
    <w:p>
      <w:pPr>
        <w:numPr>
          <w:ilvl w:val="0"/>
          <w:numId w:val="4"/>
        </w:numPr>
        <w:spacing w:line="400" w:lineRule="exact"/>
        <w:ind w:firstLine="472" w:firstLineChars="196"/>
        <w:rPr>
          <w:rFonts w:ascii="宋体" w:hAnsi="宋体"/>
          <w:b/>
          <w:color w:val="auto"/>
          <w:kern w:val="0"/>
          <w:sz w:val="24"/>
          <w:szCs w:val="24"/>
          <w:highlight w:val="none"/>
        </w:rPr>
      </w:pPr>
      <w:r>
        <w:rPr>
          <w:rFonts w:hint="eastAsia" w:ascii="宋体" w:hAnsi="宋体"/>
          <w:b/>
          <w:color w:val="auto"/>
          <w:kern w:val="0"/>
          <w:sz w:val="24"/>
          <w:szCs w:val="24"/>
          <w:highlight w:val="none"/>
        </w:rPr>
        <w:t>带★标为实质性响应内容，未提供和不满足按无效处理。带</w:t>
      </w:r>
      <w:r>
        <w:rPr>
          <w:rFonts w:hint="eastAsia" w:ascii="宋体" w:hAnsi="宋体" w:cs="宋体"/>
          <w:color w:val="auto"/>
          <w:sz w:val="24"/>
          <w:szCs w:val="24"/>
          <w:highlight w:val="none"/>
        </w:rPr>
        <w:t>▲</w:t>
      </w:r>
      <w:r>
        <w:rPr>
          <w:rFonts w:hint="eastAsia" w:ascii="宋体" w:hAnsi="宋体"/>
          <w:b/>
          <w:color w:val="auto"/>
          <w:kern w:val="0"/>
          <w:sz w:val="24"/>
          <w:szCs w:val="24"/>
          <w:highlight w:val="none"/>
        </w:rPr>
        <w:t>标为关键性内容。</w:t>
      </w:r>
    </w:p>
    <w:p>
      <w:pPr>
        <w:numPr>
          <w:ilvl w:val="0"/>
          <w:numId w:val="4"/>
        </w:numPr>
        <w:spacing w:line="400" w:lineRule="exact"/>
        <w:ind w:firstLine="472" w:firstLineChars="196"/>
        <w:rPr>
          <w:rFonts w:ascii="宋体" w:hAnsi="宋体"/>
          <w:b/>
          <w:color w:val="auto"/>
          <w:kern w:val="0"/>
          <w:sz w:val="24"/>
          <w:szCs w:val="24"/>
          <w:highlight w:val="none"/>
        </w:rPr>
      </w:pPr>
      <w:r>
        <w:rPr>
          <w:rFonts w:hint="eastAsia" w:ascii="宋体" w:hAnsi="宋体"/>
          <w:b/>
          <w:color w:val="auto"/>
          <w:kern w:val="0"/>
          <w:sz w:val="24"/>
          <w:szCs w:val="24"/>
          <w:highlight w:val="none"/>
        </w:rPr>
        <w:t>健身器材推荐品牌：乔山、舒华、英派斯或同等档次品牌</w:t>
      </w:r>
      <w:r>
        <w:rPr>
          <w:rFonts w:hint="eastAsia" w:ascii="宋体" w:hAnsi="宋体"/>
          <w:b/>
          <w:color w:val="auto"/>
          <w:kern w:val="0"/>
          <w:sz w:val="24"/>
          <w:szCs w:val="24"/>
          <w:highlight w:val="none"/>
          <w:lang w:eastAsia="zh-CN"/>
        </w:rPr>
        <w:t>。</w:t>
      </w:r>
    </w:p>
    <w:p>
      <w:pPr>
        <w:spacing w:line="400" w:lineRule="exact"/>
        <w:ind w:firstLine="472" w:firstLineChars="196"/>
        <w:rPr>
          <w:rFonts w:ascii="宋体" w:hAnsi="宋体"/>
          <w:b/>
          <w:color w:val="auto"/>
          <w:sz w:val="24"/>
          <w:szCs w:val="24"/>
          <w:highlight w:val="none"/>
        </w:rPr>
      </w:pPr>
    </w:p>
    <w:p>
      <w:pPr>
        <w:spacing w:line="400" w:lineRule="exact"/>
        <w:ind w:firstLine="472" w:firstLineChars="196"/>
        <w:rPr>
          <w:rFonts w:ascii="宋体" w:hAnsi="宋体"/>
          <w:b/>
          <w:color w:val="auto"/>
          <w:kern w:val="0"/>
          <w:sz w:val="24"/>
          <w:szCs w:val="24"/>
          <w:highlight w:val="none"/>
        </w:rPr>
      </w:pPr>
      <w:r>
        <w:rPr>
          <w:rFonts w:hint="eastAsia" w:ascii="宋体" w:hAnsi="宋体"/>
          <w:b/>
          <w:color w:val="auto"/>
          <w:sz w:val="24"/>
          <w:szCs w:val="24"/>
          <w:highlight w:val="none"/>
        </w:rPr>
        <w:t>三、服务要求</w:t>
      </w:r>
    </w:p>
    <w:p>
      <w:pPr>
        <w:spacing w:line="400" w:lineRule="exact"/>
        <w:ind w:firstLine="470" w:firstLineChars="196"/>
        <w:rPr>
          <w:rFonts w:ascii="宋体" w:hAnsi="宋体"/>
          <w:bCs/>
          <w:color w:val="auto"/>
          <w:kern w:val="0"/>
          <w:sz w:val="24"/>
          <w:szCs w:val="24"/>
          <w:highlight w:val="none"/>
        </w:rPr>
      </w:pPr>
      <w:r>
        <w:rPr>
          <w:rFonts w:hint="eastAsia" w:ascii="宋体" w:hAnsi="宋体"/>
          <w:bCs/>
          <w:color w:val="auto"/>
          <w:kern w:val="0"/>
          <w:sz w:val="24"/>
          <w:szCs w:val="24"/>
          <w:highlight w:val="none"/>
        </w:rPr>
        <w:t>（1）合同总价应包括：完成本项目全部工作所需的一切费用的包干报价，包括但不只限于设备费、材料费、安装费、培训费、免费维保服务期内免费维保服务等所需全部费用。</w:t>
      </w:r>
    </w:p>
    <w:p>
      <w:pPr>
        <w:spacing w:line="400" w:lineRule="exact"/>
        <w:ind w:firstLine="470" w:firstLineChars="196"/>
        <w:rPr>
          <w:rFonts w:ascii="宋体" w:hAnsi="宋体"/>
          <w:bCs/>
          <w:color w:val="auto"/>
          <w:kern w:val="0"/>
          <w:sz w:val="24"/>
          <w:szCs w:val="24"/>
          <w:highlight w:val="none"/>
        </w:rPr>
      </w:pPr>
      <w:r>
        <w:rPr>
          <w:rFonts w:hint="eastAsia" w:ascii="宋体" w:hAnsi="宋体"/>
          <w:bCs/>
          <w:color w:val="auto"/>
          <w:kern w:val="0"/>
          <w:sz w:val="24"/>
          <w:szCs w:val="24"/>
          <w:highlight w:val="none"/>
        </w:rPr>
        <w:t>（2）本项目为交钥匙项目。在项目投入正常运行前的一切工作，包括合同已提到和合同未提到的但因交钥匙项目应该包括的所有工作内容由乙方完成，其费用已含在总价中，不得增加。</w:t>
      </w:r>
    </w:p>
    <w:p>
      <w:pPr>
        <w:spacing w:line="400" w:lineRule="exact"/>
        <w:ind w:firstLine="470" w:firstLineChars="196"/>
        <w:rPr>
          <w:rFonts w:ascii="宋体" w:hAnsi="宋体"/>
          <w:bCs/>
          <w:color w:val="auto"/>
          <w:kern w:val="0"/>
          <w:sz w:val="24"/>
          <w:szCs w:val="24"/>
          <w:highlight w:val="none"/>
        </w:rPr>
      </w:pPr>
      <w:r>
        <w:rPr>
          <w:rFonts w:hint="eastAsia" w:ascii="宋体" w:hAnsi="宋体"/>
          <w:bCs/>
          <w:color w:val="auto"/>
          <w:kern w:val="0"/>
          <w:sz w:val="24"/>
          <w:szCs w:val="24"/>
          <w:highlight w:val="none"/>
        </w:rPr>
        <w:t>（3）若甲方提出超出交钥匙工程的范围内的变更，则按中标单价不变，数量按实调整。</w:t>
      </w:r>
    </w:p>
    <w:p>
      <w:pPr>
        <w:spacing w:line="400" w:lineRule="exact"/>
        <w:ind w:firstLine="470" w:firstLineChars="196"/>
        <w:rPr>
          <w:rFonts w:ascii="宋体" w:hAnsi="宋体"/>
          <w:bCs/>
          <w:color w:val="auto"/>
          <w:kern w:val="0"/>
          <w:sz w:val="24"/>
          <w:szCs w:val="24"/>
          <w:highlight w:val="none"/>
        </w:rPr>
      </w:pPr>
    </w:p>
    <w:p>
      <w:pPr>
        <w:spacing w:line="400" w:lineRule="exact"/>
        <w:ind w:firstLine="472" w:firstLineChars="196"/>
        <w:rPr>
          <w:rFonts w:ascii="宋体" w:hAnsi="宋体"/>
          <w:b/>
          <w:color w:val="auto"/>
          <w:kern w:val="0"/>
          <w:sz w:val="24"/>
          <w:szCs w:val="24"/>
          <w:highlight w:val="none"/>
        </w:rPr>
      </w:pPr>
      <w:r>
        <w:rPr>
          <w:rFonts w:hint="eastAsia" w:ascii="宋体" w:hAnsi="宋体"/>
          <w:b/>
          <w:color w:val="auto"/>
          <w:sz w:val="24"/>
          <w:szCs w:val="24"/>
          <w:highlight w:val="none"/>
        </w:rPr>
        <w:t>四</w:t>
      </w:r>
      <w:r>
        <w:rPr>
          <w:rFonts w:ascii="宋体" w:hAnsi="宋体"/>
          <w:b/>
          <w:color w:val="auto"/>
          <w:sz w:val="24"/>
          <w:szCs w:val="24"/>
          <w:highlight w:val="none"/>
        </w:rPr>
        <w:t>、</w:t>
      </w:r>
      <w:r>
        <w:rPr>
          <w:rFonts w:hint="eastAsia" w:ascii="宋体" w:hAnsi="宋体"/>
          <w:b/>
          <w:color w:val="auto"/>
          <w:sz w:val="24"/>
          <w:szCs w:val="24"/>
          <w:highlight w:val="none"/>
        </w:rPr>
        <w:t>合同</w:t>
      </w:r>
      <w:r>
        <w:rPr>
          <w:rFonts w:ascii="宋体" w:hAnsi="宋体"/>
          <w:b/>
          <w:color w:val="auto"/>
          <w:sz w:val="24"/>
          <w:szCs w:val="24"/>
          <w:highlight w:val="none"/>
        </w:rPr>
        <w:t>期限及履约金</w:t>
      </w:r>
    </w:p>
    <w:p>
      <w:pPr>
        <w:spacing w:line="420" w:lineRule="exact"/>
        <w:ind w:firstLine="480" w:firstLineChars="200"/>
        <w:rPr>
          <w:rFonts w:ascii="宋体" w:hAnsi="宋体"/>
          <w:bCs/>
          <w:color w:val="auto"/>
          <w:sz w:val="24"/>
          <w:szCs w:val="24"/>
          <w:highlight w:val="none"/>
        </w:rPr>
      </w:pPr>
      <w:r>
        <w:rPr>
          <w:rFonts w:hint="eastAsia" w:ascii="宋体" w:hAnsi="宋体"/>
          <w:bCs/>
          <w:color w:val="auto"/>
          <w:kern w:val="0"/>
          <w:sz w:val="24"/>
          <w:szCs w:val="24"/>
          <w:highlight w:val="none"/>
        </w:rPr>
        <w:t>2022年3月31日前到货并完成安装。</w:t>
      </w:r>
    </w:p>
    <w:p>
      <w:pPr>
        <w:pStyle w:val="7"/>
        <w:spacing w:line="360" w:lineRule="auto"/>
        <w:ind w:firstLine="482" w:firstLineChars="200"/>
        <w:rPr>
          <w:rFonts w:hAnsi="宋体"/>
          <w:b/>
          <w:color w:val="auto"/>
          <w:sz w:val="24"/>
          <w:szCs w:val="24"/>
          <w:highlight w:val="none"/>
        </w:rPr>
      </w:pPr>
    </w:p>
    <w:p>
      <w:pPr>
        <w:pStyle w:val="7"/>
        <w:spacing w:line="360" w:lineRule="auto"/>
        <w:ind w:firstLine="482" w:firstLineChars="200"/>
        <w:rPr>
          <w:rFonts w:hAnsi="宋体" w:cs="Times New Roman"/>
          <w:b/>
          <w:bCs/>
          <w:color w:val="auto"/>
          <w:sz w:val="24"/>
          <w:szCs w:val="24"/>
          <w:highlight w:val="none"/>
        </w:rPr>
      </w:pPr>
      <w:r>
        <w:rPr>
          <w:rFonts w:hAnsi="宋体"/>
          <w:b/>
          <w:color w:val="auto"/>
          <w:sz w:val="24"/>
          <w:szCs w:val="24"/>
          <w:highlight w:val="none"/>
        </w:rPr>
        <w:t>五</w:t>
      </w:r>
      <w:r>
        <w:rPr>
          <w:rFonts w:hint="eastAsia" w:hAnsi="宋体"/>
          <w:b/>
          <w:color w:val="auto"/>
          <w:sz w:val="24"/>
          <w:szCs w:val="24"/>
          <w:highlight w:val="none"/>
        </w:rPr>
        <w:t>、</w:t>
      </w:r>
      <w:r>
        <w:rPr>
          <w:rFonts w:hAnsi="宋体" w:cs="Times New Roman"/>
          <w:b/>
          <w:bCs/>
          <w:color w:val="auto"/>
          <w:sz w:val="24"/>
          <w:szCs w:val="24"/>
          <w:highlight w:val="none"/>
        </w:rPr>
        <w:t>验收标准</w:t>
      </w:r>
    </w:p>
    <w:p>
      <w:pPr>
        <w:pStyle w:val="7"/>
        <w:spacing w:line="360" w:lineRule="auto"/>
        <w:ind w:firstLine="482" w:firstLineChars="201"/>
        <w:rPr>
          <w:rFonts w:hAnsi="宋体"/>
          <w:color w:val="auto"/>
          <w:sz w:val="24"/>
          <w:szCs w:val="24"/>
          <w:highlight w:val="none"/>
        </w:rPr>
      </w:pPr>
      <w:r>
        <w:rPr>
          <w:rFonts w:hAnsi="宋体"/>
          <w:color w:val="auto"/>
          <w:sz w:val="24"/>
          <w:szCs w:val="24"/>
          <w:highlight w:val="none"/>
        </w:rPr>
        <w:t>根据中华人民共和国现行技术标准，按招标文件以及合同规定的验收评定标准等规范，由采购人根据《政府采购合同履约和验收管理办法（暂行）》（义招管办【2008】32号）文件要求和《</w:t>
      </w:r>
      <w:r>
        <w:rPr>
          <w:rFonts w:hint="eastAsia" w:hAnsi="宋体"/>
          <w:color w:val="auto"/>
          <w:sz w:val="24"/>
          <w:szCs w:val="24"/>
          <w:highlight w:val="none"/>
        </w:rPr>
        <w:t>义乌市关于规范政府采购管理的若干意见</w:t>
      </w:r>
      <w:r>
        <w:rPr>
          <w:rFonts w:hAnsi="宋体"/>
          <w:color w:val="auto"/>
          <w:sz w:val="24"/>
          <w:szCs w:val="24"/>
          <w:highlight w:val="none"/>
        </w:rPr>
        <w:t>》（义政办发【2017】102号）要求，组织验收。</w:t>
      </w:r>
    </w:p>
    <w:p>
      <w:pPr>
        <w:spacing w:line="420" w:lineRule="exact"/>
        <w:rPr>
          <w:rFonts w:ascii="宋体" w:hAnsi="宋体"/>
          <w:b/>
          <w:color w:val="auto"/>
          <w:sz w:val="24"/>
          <w:szCs w:val="24"/>
          <w:highlight w:val="none"/>
        </w:rPr>
      </w:pPr>
    </w:p>
    <w:p>
      <w:pPr>
        <w:spacing w:line="420" w:lineRule="exact"/>
        <w:ind w:firstLine="482" w:firstLineChars="200"/>
        <w:rPr>
          <w:rFonts w:ascii="宋体" w:hAnsi="宋体"/>
          <w:color w:val="auto"/>
          <w:sz w:val="24"/>
          <w:szCs w:val="24"/>
          <w:highlight w:val="none"/>
        </w:rPr>
      </w:pPr>
      <w:r>
        <w:rPr>
          <w:rFonts w:ascii="宋体" w:hAnsi="宋体"/>
          <w:b/>
          <w:color w:val="auto"/>
          <w:sz w:val="24"/>
          <w:szCs w:val="24"/>
          <w:highlight w:val="none"/>
        </w:rPr>
        <w:t>六</w:t>
      </w:r>
      <w:r>
        <w:rPr>
          <w:rFonts w:hint="eastAsia" w:ascii="宋体" w:hAnsi="宋体"/>
          <w:b/>
          <w:color w:val="auto"/>
          <w:sz w:val="24"/>
          <w:szCs w:val="24"/>
          <w:highlight w:val="none"/>
        </w:rPr>
        <w:t>、</w:t>
      </w:r>
      <w:r>
        <w:rPr>
          <w:rFonts w:ascii="宋体" w:hAnsi="宋体"/>
          <w:b/>
          <w:color w:val="auto"/>
          <w:sz w:val="24"/>
          <w:szCs w:val="24"/>
          <w:highlight w:val="none"/>
        </w:rPr>
        <w:t>质保期及售后服务</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1．在浙江省内设有服务网点，</w:t>
      </w:r>
      <w:r>
        <w:rPr>
          <w:rFonts w:hint="eastAsia" w:ascii="宋体" w:hAnsi="宋体"/>
          <w:bCs/>
          <w:color w:val="auto"/>
          <w:sz w:val="24"/>
          <w:szCs w:val="24"/>
          <w:highlight w:val="none"/>
        </w:rPr>
        <w:t>质保期内</w:t>
      </w:r>
      <w:r>
        <w:rPr>
          <w:rFonts w:hint="eastAsia" w:ascii="宋体" w:hAnsi="宋体"/>
          <w:color w:val="auto"/>
          <w:sz w:val="24"/>
          <w:szCs w:val="24"/>
          <w:highlight w:val="none"/>
        </w:rPr>
        <w:t>须提供常设24小时热线服务和长期的免费技术支持，提供不间断的服务直到结束。维修点需提供足够的备件以适应买方维修需求。</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对用户的服务通知，如果是出现质量问题，维修人员须在接到维修电话后，半小时内响应，4小时内处理完毕，不得影响用户的正常工作业务。</w:t>
      </w:r>
    </w:p>
    <w:p>
      <w:pPr>
        <w:snapToGrid w:val="0"/>
        <w:spacing w:after="50" w:line="420" w:lineRule="exact"/>
        <w:ind w:firstLine="48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．供方须对合同中规定的提供</w:t>
      </w:r>
      <w:r>
        <w:rPr>
          <w:rFonts w:hint="eastAsia" w:ascii="宋体" w:hAnsi="宋体"/>
          <w:color w:val="auto"/>
          <w:sz w:val="24"/>
          <w:szCs w:val="24"/>
          <w:highlight w:val="none"/>
          <w:u w:val="single"/>
        </w:rPr>
        <w:t>验收合格次日起厂家质保不少于</w:t>
      </w:r>
      <w:r>
        <w:rPr>
          <w:rFonts w:hint="eastAsia" w:ascii="宋体" w:hAnsi="宋体"/>
          <w:b/>
          <w:bCs/>
          <w:color w:val="auto"/>
          <w:sz w:val="24"/>
          <w:szCs w:val="24"/>
          <w:highlight w:val="none"/>
          <w:u w:val="single"/>
        </w:rPr>
        <w:t>壹年的质保</w:t>
      </w:r>
      <w:r>
        <w:rPr>
          <w:rFonts w:hint="eastAsia" w:ascii="宋体" w:hAnsi="宋体"/>
          <w:color w:val="auto"/>
          <w:sz w:val="24"/>
          <w:szCs w:val="24"/>
          <w:highlight w:val="none"/>
        </w:rPr>
        <w:t>。在此期间，除不可抗力因素，因货物制造质量不良或非人为因素而产生损坏或不能正常使用，供方应免费提供更换和维修。非人为因素是指没有超出谈判文件和国家规定的技术指标的行为。</w:t>
      </w:r>
    </w:p>
    <w:p>
      <w:pPr>
        <w:snapToGrid w:val="0"/>
        <w:spacing w:after="50" w:line="420" w:lineRule="exact"/>
        <w:ind w:firstLine="480"/>
        <w:rPr>
          <w:rFonts w:ascii="宋体" w:hAnsi="宋体"/>
          <w:color w:val="auto"/>
          <w:sz w:val="24"/>
          <w:szCs w:val="24"/>
          <w:highlight w:val="none"/>
        </w:rPr>
      </w:pPr>
      <w:r>
        <w:rPr>
          <w:rFonts w:hint="eastAsia" w:ascii="宋体" w:hAnsi="宋体"/>
          <w:bCs/>
          <w:color w:val="auto"/>
          <w:sz w:val="24"/>
          <w:szCs w:val="24"/>
          <w:highlight w:val="none"/>
        </w:rPr>
        <w:t>质保期内，如设备非人为因素出现故障而造成短期停用时，则质保期和免费维修期相应顺延。如停用时间累计超过20天则质保期重新计算。</w:t>
      </w:r>
    </w:p>
    <w:p>
      <w:pPr>
        <w:snapToGrid w:val="0"/>
        <w:spacing w:after="50" w:line="420" w:lineRule="exact"/>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在质保期内的工作应包括常规检查、调整和润滑。具体的服务内容须在投标时说明。</w:t>
      </w:r>
    </w:p>
    <w:p>
      <w:pPr>
        <w:snapToGrid w:val="0"/>
        <w:spacing w:after="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4．在质保期满时，卖方工程师和买方代表对设备进行全面检查，如得到买方认可，双方签订质保期满合格证书。</w:t>
      </w:r>
    </w:p>
    <w:p>
      <w:pPr>
        <w:ind w:firstLine="48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．质保期内卖方须自行付费，负责修理和替换任何由于货物自身的质量问题造成的损坏及故障。</w:t>
      </w:r>
    </w:p>
    <w:p>
      <w:pPr>
        <w:pStyle w:val="7"/>
        <w:spacing w:line="360" w:lineRule="auto"/>
        <w:rPr>
          <w:rFonts w:hAnsi="宋体"/>
          <w:color w:val="auto"/>
          <w:sz w:val="24"/>
          <w:szCs w:val="24"/>
          <w:highlight w:val="none"/>
        </w:rPr>
      </w:pPr>
      <w:r>
        <w:rPr>
          <w:rFonts w:hint="eastAsia" w:hAnsi="宋体"/>
          <w:b/>
          <w:color w:val="auto"/>
          <w:sz w:val="24"/>
          <w:szCs w:val="24"/>
          <w:highlight w:val="none"/>
        </w:rPr>
        <w:t>七</w:t>
      </w:r>
      <w:r>
        <w:rPr>
          <w:rFonts w:hAnsi="宋体"/>
          <w:b/>
          <w:color w:val="auto"/>
          <w:sz w:val="24"/>
          <w:szCs w:val="24"/>
          <w:highlight w:val="none"/>
        </w:rPr>
        <w:t>、</w:t>
      </w:r>
      <w:r>
        <w:rPr>
          <w:rFonts w:hint="eastAsia" w:hAnsi="宋体"/>
          <w:b/>
          <w:color w:val="auto"/>
          <w:sz w:val="24"/>
          <w:szCs w:val="24"/>
          <w:highlight w:val="none"/>
        </w:rPr>
        <w:t>支付</w:t>
      </w:r>
      <w:r>
        <w:rPr>
          <w:rFonts w:hAnsi="宋体"/>
          <w:b/>
          <w:color w:val="auto"/>
          <w:sz w:val="24"/>
          <w:szCs w:val="24"/>
          <w:highlight w:val="none"/>
        </w:rPr>
        <w:t>方式</w:t>
      </w:r>
    </w:p>
    <w:p>
      <w:pPr>
        <w:pStyle w:val="7"/>
        <w:spacing w:line="360" w:lineRule="auto"/>
        <w:ind w:firstLine="480"/>
        <w:rPr>
          <w:rFonts w:hAnsi="宋体"/>
          <w:color w:val="auto"/>
          <w:sz w:val="24"/>
          <w:szCs w:val="24"/>
          <w:highlight w:val="none"/>
        </w:rPr>
      </w:pPr>
      <w:r>
        <w:rPr>
          <w:rFonts w:hint="eastAsia" w:hAnsi="宋体"/>
          <w:color w:val="auto"/>
          <w:sz w:val="24"/>
          <w:szCs w:val="24"/>
          <w:highlight w:val="none"/>
        </w:rPr>
        <w:t>供货</w:t>
      </w:r>
      <w:r>
        <w:rPr>
          <w:rFonts w:hAnsi="宋体"/>
          <w:color w:val="auto"/>
          <w:sz w:val="24"/>
          <w:szCs w:val="24"/>
          <w:highlight w:val="none"/>
        </w:rPr>
        <w:t>完成并验收合格</w:t>
      </w:r>
      <w:r>
        <w:rPr>
          <w:rFonts w:hint="eastAsia" w:hAnsi="宋体"/>
          <w:color w:val="auto"/>
          <w:sz w:val="24"/>
          <w:szCs w:val="24"/>
          <w:highlight w:val="none"/>
        </w:rPr>
        <w:t>后</w:t>
      </w:r>
      <w:r>
        <w:rPr>
          <w:rFonts w:hAnsi="宋体"/>
          <w:color w:val="auto"/>
          <w:sz w:val="24"/>
          <w:szCs w:val="24"/>
          <w:highlight w:val="none"/>
        </w:rPr>
        <w:t>30</w:t>
      </w:r>
      <w:r>
        <w:rPr>
          <w:rFonts w:hint="eastAsia" w:hAnsi="宋体"/>
          <w:color w:val="auto"/>
          <w:sz w:val="24"/>
          <w:szCs w:val="24"/>
          <w:highlight w:val="none"/>
        </w:rPr>
        <w:t>个工作日内支付实际货款总价的90%。货款总价的5%在验收合格一年后支付。货款总价的5%，在质保期满无质量问题后</w:t>
      </w:r>
      <w:r>
        <w:rPr>
          <w:rFonts w:hAnsi="宋体"/>
          <w:color w:val="auto"/>
          <w:sz w:val="24"/>
          <w:szCs w:val="24"/>
          <w:highlight w:val="none"/>
        </w:rPr>
        <w:t>30</w:t>
      </w:r>
      <w:r>
        <w:rPr>
          <w:rFonts w:hint="eastAsia" w:hAnsi="宋体"/>
          <w:color w:val="auto"/>
          <w:sz w:val="24"/>
          <w:szCs w:val="24"/>
          <w:highlight w:val="none"/>
        </w:rPr>
        <w:t>个工作日内支付。</w:t>
      </w:r>
    </w:p>
    <w:p>
      <w:pPr>
        <w:pStyle w:val="7"/>
        <w:spacing w:line="360" w:lineRule="auto"/>
        <w:rPr>
          <w:rFonts w:hAnsi="宋体"/>
          <w:b/>
          <w:color w:val="auto"/>
          <w:sz w:val="24"/>
          <w:szCs w:val="24"/>
          <w:highlight w:val="none"/>
        </w:rPr>
      </w:pPr>
      <w:r>
        <w:rPr>
          <w:rFonts w:hint="eastAsia" w:hAnsi="宋体"/>
          <w:b/>
          <w:color w:val="auto"/>
          <w:sz w:val="24"/>
          <w:szCs w:val="24"/>
          <w:highlight w:val="none"/>
        </w:rPr>
        <w:t>八</w:t>
      </w:r>
      <w:r>
        <w:rPr>
          <w:rFonts w:hAnsi="宋体"/>
          <w:b/>
          <w:color w:val="auto"/>
          <w:sz w:val="24"/>
          <w:szCs w:val="24"/>
          <w:highlight w:val="none"/>
        </w:rPr>
        <w:t>、</w:t>
      </w:r>
      <w:r>
        <w:rPr>
          <w:rFonts w:hint="eastAsia" w:hAnsi="宋体"/>
          <w:b/>
          <w:color w:val="auto"/>
          <w:sz w:val="24"/>
          <w:szCs w:val="24"/>
          <w:highlight w:val="none"/>
        </w:rPr>
        <w:t>其他</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1</w:t>
      </w:r>
      <w:r>
        <w:rPr>
          <w:rFonts w:hint="eastAsia" w:ascii="宋体" w:hAnsi="宋体" w:cs="Courier New"/>
          <w:color w:val="auto"/>
          <w:sz w:val="24"/>
          <w:szCs w:val="24"/>
          <w:highlight w:val="none"/>
        </w:rPr>
        <w:t>．</w:t>
      </w:r>
      <w:r>
        <w:rPr>
          <w:rFonts w:ascii="宋体" w:hAnsi="宋体" w:cs="Courier New"/>
          <w:color w:val="auto"/>
          <w:sz w:val="24"/>
          <w:szCs w:val="24"/>
          <w:highlight w:val="none"/>
        </w:rPr>
        <w:t>本合同范围的货物，应由供方直接供应，不得转让他人供应；</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2</w:t>
      </w:r>
      <w:r>
        <w:rPr>
          <w:rFonts w:hint="eastAsia" w:ascii="宋体" w:hAnsi="宋体" w:cs="Courier New"/>
          <w:color w:val="auto"/>
          <w:sz w:val="24"/>
          <w:szCs w:val="24"/>
          <w:highlight w:val="none"/>
        </w:rPr>
        <w:t>．</w:t>
      </w:r>
      <w:r>
        <w:rPr>
          <w:rFonts w:ascii="宋体" w:hAnsi="宋体" w:cs="Courier New"/>
          <w:color w:val="auto"/>
          <w:sz w:val="24"/>
          <w:szCs w:val="24"/>
          <w:highlight w:val="none"/>
        </w:rPr>
        <w:t>供方不得将本合同范围的货物全部或部分分包给他人供应；</w:t>
      </w:r>
    </w:p>
    <w:p>
      <w:pPr>
        <w:spacing w:line="360" w:lineRule="auto"/>
        <w:ind w:firstLine="480" w:firstLineChars="200"/>
        <w:rPr>
          <w:rFonts w:ascii="宋体" w:hAnsi="宋体" w:cs="Courier New"/>
          <w:color w:val="auto"/>
          <w:sz w:val="24"/>
          <w:szCs w:val="24"/>
          <w:highlight w:val="none"/>
        </w:rPr>
      </w:pPr>
      <w:r>
        <w:rPr>
          <w:rFonts w:ascii="宋体" w:hAnsi="宋体" w:cs="Courier New"/>
          <w:color w:val="auto"/>
          <w:sz w:val="24"/>
          <w:szCs w:val="24"/>
          <w:highlight w:val="none"/>
        </w:rPr>
        <w:t>3</w:t>
      </w:r>
      <w:r>
        <w:rPr>
          <w:rFonts w:hint="eastAsia" w:ascii="宋体" w:hAnsi="宋体" w:cs="Courier New"/>
          <w:color w:val="auto"/>
          <w:sz w:val="24"/>
          <w:szCs w:val="24"/>
          <w:highlight w:val="none"/>
        </w:rPr>
        <w:t>．</w:t>
      </w:r>
      <w:r>
        <w:rPr>
          <w:rFonts w:ascii="宋体" w:hAnsi="宋体" w:cs="Courier New"/>
          <w:color w:val="auto"/>
          <w:sz w:val="24"/>
          <w:szCs w:val="24"/>
          <w:highlight w:val="none"/>
        </w:rPr>
        <w:t>如有转让和分包行为，需方将解除合同，并追究供方的违约责任。</w:t>
      </w: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pStyle w:val="7"/>
        <w:spacing w:line="360" w:lineRule="auto"/>
        <w:rPr>
          <w:rFonts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．就</w:t>
      </w:r>
      <w:r>
        <w:rPr>
          <w:rFonts w:ascii="宋体" w:hAnsi="宋体"/>
          <w:color w:val="auto"/>
          <w:sz w:val="24"/>
          <w:szCs w:val="21"/>
          <w:highlight w:val="none"/>
        </w:rPr>
        <w:t>招标文件</w:t>
      </w:r>
      <w:r>
        <w:rPr>
          <w:rFonts w:hint="eastAsia" w:ascii="宋体" w:hAnsi="宋体"/>
          <w:color w:val="auto"/>
          <w:sz w:val="24"/>
          <w:szCs w:val="21"/>
          <w:highlight w:val="none"/>
        </w:rPr>
        <w:t>的</w:t>
      </w:r>
      <w:r>
        <w:rPr>
          <w:rFonts w:ascii="宋体" w:hAnsi="宋体"/>
          <w:color w:val="auto"/>
          <w:sz w:val="24"/>
          <w:szCs w:val="21"/>
          <w:highlight w:val="none"/>
        </w:rPr>
        <w:t>技术要求，投标人必须充分应答和满足用户的强制性的需求，如“★”等，否则将导致废标。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（1）统一社会信用代码副本（复印件加盖公章）；组织机构代码证副本（复印件加盖公章）、税务登记证副本（复印件加盖公章）；</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7"/>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（4）提供所有健身器材的产品彩页</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rPr>
        <w:t>nscc认证</w:t>
      </w:r>
      <w:r>
        <w:rPr>
          <w:rFonts w:hint="eastAsia" w:ascii="宋体" w:hAnsi="宋体" w:cs="宋体"/>
          <w:color w:val="auto"/>
          <w:sz w:val="24"/>
          <w:szCs w:val="24"/>
          <w:highlight w:val="none"/>
          <w:lang w:val="en-US" w:eastAsia="zh-CN"/>
        </w:rPr>
        <w:t>证书</w:t>
      </w:r>
      <w:r>
        <w:rPr>
          <w:rFonts w:hint="eastAsia" w:ascii="宋体" w:hAnsi="宋体" w:cs="宋体"/>
          <w:color w:val="auto"/>
          <w:kern w:val="0"/>
          <w:sz w:val="24"/>
          <w:szCs w:val="24"/>
          <w:highlight w:val="none"/>
        </w:rPr>
        <w:t>和国体质量监督检验机构的检测报告。</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（11）若有技术偏离，详细列明技术偏离部分；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7"/>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份（正本1份，副本</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五、投标文件的送达时间</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7"/>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1、技术评审（总分40分）</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w:t>
      </w:r>
    </w:p>
    <w:tbl>
      <w:tblPr>
        <w:tblStyle w:val="17"/>
        <w:tblW w:w="100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908"/>
        <w:gridCol w:w="766"/>
        <w:gridCol w:w="6946"/>
        <w:gridCol w:w="7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 w:hRule="atLeast"/>
          <w:jc w:val="center"/>
        </w:trPr>
        <w:tc>
          <w:tcPr>
            <w:tcW w:w="706" w:type="dxa"/>
            <w:vAlign w:val="center"/>
          </w:tcPr>
          <w:p>
            <w:pPr>
              <w:spacing w:line="312" w:lineRule="auto"/>
              <w:jc w:val="center"/>
              <w:rPr>
                <w:color w:val="auto"/>
                <w:sz w:val="24"/>
                <w:szCs w:val="24"/>
                <w:highlight w:val="none"/>
              </w:rPr>
            </w:pPr>
            <w:r>
              <w:rPr>
                <w:color w:val="auto"/>
                <w:sz w:val="24"/>
                <w:szCs w:val="24"/>
                <w:highlight w:val="none"/>
              </w:rPr>
              <w:t>序号</w:t>
            </w:r>
          </w:p>
        </w:tc>
        <w:tc>
          <w:tcPr>
            <w:tcW w:w="1674" w:type="dxa"/>
            <w:gridSpan w:val="2"/>
            <w:vAlign w:val="center"/>
          </w:tcPr>
          <w:p>
            <w:pPr>
              <w:spacing w:line="312" w:lineRule="auto"/>
              <w:jc w:val="center"/>
              <w:rPr>
                <w:color w:val="auto"/>
                <w:sz w:val="24"/>
                <w:szCs w:val="24"/>
                <w:highlight w:val="none"/>
              </w:rPr>
            </w:pPr>
            <w:r>
              <w:rPr>
                <w:color w:val="auto"/>
                <w:sz w:val="24"/>
                <w:szCs w:val="24"/>
                <w:highlight w:val="none"/>
              </w:rPr>
              <w:t>评审内容</w:t>
            </w:r>
          </w:p>
        </w:tc>
        <w:tc>
          <w:tcPr>
            <w:tcW w:w="6946" w:type="dxa"/>
            <w:vAlign w:val="center"/>
          </w:tcPr>
          <w:p>
            <w:pPr>
              <w:spacing w:line="312" w:lineRule="auto"/>
              <w:jc w:val="center"/>
              <w:rPr>
                <w:color w:val="auto"/>
                <w:sz w:val="24"/>
                <w:szCs w:val="24"/>
                <w:highlight w:val="none"/>
              </w:rPr>
            </w:pPr>
            <w:r>
              <w:rPr>
                <w:rFonts w:hint="eastAsia"/>
                <w:color w:val="auto"/>
                <w:sz w:val="24"/>
                <w:szCs w:val="24"/>
                <w:highlight w:val="none"/>
              </w:rPr>
              <w:t>说明</w:t>
            </w:r>
          </w:p>
        </w:tc>
        <w:tc>
          <w:tcPr>
            <w:tcW w:w="763" w:type="dxa"/>
            <w:vAlign w:val="center"/>
          </w:tcPr>
          <w:p>
            <w:pPr>
              <w:spacing w:line="312" w:lineRule="auto"/>
              <w:jc w:val="center"/>
              <w:rPr>
                <w:color w:val="auto"/>
                <w:sz w:val="24"/>
                <w:szCs w:val="24"/>
                <w:highlight w:val="none"/>
              </w:rPr>
            </w:pPr>
            <w:r>
              <w:rPr>
                <w:color w:val="auto"/>
                <w:sz w:val="24"/>
                <w:szCs w:val="24"/>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706" w:type="dxa"/>
            <w:vMerge w:val="restart"/>
            <w:vAlign w:val="center"/>
          </w:tcPr>
          <w:p>
            <w:pPr>
              <w:spacing w:line="312" w:lineRule="auto"/>
              <w:jc w:val="center"/>
              <w:rPr>
                <w:color w:val="auto"/>
                <w:sz w:val="24"/>
                <w:szCs w:val="24"/>
                <w:highlight w:val="none"/>
              </w:rPr>
            </w:pPr>
            <w:r>
              <w:rPr>
                <w:rFonts w:hint="eastAsia"/>
                <w:color w:val="auto"/>
                <w:sz w:val="24"/>
                <w:szCs w:val="24"/>
                <w:highlight w:val="none"/>
              </w:rPr>
              <w:t>1</w:t>
            </w:r>
          </w:p>
        </w:tc>
        <w:tc>
          <w:tcPr>
            <w:tcW w:w="908" w:type="dxa"/>
            <w:vMerge w:val="restart"/>
            <w:vAlign w:val="center"/>
          </w:tcPr>
          <w:p>
            <w:pPr>
              <w:spacing w:line="312" w:lineRule="auto"/>
              <w:jc w:val="center"/>
              <w:rPr>
                <w:color w:val="auto"/>
                <w:sz w:val="24"/>
                <w:szCs w:val="24"/>
                <w:highlight w:val="none"/>
              </w:rPr>
            </w:pPr>
            <w:r>
              <w:rPr>
                <w:rFonts w:hint="eastAsia"/>
                <w:color w:val="auto"/>
                <w:sz w:val="24"/>
                <w:szCs w:val="24"/>
                <w:highlight w:val="none"/>
              </w:rPr>
              <w:t>产品参数及标准（客观分）</w:t>
            </w:r>
          </w:p>
        </w:tc>
        <w:tc>
          <w:tcPr>
            <w:tcW w:w="766" w:type="dxa"/>
            <w:vAlign w:val="center"/>
          </w:tcPr>
          <w:p>
            <w:pPr>
              <w:spacing w:line="312" w:lineRule="auto"/>
              <w:jc w:val="center"/>
              <w:rPr>
                <w:color w:val="auto"/>
                <w:sz w:val="24"/>
                <w:szCs w:val="24"/>
                <w:highlight w:val="none"/>
              </w:rPr>
            </w:pPr>
            <w:r>
              <w:rPr>
                <w:rFonts w:hint="eastAsia"/>
                <w:color w:val="auto"/>
                <w:sz w:val="24"/>
                <w:szCs w:val="24"/>
                <w:highlight w:val="none"/>
              </w:rPr>
              <w:t>产品参数</w:t>
            </w:r>
          </w:p>
        </w:tc>
        <w:tc>
          <w:tcPr>
            <w:tcW w:w="6946" w:type="dxa"/>
            <w:vAlign w:val="center"/>
          </w:tcPr>
          <w:p>
            <w:pPr>
              <w:spacing w:line="288" w:lineRule="auto"/>
              <w:jc w:val="left"/>
              <w:rPr>
                <w:rFonts w:hAnsi="宋体"/>
                <w:color w:val="auto"/>
                <w:sz w:val="24"/>
                <w:szCs w:val="24"/>
                <w:highlight w:val="none"/>
              </w:rPr>
            </w:pPr>
            <w:r>
              <w:rPr>
                <w:rFonts w:hint="eastAsia"/>
                <w:color w:val="auto"/>
                <w:sz w:val="24"/>
                <w:szCs w:val="24"/>
                <w:highlight w:val="none"/>
              </w:rPr>
              <w:t>1、根据投标人提供的产品彩页或要求的认证证书进行参数评定。投</w:t>
            </w:r>
            <w:r>
              <w:rPr>
                <w:color w:val="auto"/>
                <w:sz w:val="24"/>
                <w:szCs w:val="24"/>
                <w:highlight w:val="none"/>
              </w:rPr>
              <w:t>标人所投产品完全满足或优于招标文件中技术参数及性能要求得</w:t>
            </w:r>
            <w:r>
              <w:rPr>
                <w:rFonts w:hint="eastAsia" w:hAnsi="宋体"/>
                <w:color w:val="auto"/>
                <w:sz w:val="24"/>
                <w:szCs w:val="24"/>
                <w:highlight w:val="none"/>
              </w:rPr>
              <w:t>20分，有一项不能满足技术参数条款的，扣0.5分，扣完为止。带★号的条款必须符合，否则作废标处理。</w:t>
            </w:r>
          </w:p>
          <w:p>
            <w:pPr>
              <w:spacing w:line="288" w:lineRule="auto"/>
              <w:jc w:val="left"/>
              <w:rPr>
                <w:rFonts w:hAnsi="宋体"/>
                <w:color w:val="auto"/>
                <w:sz w:val="24"/>
                <w:szCs w:val="24"/>
                <w:highlight w:val="none"/>
              </w:rPr>
            </w:pPr>
            <w:r>
              <w:rPr>
                <w:color w:val="auto"/>
                <w:sz w:val="24"/>
                <w:szCs w:val="24"/>
                <w:highlight w:val="none"/>
              </w:rPr>
              <w:t>注：按技术参数要求提供相应产品的</w:t>
            </w:r>
            <w:r>
              <w:rPr>
                <w:rFonts w:hint="eastAsia"/>
                <w:color w:val="auto"/>
                <w:sz w:val="24"/>
                <w:szCs w:val="24"/>
                <w:highlight w:val="none"/>
              </w:rPr>
              <w:t>NSCC认证</w:t>
            </w:r>
            <w:r>
              <w:rPr>
                <w:color w:val="auto"/>
                <w:sz w:val="24"/>
                <w:szCs w:val="24"/>
                <w:highlight w:val="none"/>
              </w:rPr>
              <w:t>证书</w:t>
            </w:r>
            <w:r>
              <w:rPr>
                <w:rFonts w:hint="eastAsia"/>
                <w:color w:val="auto"/>
                <w:sz w:val="24"/>
                <w:szCs w:val="24"/>
                <w:highlight w:val="none"/>
              </w:rPr>
              <w:t>、产品彩页进行核对，不提供不得分。</w:t>
            </w:r>
          </w:p>
        </w:tc>
        <w:tc>
          <w:tcPr>
            <w:tcW w:w="763" w:type="dxa"/>
            <w:vAlign w:val="center"/>
          </w:tcPr>
          <w:p>
            <w:pPr>
              <w:spacing w:line="312" w:lineRule="auto"/>
              <w:jc w:val="center"/>
              <w:rPr>
                <w:color w:val="auto"/>
                <w:sz w:val="24"/>
                <w:szCs w:val="24"/>
                <w:highlight w:val="none"/>
              </w:rPr>
            </w:pPr>
            <w:r>
              <w:rPr>
                <w:color w:val="auto"/>
                <w:sz w:val="24"/>
                <w:szCs w:val="24"/>
                <w:highlight w:val="none"/>
              </w:rPr>
              <w:t>0</w:t>
            </w:r>
            <w:r>
              <w:rPr>
                <w:rFonts w:hint="eastAsia"/>
                <w:color w:val="auto"/>
                <w:sz w:val="24"/>
                <w:szCs w:val="24"/>
                <w:highlight w:val="none"/>
              </w:rPr>
              <w:t>-20分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6" w:hRule="atLeast"/>
          <w:jc w:val="center"/>
        </w:trPr>
        <w:tc>
          <w:tcPr>
            <w:tcW w:w="706" w:type="dxa"/>
            <w:vMerge w:val="continue"/>
            <w:vAlign w:val="center"/>
          </w:tcPr>
          <w:p>
            <w:pPr>
              <w:spacing w:line="312" w:lineRule="auto"/>
              <w:jc w:val="center"/>
              <w:rPr>
                <w:color w:val="auto"/>
                <w:sz w:val="24"/>
                <w:szCs w:val="24"/>
                <w:highlight w:val="none"/>
              </w:rPr>
            </w:pPr>
          </w:p>
        </w:tc>
        <w:tc>
          <w:tcPr>
            <w:tcW w:w="908" w:type="dxa"/>
            <w:vMerge w:val="continue"/>
            <w:vAlign w:val="center"/>
          </w:tcPr>
          <w:p>
            <w:pPr>
              <w:spacing w:line="312" w:lineRule="auto"/>
              <w:jc w:val="center"/>
              <w:rPr>
                <w:color w:val="auto"/>
                <w:sz w:val="24"/>
                <w:szCs w:val="24"/>
                <w:highlight w:val="none"/>
              </w:rPr>
            </w:pPr>
          </w:p>
        </w:tc>
        <w:tc>
          <w:tcPr>
            <w:tcW w:w="766" w:type="dxa"/>
            <w:vAlign w:val="center"/>
          </w:tcPr>
          <w:p>
            <w:pPr>
              <w:spacing w:line="312" w:lineRule="auto"/>
              <w:jc w:val="center"/>
              <w:rPr>
                <w:color w:val="auto"/>
                <w:sz w:val="24"/>
                <w:szCs w:val="24"/>
                <w:highlight w:val="none"/>
              </w:rPr>
            </w:pPr>
            <w:r>
              <w:rPr>
                <w:rFonts w:hint="eastAsia"/>
                <w:color w:val="auto"/>
                <w:sz w:val="24"/>
                <w:szCs w:val="24"/>
                <w:highlight w:val="none"/>
              </w:rPr>
              <w:t>环保性能</w:t>
            </w:r>
          </w:p>
        </w:tc>
        <w:tc>
          <w:tcPr>
            <w:tcW w:w="6946" w:type="dxa"/>
            <w:vAlign w:val="center"/>
          </w:tcPr>
          <w:p>
            <w:pPr>
              <w:spacing w:line="312" w:lineRule="auto"/>
              <w:jc w:val="left"/>
              <w:rPr>
                <w:color w:val="auto"/>
                <w:sz w:val="24"/>
                <w:szCs w:val="24"/>
                <w:highlight w:val="none"/>
              </w:rPr>
            </w:pPr>
            <w:r>
              <w:rPr>
                <w:rFonts w:hint="eastAsia"/>
                <w:color w:val="auto"/>
                <w:sz w:val="24"/>
                <w:szCs w:val="24"/>
                <w:highlight w:val="none"/>
              </w:rPr>
              <w:t>提供</w:t>
            </w:r>
            <w:r>
              <w:rPr>
                <w:rFonts w:hint="eastAsia" w:ascii="宋体" w:hAnsi="宋体" w:cs="宋体"/>
                <w:color w:val="auto"/>
                <w:sz w:val="24"/>
                <w:szCs w:val="24"/>
                <w:highlight w:val="none"/>
              </w:rPr>
              <w:t>高端跑步机、高端椭圆机、动感单车、坐式胸肌推举训练器、大腿伸展训练器、哑铃架、多重可调节练习椅、可调式双滑轮多功能训练器的提供国家体育用品质量监督检验中心检验合格的检验报告，每提供一个得1分，最高8分。</w:t>
            </w:r>
          </w:p>
        </w:tc>
        <w:tc>
          <w:tcPr>
            <w:tcW w:w="763" w:type="dxa"/>
            <w:vAlign w:val="center"/>
          </w:tcPr>
          <w:p>
            <w:pPr>
              <w:spacing w:line="312" w:lineRule="auto"/>
              <w:jc w:val="center"/>
              <w:rPr>
                <w:color w:val="auto"/>
                <w:sz w:val="24"/>
                <w:szCs w:val="24"/>
                <w:highlight w:val="none"/>
              </w:rPr>
            </w:pPr>
            <w:r>
              <w:rPr>
                <w:color w:val="auto"/>
                <w:sz w:val="24"/>
                <w:szCs w:val="24"/>
                <w:highlight w:val="none"/>
              </w:rPr>
              <w:t>0</w:t>
            </w:r>
            <w:r>
              <w:rPr>
                <w:rFonts w:hint="eastAsia"/>
                <w:color w:val="auto"/>
                <w:sz w:val="24"/>
                <w:szCs w:val="24"/>
                <w:highlight w:val="none"/>
              </w:rPr>
              <w:t>-8分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706" w:type="dxa"/>
            <w:vAlign w:val="center"/>
          </w:tcPr>
          <w:p>
            <w:pPr>
              <w:spacing w:line="312" w:lineRule="auto"/>
              <w:jc w:val="center"/>
              <w:rPr>
                <w:color w:val="auto"/>
                <w:sz w:val="24"/>
                <w:szCs w:val="24"/>
                <w:highlight w:val="none"/>
              </w:rPr>
            </w:pPr>
            <w:r>
              <w:rPr>
                <w:rFonts w:hint="eastAsia"/>
                <w:color w:val="auto"/>
                <w:sz w:val="24"/>
                <w:szCs w:val="24"/>
                <w:highlight w:val="none"/>
              </w:rPr>
              <w:t>2</w:t>
            </w:r>
          </w:p>
        </w:tc>
        <w:tc>
          <w:tcPr>
            <w:tcW w:w="1674" w:type="dxa"/>
            <w:gridSpan w:val="2"/>
            <w:vAlign w:val="center"/>
          </w:tcPr>
          <w:p>
            <w:pPr>
              <w:spacing w:line="312" w:lineRule="auto"/>
              <w:jc w:val="center"/>
              <w:rPr>
                <w:color w:val="auto"/>
                <w:sz w:val="24"/>
                <w:szCs w:val="24"/>
                <w:highlight w:val="none"/>
              </w:rPr>
            </w:pPr>
            <w:r>
              <w:rPr>
                <w:rFonts w:hint="eastAsia"/>
                <w:color w:val="auto"/>
                <w:sz w:val="24"/>
                <w:szCs w:val="24"/>
                <w:highlight w:val="none"/>
              </w:rPr>
              <w:t>类似业绩（客观分）</w:t>
            </w:r>
          </w:p>
        </w:tc>
        <w:tc>
          <w:tcPr>
            <w:tcW w:w="6946" w:type="dxa"/>
            <w:vAlign w:val="center"/>
          </w:tcPr>
          <w:p>
            <w:pPr>
              <w:spacing w:line="288" w:lineRule="auto"/>
              <w:rPr>
                <w:rFonts w:ascii="宋体" w:hAnsi="宋体"/>
                <w:color w:val="auto"/>
                <w:sz w:val="24"/>
                <w:szCs w:val="24"/>
                <w:highlight w:val="none"/>
              </w:rPr>
            </w:pPr>
            <w:r>
              <w:rPr>
                <w:rFonts w:hint="eastAsia" w:ascii="宋体" w:hAnsi="宋体" w:cs="宋体"/>
                <w:bCs/>
                <w:color w:val="auto"/>
                <w:sz w:val="24"/>
                <w:szCs w:val="24"/>
                <w:highlight w:val="none"/>
                <w:lang w:val="zh-TW"/>
              </w:rPr>
              <w:t>投标人或产品制造商</w:t>
            </w:r>
            <w:r>
              <w:rPr>
                <w:rFonts w:hint="eastAsia" w:hAnsi="宋体"/>
                <w:color w:val="auto"/>
                <w:sz w:val="24"/>
                <w:szCs w:val="24"/>
                <w:highlight w:val="none"/>
              </w:rPr>
              <w:t>提供20</w:t>
            </w:r>
            <w:r>
              <w:rPr>
                <w:rFonts w:hAnsi="宋体"/>
                <w:color w:val="auto"/>
                <w:sz w:val="24"/>
                <w:szCs w:val="24"/>
                <w:highlight w:val="none"/>
              </w:rPr>
              <w:t>20</w:t>
            </w:r>
            <w:r>
              <w:rPr>
                <w:rFonts w:hint="eastAsia" w:hAnsi="宋体"/>
                <w:color w:val="auto"/>
                <w:sz w:val="24"/>
                <w:szCs w:val="24"/>
                <w:highlight w:val="none"/>
              </w:rPr>
              <w:t>年1月1日以来类似室内产品业绩每个得1分，最高得0.5分。（</w:t>
            </w:r>
            <w:r>
              <w:rPr>
                <w:rFonts w:hint="eastAsia"/>
                <w:color w:val="auto"/>
                <w:sz w:val="24"/>
                <w:szCs w:val="24"/>
                <w:highlight w:val="none"/>
              </w:rPr>
              <w:t>注：</w:t>
            </w:r>
            <w:r>
              <w:rPr>
                <w:rFonts w:hint="eastAsia" w:hAnsi="宋体"/>
                <w:color w:val="auto"/>
                <w:sz w:val="24"/>
                <w:szCs w:val="24"/>
                <w:highlight w:val="none"/>
              </w:rPr>
              <w:t>须提供中标通知书、合同复印件，</w:t>
            </w:r>
            <w:r>
              <w:rPr>
                <w:rFonts w:ascii="新宋体" w:hAnsi="新宋体" w:eastAsia="新宋体"/>
                <w:color w:val="auto"/>
                <w:sz w:val="24"/>
                <w:szCs w:val="24"/>
                <w:highlight w:val="none"/>
              </w:rPr>
              <w:t>时间以合同签订时间为准</w:t>
            </w:r>
            <w:r>
              <w:rPr>
                <w:rFonts w:hint="eastAsia" w:ascii="新宋体" w:hAnsi="新宋体" w:eastAsia="新宋体"/>
                <w:color w:val="auto"/>
                <w:sz w:val="24"/>
                <w:szCs w:val="24"/>
                <w:highlight w:val="none"/>
              </w:rPr>
              <w:t>）</w:t>
            </w:r>
          </w:p>
        </w:tc>
        <w:tc>
          <w:tcPr>
            <w:tcW w:w="763" w:type="dxa"/>
            <w:vAlign w:val="center"/>
          </w:tcPr>
          <w:p>
            <w:pPr>
              <w:spacing w:line="312" w:lineRule="auto"/>
              <w:jc w:val="center"/>
              <w:rPr>
                <w:color w:val="auto"/>
                <w:sz w:val="24"/>
                <w:szCs w:val="24"/>
                <w:highlight w:val="none"/>
              </w:rPr>
            </w:pPr>
            <w:r>
              <w:rPr>
                <w:color w:val="auto"/>
                <w:sz w:val="24"/>
                <w:szCs w:val="24"/>
                <w:highlight w:val="none"/>
              </w:rPr>
              <w:t>0</w:t>
            </w:r>
            <w:r>
              <w:rPr>
                <w:rFonts w:hint="eastAsia"/>
                <w:color w:val="auto"/>
                <w:sz w:val="24"/>
                <w:szCs w:val="24"/>
                <w:highlight w:val="none"/>
              </w:rPr>
              <w:t>-3分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706" w:type="dxa"/>
            <w:vAlign w:val="center"/>
          </w:tcPr>
          <w:p>
            <w:pPr>
              <w:spacing w:line="312" w:lineRule="auto"/>
              <w:jc w:val="center"/>
              <w:rPr>
                <w:color w:val="auto"/>
                <w:sz w:val="24"/>
                <w:szCs w:val="24"/>
                <w:highlight w:val="none"/>
              </w:rPr>
            </w:pPr>
            <w:r>
              <w:rPr>
                <w:rFonts w:hint="eastAsia"/>
                <w:color w:val="auto"/>
                <w:sz w:val="24"/>
                <w:szCs w:val="24"/>
                <w:highlight w:val="none"/>
              </w:rPr>
              <w:t>3</w:t>
            </w:r>
          </w:p>
        </w:tc>
        <w:tc>
          <w:tcPr>
            <w:tcW w:w="1674" w:type="dxa"/>
            <w:gridSpan w:val="2"/>
            <w:vAlign w:val="center"/>
          </w:tcPr>
          <w:p>
            <w:pPr>
              <w:spacing w:line="312" w:lineRule="auto"/>
              <w:jc w:val="center"/>
              <w:rPr>
                <w:color w:val="auto"/>
                <w:sz w:val="24"/>
                <w:szCs w:val="24"/>
                <w:highlight w:val="none"/>
              </w:rPr>
            </w:pPr>
            <w:r>
              <w:rPr>
                <w:rFonts w:hint="eastAsia" w:ascii="宋体" w:hAnsi="宋体" w:cs="宋体"/>
                <w:color w:val="auto"/>
                <w:sz w:val="24"/>
                <w:szCs w:val="24"/>
                <w:highlight w:val="none"/>
              </w:rPr>
              <w:t xml:space="preserve">产品保险    </w:t>
            </w:r>
            <w:r>
              <w:rPr>
                <w:rFonts w:hint="eastAsia"/>
                <w:color w:val="auto"/>
                <w:sz w:val="24"/>
                <w:szCs w:val="24"/>
                <w:highlight w:val="none"/>
              </w:rPr>
              <w:t>（客观分）</w:t>
            </w:r>
          </w:p>
        </w:tc>
        <w:tc>
          <w:tcPr>
            <w:tcW w:w="694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健身器材具有产品责任险、产品质量险、人身意外险、公共责任险的得</w:t>
            </w:r>
            <w:r>
              <w:rPr>
                <w:rFonts w:ascii="宋体" w:hAnsi="宋体" w:cs="宋体"/>
                <w:color w:val="auto"/>
                <w:sz w:val="24"/>
                <w:szCs w:val="24"/>
                <w:highlight w:val="none"/>
              </w:rPr>
              <w:t>2</w:t>
            </w:r>
            <w:r>
              <w:rPr>
                <w:rFonts w:hint="eastAsia" w:ascii="宋体" w:hAnsi="宋体" w:cs="宋体"/>
                <w:color w:val="auto"/>
                <w:sz w:val="24"/>
                <w:szCs w:val="24"/>
                <w:highlight w:val="none"/>
              </w:rPr>
              <w:t>分，连续投保三年的加2分，最高得4分。</w:t>
            </w:r>
          </w:p>
          <w:p>
            <w:pPr>
              <w:rPr>
                <w:color w:val="auto"/>
                <w:sz w:val="24"/>
                <w:szCs w:val="24"/>
                <w:highlight w:val="none"/>
              </w:rPr>
            </w:pPr>
            <w:r>
              <w:rPr>
                <w:rFonts w:hint="eastAsia" w:ascii="宋体" w:hAnsi="宋体" w:cs="宋体"/>
                <w:color w:val="auto"/>
                <w:sz w:val="24"/>
                <w:szCs w:val="24"/>
                <w:highlight w:val="none"/>
              </w:rPr>
              <w:t>注：提供保险公司保单复印件，未提供不得分。</w:t>
            </w:r>
          </w:p>
        </w:tc>
        <w:tc>
          <w:tcPr>
            <w:tcW w:w="763" w:type="dxa"/>
            <w:vAlign w:val="center"/>
          </w:tcPr>
          <w:p>
            <w:pPr>
              <w:spacing w:line="312" w:lineRule="auto"/>
              <w:jc w:val="center"/>
              <w:rPr>
                <w:color w:val="auto"/>
                <w:sz w:val="24"/>
                <w:szCs w:val="24"/>
                <w:highlight w:val="none"/>
              </w:rPr>
            </w:pPr>
            <w:r>
              <w:rPr>
                <w:rFonts w:hint="eastAsia"/>
                <w:color w:val="auto"/>
                <w:sz w:val="24"/>
                <w:szCs w:val="24"/>
                <w:highlight w:val="none"/>
              </w:rPr>
              <w:t>0-4分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 w:type="dxa"/>
            <w:vAlign w:val="center"/>
          </w:tcPr>
          <w:p>
            <w:pPr>
              <w:spacing w:line="312" w:lineRule="auto"/>
              <w:jc w:val="center"/>
              <w:rPr>
                <w:color w:val="auto"/>
                <w:sz w:val="24"/>
                <w:szCs w:val="24"/>
                <w:highlight w:val="none"/>
              </w:rPr>
            </w:pPr>
            <w:r>
              <w:rPr>
                <w:color w:val="auto"/>
                <w:sz w:val="24"/>
                <w:szCs w:val="24"/>
                <w:highlight w:val="none"/>
              </w:rPr>
              <w:t>5</w:t>
            </w:r>
          </w:p>
        </w:tc>
        <w:tc>
          <w:tcPr>
            <w:tcW w:w="1674" w:type="dxa"/>
            <w:gridSpan w:val="2"/>
            <w:vAlign w:val="center"/>
          </w:tcPr>
          <w:p>
            <w:pPr>
              <w:pStyle w:val="114"/>
              <w:spacing w:line="300" w:lineRule="exact"/>
              <w:jc w:val="center"/>
              <w:rPr>
                <w:rFonts w:hAnsi="宋体"/>
                <w:bCs/>
                <w:color w:val="auto"/>
                <w:kern w:val="2"/>
                <w:highlight w:val="none"/>
                <w:lang w:val="zh-TW"/>
              </w:rPr>
            </w:pPr>
            <w:r>
              <w:rPr>
                <w:rFonts w:hint="eastAsia" w:hAnsi="宋体"/>
                <w:bCs/>
                <w:color w:val="auto"/>
                <w:kern w:val="2"/>
                <w:highlight w:val="none"/>
                <w:lang w:val="zh-TW"/>
              </w:rPr>
              <w:t>售后服务方案</w:t>
            </w:r>
          </w:p>
          <w:p>
            <w:pPr>
              <w:spacing w:line="312" w:lineRule="auto"/>
              <w:jc w:val="center"/>
              <w:rPr>
                <w:rFonts w:ascii="宋体" w:hAnsi="宋体" w:cs="宋体"/>
                <w:bCs/>
                <w:color w:val="auto"/>
                <w:sz w:val="24"/>
                <w:szCs w:val="24"/>
                <w:highlight w:val="none"/>
                <w:lang w:val="zh-TW"/>
              </w:rPr>
            </w:pPr>
            <w:r>
              <w:rPr>
                <w:rFonts w:hint="eastAsia" w:ascii="宋体" w:hAnsi="宋体" w:cs="宋体"/>
                <w:bCs/>
                <w:color w:val="auto"/>
                <w:sz w:val="24"/>
                <w:szCs w:val="24"/>
                <w:highlight w:val="none"/>
                <w:lang w:val="zh-TW"/>
              </w:rPr>
              <w:t>（</w:t>
            </w:r>
            <w:r>
              <w:rPr>
                <w:rFonts w:hint="eastAsia" w:ascii="宋体" w:hAnsi="宋体" w:cs="宋体"/>
                <w:bCs/>
                <w:color w:val="auto"/>
                <w:sz w:val="24"/>
                <w:szCs w:val="24"/>
                <w:highlight w:val="none"/>
              </w:rPr>
              <w:t>客观、</w:t>
            </w:r>
            <w:r>
              <w:rPr>
                <w:rFonts w:hint="eastAsia" w:ascii="宋体" w:hAnsi="宋体" w:cs="宋体"/>
                <w:bCs/>
                <w:color w:val="auto"/>
                <w:sz w:val="24"/>
                <w:szCs w:val="24"/>
                <w:highlight w:val="none"/>
                <w:lang w:val="zh-TW"/>
              </w:rPr>
              <w:t>主观分）</w:t>
            </w:r>
          </w:p>
        </w:tc>
        <w:tc>
          <w:tcPr>
            <w:tcW w:w="6946" w:type="dxa"/>
            <w:vAlign w:val="center"/>
          </w:tcPr>
          <w:p>
            <w:pPr>
              <w:spacing w:line="312"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1、质保期满足招标文件要求（壹年）的基础上，每增加一年加1分，最高2分。</w:t>
            </w:r>
          </w:p>
          <w:p>
            <w:pPr>
              <w:spacing w:line="312" w:lineRule="auto"/>
              <w:jc w:val="left"/>
              <w:rPr>
                <w:rFonts w:ascii="宋体" w:hAnsi="宋体" w:cs="宋体"/>
                <w:bCs/>
                <w:color w:val="auto"/>
                <w:sz w:val="24"/>
                <w:szCs w:val="24"/>
                <w:highlight w:val="none"/>
              </w:rPr>
            </w:pPr>
            <w:r>
              <w:rPr>
                <w:rFonts w:hint="eastAsia" w:ascii="宋体" w:hAnsi="宋体" w:cs="宋体"/>
                <w:bCs/>
                <w:color w:val="auto"/>
                <w:sz w:val="24"/>
                <w:szCs w:val="24"/>
                <w:highlight w:val="none"/>
              </w:rPr>
              <w:t>2、</w:t>
            </w:r>
            <w:r>
              <w:rPr>
                <w:rFonts w:hint="eastAsia" w:ascii="宋体" w:hAnsi="宋体" w:cs="宋体"/>
                <w:bCs/>
                <w:color w:val="auto"/>
                <w:sz w:val="24"/>
                <w:szCs w:val="24"/>
                <w:highlight w:val="none"/>
                <w:lang w:val="zh-TW"/>
              </w:rPr>
              <w:t>提供本项目的售后服务内容（包括拟提供且具备操作性的售后服务响应方案，对设备使用方的培训方案、设备的定期巡检、售后服务响应时间等）进行打分。</w:t>
            </w:r>
            <w:r>
              <w:rPr>
                <w:rFonts w:hint="eastAsia" w:ascii="宋体" w:hAnsi="宋体" w:cs="宋体"/>
                <w:bCs/>
                <w:color w:val="auto"/>
                <w:sz w:val="24"/>
                <w:szCs w:val="24"/>
                <w:highlight w:val="none"/>
              </w:rPr>
              <w:t>0-3分</w:t>
            </w:r>
          </w:p>
        </w:tc>
        <w:tc>
          <w:tcPr>
            <w:tcW w:w="763" w:type="dxa"/>
            <w:vAlign w:val="center"/>
          </w:tcPr>
          <w:p>
            <w:pPr>
              <w:spacing w:line="312" w:lineRule="auto"/>
              <w:jc w:val="center"/>
              <w:rPr>
                <w:color w:val="auto"/>
                <w:sz w:val="24"/>
                <w:szCs w:val="24"/>
                <w:highlight w:val="none"/>
              </w:rPr>
            </w:pPr>
            <w:r>
              <w:rPr>
                <w:color w:val="auto"/>
                <w:sz w:val="24"/>
                <w:szCs w:val="24"/>
                <w:highlight w:val="none"/>
              </w:rPr>
              <w:t>0</w:t>
            </w:r>
            <w:r>
              <w:rPr>
                <w:rFonts w:hint="eastAsia"/>
                <w:color w:val="auto"/>
                <w:sz w:val="24"/>
                <w:szCs w:val="24"/>
                <w:highlight w:val="none"/>
              </w:rPr>
              <w:t>-5分</w:t>
            </w:r>
          </w:p>
        </w:tc>
      </w:tr>
    </w:tbl>
    <w:p>
      <w:pPr>
        <w:adjustRightInd w:val="0"/>
        <w:snapToGrid w:val="0"/>
        <w:spacing w:line="360" w:lineRule="auto"/>
        <w:ind w:firstLine="480" w:firstLineChars="200"/>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2、商务评审（总分60分）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w:t>
      </w:r>
      <w:r>
        <w:rPr>
          <w:rFonts w:hint="eastAsia" w:ascii="宋体" w:hAnsi="宋体"/>
          <w:color w:val="auto"/>
          <w:sz w:val="24"/>
          <w:szCs w:val="24"/>
          <w:highlight w:val="none"/>
        </w:rPr>
        <w:t>60</w:t>
      </w:r>
      <w:r>
        <w:rPr>
          <w:rFonts w:ascii="宋体" w:hAnsi="宋体"/>
          <w:color w:val="auto"/>
          <w:sz w:val="24"/>
          <w:szCs w:val="24"/>
          <w:highlight w:val="none"/>
        </w:rPr>
        <w:t>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rPr>
        <w:t>60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二、评标报告</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p>
    <w:p>
      <w:pPr>
        <w:adjustRightInd w:val="0"/>
        <w:snapToGrid w:val="0"/>
        <w:spacing w:line="360" w:lineRule="auto"/>
        <w:ind w:firstLine="435"/>
        <w:rPr>
          <w:rFonts w:ascii="宋体" w:hAnsi="宋体"/>
          <w:color w:val="auto"/>
          <w:sz w:val="24"/>
          <w:szCs w:val="24"/>
          <w:highlight w:val="none"/>
        </w:rPr>
      </w:pPr>
    </w:p>
    <w:p>
      <w:pPr>
        <w:adjustRightInd w:val="0"/>
        <w:snapToGrid w:val="0"/>
        <w:spacing w:line="360" w:lineRule="auto"/>
        <w:ind w:firstLine="435"/>
        <w:rPr>
          <w:rFonts w:ascii="宋体" w:hAnsi="宋体"/>
          <w:color w:val="auto"/>
          <w:sz w:val="24"/>
          <w:szCs w:val="24"/>
          <w:highlight w:val="none"/>
        </w:rPr>
      </w:pPr>
    </w:p>
    <w:p>
      <w:pPr>
        <w:adjustRightInd w:val="0"/>
        <w:snapToGrid w:val="0"/>
        <w:spacing w:line="360" w:lineRule="auto"/>
        <w:ind w:firstLine="435"/>
        <w:rPr>
          <w:rFonts w:ascii="宋体" w:hAnsi="宋体"/>
          <w:color w:val="auto"/>
          <w:sz w:val="24"/>
          <w:szCs w:val="24"/>
          <w:highlight w:val="none"/>
        </w:rPr>
      </w:pPr>
    </w:p>
    <w:p>
      <w:pPr>
        <w:adjustRightInd w:val="0"/>
        <w:snapToGrid w:val="0"/>
        <w:spacing w:line="360" w:lineRule="auto"/>
        <w:ind w:firstLine="435"/>
        <w:rPr>
          <w:rFonts w:ascii="宋体" w:hAnsi="宋体"/>
          <w:color w:val="auto"/>
          <w:sz w:val="24"/>
          <w:szCs w:val="24"/>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1082" w:firstLineChars="245"/>
        <w:jc w:val="left"/>
        <w:rPr>
          <w:rFonts w:ascii="宋体" w:hAnsi="宋体"/>
          <w:b/>
          <w:color w:val="auto"/>
          <w:kern w:val="0"/>
          <w:sz w:val="44"/>
          <w:szCs w:val="44"/>
          <w:highlight w:val="none"/>
        </w:rPr>
      </w:pP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2"/>
          <w:szCs w:val="32"/>
          <w:highlight w:val="none"/>
        </w:rPr>
        <w:t>年月日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649" w:firstLineChars="147"/>
        <w:jc w:val="left"/>
        <w:rPr>
          <w:rFonts w:ascii="宋体" w:hAnsi="宋体"/>
          <w:b/>
          <w:color w:val="auto"/>
          <w:kern w:val="0"/>
          <w:sz w:val="44"/>
          <w:szCs w:val="44"/>
          <w:highlight w:val="none"/>
        </w:rPr>
      </w:pP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2"/>
          <w:szCs w:val="32"/>
          <w:highlight w:val="none"/>
        </w:rPr>
        <w:t>年月日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致：</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1）所附投标报价表中规定的应提供和支付的设备和服务投标总价为（人民币）</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，即</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投标日期： _______年____月____日</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附件四</w:t>
      </w:r>
      <w:r>
        <w:rPr>
          <w:rFonts w:hint="eastAsia" w:ascii="宋体" w:hAnsi="宋体" w:cs="宋体"/>
          <w:b/>
          <w:bCs/>
          <w:color w:val="auto"/>
          <w:kern w:val="0"/>
          <w:sz w:val="28"/>
          <w:szCs w:val="28"/>
          <w:highlight w:val="none"/>
        </w:rPr>
        <w:t>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项目名称：</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致：（采购人名称）</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注册于（注册地址）的</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系中华人民共和国合法企业；本人（授权人姓名）系该公司的法定代表人。现特授权本单位的（被授权人姓名）（身份证号码）为我公司合法代理人，全权代表我公司办理就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授权人签名：职务：</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被授权人签名：</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招标编号：投标人名称：单位：元</w:t>
      </w:r>
    </w:p>
    <w:tbl>
      <w:tblPr>
        <w:tblStyle w:val="17"/>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健身器材</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w:t>
            </w:r>
          </w:p>
          <w:p>
            <w:pPr>
              <w:snapToGrid w:val="0"/>
              <w:spacing w:before="50" w:after="50"/>
              <w:rPr>
                <w:rFonts w:ascii="宋体" w:hAnsi="宋体"/>
                <w:color w:val="auto"/>
                <w:sz w:val="24"/>
                <w:szCs w:val="24"/>
                <w:highlight w:val="none"/>
                <w:u w:val="single"/>
              </w:rPr>
            </w:pP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投标人名称（盖章）：日期：年月日</w:t>
      </w: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sz w:val="24"/>
          <w:szCs w:val="24"/>
          <w:highlight w:val="none"/>
        </w:rPr>
      </w:pPr>
      <w:r>
        <w:rPr>
          <w:rFonts w:hint="eastAsia" w:hAnsi="宋体"/>
          <w:b/>
          <w:color w:val="auto"/>
          <w:sz w:val="24"/>
          <w:szCs w:val="24"/>
          <w:highlight w:val="none"/>
        </w:rPr>
        <w:t>附件六</w:t>
      </w:r>
      <w:r>
        <w:rPr>
          <w:rFonts w:hAnsi="宋体"/>
          <w:b/>
          <w:color w:val="auto"/>
          <w:sz w:val="24"/>
          <w:szCs w:val="24"/>
          <w:highlight w:val="none"/>
        </w:rPr>
        <w:t>投标报价明细表格式：</w:t>
      </w:r>
    </w:p>
    <w:p>
      <w:pPr>
        <w:pStyle w:val="7"/>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7"/>
        <w:snapToGrid w:val="0"/>
        <w:spacing w:before="295" w:after="295"/>
        <w:rPr>
          <w:rFonts w:hAnsi="宋体"/>
          <w:color w:val="auto"/>
          <w:sz w:val="24"/>
          <w:szCs w:val="24"/>
          <w:highlight w:val="none"/>
        </w:rPr>
      </w:pPr>
      <w:r>
        <w:rPr>
          <w:rFonts w:hAnsi="宋体"/>
          <w:color w:val="auto"/>
          <w:sz w:val="24"/>
          <w:szCs w:val="24"/>
          <w:highlight w:val="none"/>
        </w:rPr>
        <w:t>标项：金额单位：人民币（元）</w:t>
      </w:r>
    </w:p>
    <w:tbl>
      <w:tblPr>
        <w:tblStyle w:val="17"/>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6"/>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 xml:space="preserve"> 响应品牌</w:t>
            </w:r>
            <w:r>
              <w:rPr>
                <w:rFonts w:hint="eastAsia" w:ascii="宋体" w:hAnsi="宋体"/>
                <w:color w:val="auto"/>
                <w:szCs w:val="21"/>
                <w:highlight w:val="none"/>
                <w:lang w:eastAsia="zh-CN"/>
              </w:rPr>
              <w:t>（</w:t>
            </w:r>
            <w:r>
              <w:rPr>
                <w:rFonts w:hint="eastAsia" w:ascii="宋体" w:hAnsi="宋体"/>
                <w:color w:val="auto"/>
                <w:szCs w:val="21"/>
                <w:highlight w:val="none"/>
              </w:rPr>
              <w:t>乔山、舒华、英派斯或同等档次品牌</w:t>
            </w:r>
            <w:r>
              <w:rPr>
                <w:rFonts w:hint="eastAsia" w:ascii="宋体" w:hAnsi="宋体"/>
                <w:color w:val="auto"/>
                <w:szCs w:val="21"/>
                <w:highlight w:val="none"/>
                <w:lang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高端跑步机</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5台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2</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高端椭圆机</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3</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动感单车</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2台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4</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坐式胸肌推举训练器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5</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大腿伸展训练器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6</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可调式双滑轮多功能训练器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7</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哑铃架</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8</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r>
              <w:rPr>
                <w:rFonts w:hint="eastAsia" w:ascii="宋体" w:hAnsi="宋体" w:cs="宋体"/>
                <w:color w:val="auto"/>
                <w:sz w:val="24"/>
                <w:szCs w:val="24"/>
                <w:highlight w:val="none"/>
              </w:rPr>
              <w:t>多重可调节练习椅</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9</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哑铃组合</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1台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spacing w:val="20"/>
                <w:szCs w:val="21"/>
                <w:highlight w:val="none"/>
                <w:lang w:val="en-US" w:eastAsia="zh-CN"/>
              </w:rPr>
            </w:pPr>
            <w:r>
              <w:rPr>
                <w:rFonts w:hint="default" w:ascii="Times New Roman" w:hAnsi="Times New Roman" w:cs="Times New Roman"/>
                <w:color w:val="auto"/>
                <w:spacing w:val="20"/>
                <w:szCs w:val="21"/>
                <w:highlight w:val="none"/>
                <w:lang w:val="en-US" w:eastAsia="zh-CN"/>
              </w:rPr>
              <w:t>10</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商用地胶</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spacing w:val="20"/>
                <w:kern w:val="2"/>
                <w:sz w:val="21"/>
                <w:szCs w:val="21"/>
                <w:highlight w:val="none"/>
                <w:lang w:val="en-US" w:eastAsia="zh-CN" w:bidi="ar-SA"/>
              </w:rPr>
            </w:pPr>
            <w:r>
              <w:rPr>
                <w:rFonts w:hint="eastAsia" w:ascii="宋体" w:hAnsi="宋体" w:cs="宋体"/>
                <w:color w:val="auto"/>
                <w:sz w:val="24"/>
                <w:szCs w:val="24"/>
                <w:highlight w:val="none"/>
              </w:rPr>
              <w:t>75平方</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s="宋体"/>
                <w:color w:val="auto"/>
                <w:sz w:val="24"/>
                <w:szCs w:val="24"/>
                <w:highlight w:val="none"/>
              </w:rPr>
              <w:t>投标总价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投标人盖章：日期：</w:t>
      </w:r>
    </w:p>
    <w:p>
      <w:pPr>
        <w:pStyle w:val="7"/>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投标人：（盖章）</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p>
    <w:tbl>
      <w:tblPr>
        <w:tblStyle w:val="1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投标人：（盖章）</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SdAAAAADAQAADwAAAAAAAAABACAAAAAiAAAAZHJzL2Rvd25yZXYueG1sUEsBAhQAFAAA&#10;AAgAh07iQLbNGyy+AQAAlgMAAA4AAAAAAAAAAQAgAAAAHw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7F67A"/>
    <w:multiLevelType w:val="singleLevel"/>
    <w:tmpl w:val="2137F67A"/>
    <w:lvl w:ilvl="0" w:tentative="0">
      <w:start w:val="1"/>
      <w:numFmt w:val="decimal"/>
      <w:lvlText w:val="%1."/>
      <w:lvlJc w:val="left"/>
      <w:pPr>
        <w:tabs>
          <w:tab w:val="left" w:pos="312"/>
        </w:tabs>
      </w:pPr>
    </w:lvl>
  </w:abstractNum>
  <w:abstractNum w:abstractNumId="1">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2320B13"/>
    <w:multiLevelType w:val="singleLevel"/>
    <w:tmpl w:val="62320B13"/>
    <w:lvl w:ilvl="0" w:tentative="0">
      <w:start w:val="1"/>
      <w:numFmt w:val="decimal"/>
      <w:suff w:val="nothing"/>
      <w:lvlText w:val="%1、"/>
      <w:lvlJc w:val="left"/>
    </w:lvl>
  </w:abstractNum>
  <w:abstractNum w:abstractNumId="3">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C72D8"/>
    <w:rsid w:val="000D1BCC"/>
    <w:rsid w:val="000D35AF"/>
    <w:rsid w:val="000D4989"/>
    <w:rsid w:val="000D6013"/>
    <w:rsid w:val="000D6E5D"/>
    <w:rsid w:val="000D71C1"/>
    <w:rsid w:val="000E349E"/>
    <w:rsid w:val="000E35D7"/>
    <w:rsid w:val="000E378F"/>
    <w:rsid w:val="000E3DDD"/>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1A17"/>
    <w:rsid w:val="0016269C"/>
    <w:rsid w:val="001627FD"/>
    <w:rsid w:val="00163FB1"/>
    <w:rsid w:val="001666E7"/>
    <w:rsid w:val="00166916"/>
    <w:rsid w:val="0016758D"/>
    <w:rsid w:val="001704FB"/>
    <w:rsid w:val="00170BFA"/>
    <w:rsid w:val="001733B2"/>
    <w:rsid w:val="00176C0F"/>
    <w:rsid w:val="00180B4E"/>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1008"/>
    <w:rsid w:val="002848A8"/>
    <w:rsid w:val="00284B87"/>
    <w:rsid w:val="00285220"/>
    <w:rsid w:val="00287C7F"/>
    <w:rsid w:val="002924F6"/>
    <w:rsid w:val="00294FBF"/>
    <w:rsid w:val="002964EF"/>
    <w:rsid w:val="002A187D"/>
    <w:rsid w:val="002A1BD1"/>
    <w:rsid w:val="002A3D24"/>
    <w:rsid w:val="002A5A0B"/>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587"/>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52CE4"/>
    <w:rsid w:val="0066063B"/>
    <w:rsid w:val="00663E6F"/>
    <w:rsid w:val="00665B3D"/>
    <w:rsid w:val="0066755F"/>
    <w:rsid w:val="0067762C"/>
    <w:rsid w:val="00681EEE"/>
    <w:rsid w:val="00683F9D"/>
    <w:rsid w:val="006848DC"/>
    <w:rsid w:val="00686B7A"/>
    <w:rsid w:val="006879E3"/>
    <w:rsid w:val="0069060B"/>
    <w:rsid w:val="00693818"/>
    <w:rsid w:val="00694C23"/>
    <w:rsid w:val="0069602E"/>
    <w:rsid w:val="006A138C"/>
    <w:rsid w:val="006A16F4"/>
    <w:rsid w:val="006A57B3"/>
    <w:rsid w:val="006A6433"/>
    <w:rsid w:val="006B0940"/>
    <w:rsid w:val="006B171F"/>
    <w:rsid w:val="006B2773"/>
    <w:rsid w:val="006B5475"/>
    <w:rsid w:val="006B5F12"/>
    <w:rsid w:val="006B611D"/>
    <w:rsid w:val="006B685E"/>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45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7F6378"/>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43"/>
    <w:rsid w:val="008B2CF4"/>
    <w:rsid w:val="008B479E"/>
    <w:rsid w:val="008B685A"/>
    <w:rsid w:val="008C19E1"/>
    <w:rsid w:val="008C6E2B"/>
    <w:rsid w:val="008D3C36"/>
    <w:rsid w:val="008D51F8"/>
    <w:rsid w:val="008D5C0F"/>
    <w:rsid w:val="008E01F2"/>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6E7C"/>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B5472"/>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5950"/>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066A"/>
    <w:rsid w:val="00EF2504"/>
    <w:rsid w:val="00EF2580"/>
    <w:rsid w:val="00EF2B55"/>
    <w:rsid w:val="00EF3CAA"/>
    <w:rsid w:val="00EF4526"/>
    <w:rsid w:val="00EF4ECD"/>
    <w:rsid w:val="00EF6035"/>
    <w:rsid w:val="00F05EB2"/>
    <w:rsid w:val="00F05FBE"/>
    <w:rsid w:val="00F07DF7"/>
    <w:rsid w:val="00F13056"/>
    <w:rsid w:val="00F16EF0"/>
    <w:rsid w:val="00F23891"/>
    <w:rsid w:val="00F262CB"/>
    <w:rsid w:val="00F316A3"/>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4E19"/>
    <w:rsid w:val="00FD5551"/>
    <w:rsid w:val="00FD57C2"/>
    <w:rsid w:val="00FD6E22"/>
    <w:rsid w:val="00FE0B50"/>
    <w:rsid w:val="00FE21AF"/>
    <w:rsid w:val="00FE3830"/>
    <w:rsid w:val="00FE5C80"/>
    <w:rsid w:val="00FE7F29"/>
    <w:rsid w:val="00FF10DC"/>
    <w:rsid w:val="00FF456C"/>
    <w:rsid w:val="00FF4C69"/>
    <w:rsid w:val="108038D4"/>
    <w:rsid w:val="12557E2A"/>
    <w:rsid w:val="12CE2568"/>
    <w:rsid w:val="16E63AEC"/>
    <w:rsid w:val="1B131FB4"/>
    <w:rsid w:val="1B78781E"/>
    <w:rsid w:val="1E0E0F85"/>
    <w:rsid w:val="20A60BE0"/>
    <w:rsid w:val="26ED5B19"/>
    <w:rsid w:val="26F92F99"/>
    <w:rsid w:val="281217C0"/>
    <w:rsid w:val="2CC23A49"/>
    <w:rsid w:val="2CCA36F7"/>
    <w:rsid w:val="307D3460"/>
    <w:rsid w:val="37060D21"/>
    <w:rsid w:val="486572D0"/>
    <w:rsid w:val="4A5A1983"/>
    <w:rsid w:val="55CF6B0A"/>
    <w:rsid w:val="580E7ECA"/>
    <w:rsid w:val="59CD60A0"/>
    <w:rsid w:val="5A2C7B5B"/>
    <w:rsid w:val="5F6A6D8C"/>
    <w:rsid w:val="66641ED2"/>
    <w:rsid w:val="75751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1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18"/>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annotation text"/>
    <w:basedOn w:val="1"/>
    <w:link w:val="115"/>
    <w:semiHidden/>
    <w:unhideWhenUsed/>
    <w:qFormat/>
    <w:uiPriority w:val="99"/>
    <w:pPr>
      <w:jc w:val="left"/>
    </w:pPr>
  </w:style>
  <w:style w:type="paragraph" w:styleId="6">
    <w:name w:val="Body Text"/>
    <w:basedOn w:val="1"/>
    <w:link w:val="107"/>
    <w:semiHidden/>
    <w:unhideWhenUsed/>
    <w:qFormat/>
    <w:uiPriority w:val="99"/>
    <w:pPr>
      <w:spacing w:after="120"/>
    </w:pPr>
  </w:style>
  <w:style w:type="paragraph" w:styleId="7">
    <w:name w:val="Plain Text"/>
    <w:basedOn w:val="1"/>
    <w:link w:val="28"/>
    <w:unhideWhenUsed/>
    <w:qFormat/>
    <w:uiPriority w:val="0"/>
    <w:rPr>
      <w:rFonts w:ascii="宋体" w:hAnsi="Courier New" w:cs="Courier New"/>
      <w:szCs w:val="21"/>
    </w:rPr>
  </w:style>
  <w:style w:type="paragraph" w:styleId="8">
    <w:name w:val="Date"/>
    <w:basedOn w:val="1"/>
    <w:next w:val="1"/>
    <w:link w:val="33"/>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30"/>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9"/>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11"/>
    <w:qFormat/>
    <w:uiPriority w:val="0"/>
    <w:pPr>
      <w:spacing w:after="120" w:line="480" w:lineRule="auto"/>
    </w:pPr>
    <w:rPr>
      <w:szCs w:val="24"/>
    </w:rPr>
  </w:style>
  <w:style w:type="paragraph" w:styleId="14">
    <w:name w:val="HTML Preformatted"/>
    <w:basedOn w:val="1"/>
    <w:link w:val="27"/>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6">
    <w:name w:val="annotation subject"/>
    <w:basedOn w:val="5"/>
    <w:next w:val="5"/>
    <w:link w:val="116"/>
    <w:semiHidden/>
    <w:unhideWhenUsed/>
    <w:qFormat/>
    <w:uiPriority w:val="99"/>
    <w:rPr>
      <w:b/>
      <w:bC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u w:val="single"/>
    </w:rPr>
  </w:style>
  <w:style w:type="character" w:styleId="23">
    <w:name w:val="Hyperlink"/>
    <w:basedOn w:val="19"/>
    <w:unhideWhenUsed/>
    <w:qFormat/>
    <w:uiPriority w:val="99"/>
    <w:rPr>
      <w:color w:val="0000FF"/>
      <w:u w:val="single"/>
    </w:rPr>
  </w:style>
  <w:style w:type="character" w:styleId="24">
    <w:name w:val="annotation reference"/>
    <w:basedOn w:val="19"/>
    <w:semiHidden/>
    <w:unhideWhenUsed/>
    <w:qFormat/>
    <w:uiPriority w:val="99"/>
    <w:rPr>
      <w:sz w:val="21"/>
      <w:szCs w:val="21"/>
    </w:rPr>
  </w:style>
  <w:style w:type="character" w:customStyle="1" w:styleId="25">
    <w:name w:val="页眉 字符"/>
    <w:basedOn w:val="19"/>
    <w:link w:val="12"/>
    <w:qFormat/>
    <w:uiPriority w:val="99"/>
    <w:rPr>
      <w:sz w:val="18"/>
      <w:szCs w:val="18"/>
    </w:rPr>
  </w:style>
  <w:style w:type="character" w:customStyle="1" w:styleId="26">
    <w:name w:val="页脚 字符"/>
    <w:basedOn w:val="19"/>
    <w:link w:val="11"/>
    <w:qFormat/>
    <w:uiPriority w:val="99"/>
    <w:rPr>
      <w:sz w:val="18"/>
      <w:szCs w:val="18"/>
    </w:rPr>
  </w:style>
  <w:style w:type="character" w:customStyle="1" w:styleId="27">
    <w:name w:val="HTML 预设格式 字符"/>
    <w:link w:val="14"/>
    <w:qFormat/>
    <w:uiPriority w:val="99"/>
    <w:rPr>
      <w:rFonts w:ascii="Courier New" w:hAnsi="Courier New" w:cs="Courier New"/>
    </w:rPr>
  </w:style>
  <w:style w:type="character" w:customStyle="1" w:styleId="28">
    <w:name w:val="纯文本 字符"/>
    <w:basedOn w:val="19"/>
    <w:link w:val="7"/>
    <w:qFormat/>
    <w:uiPriority w:val="6"/>
    <w:rPr>
      <w:rFonts w:ascii="宋体" w:hAnsi="Courier New" w:eastAsia="宋体" w:cs="Courier New"/>
      <w:szCs w:val="21"/>
    </w:rPr>
  </w:style>
  <w:style w:type="character" w:customStyle="1" w:styleId="29">
    <w:name w:val="HTML 预设格式 Char1"/>
    <w:basedOn w:val="19"/>
    <w:semiHidden/>
    <w:qFormat/>
    <w:uiPriority w:val="99"/>
    <w:rPr>
      <w:rFonts w:ascii="Courier New" w:hAnsi="Courier New" w:eastAsia="宋体" w:cs="Courier New"/>
      <w:sz w:val="20"/>
      <w:szCs w:val="20"/>
    </w:rPr>
  </w:style>
  <w:style w:type="character" w:customStyle="1" w:styleId="30">
    <w:name w:val="正文文本缩进 2 字符"/>
    <w:basedOn w:val="19"/>
    <w:link w:val="9"/>
    <w:semiHidden/>
    <w:qFormat/>
    <w:uiPriority w:val="0"/>
    <w:rPr>
      <w:rFonts w:ascii="仿宋_GB2312" w:hAnsi="Times New Roman" w:eastAsia="仿宋_GB2312" w:cs="Times New Roman"/>
      <w:kern w:val="0"/>
      <w:sz w:val="28"/>
      <w:szCs w:val="20"/>
    </w:rPr>
  </w:style>
  <w:style w:type="paragraph" w:styleId="31">
    <w:name w:val="List Paragraph"/>
    <w:basedOn w:val="1"/>
    <w:qFormat/>
    <w:uiPriority w:val="34"/>
    <w:pPr>
      <w:ind w:firstLine="420" w:firstLineChars="200"/>
    </w:pPr>
  </w:style>
  <w:style w:type="character" w:customStyle="1" w:styleId="32">
    <w:name w:val="tpc_content1"/>
    <w:basedOn w:val="19"/>
    <w:qFormat/>
    <w:uiPriority w:val="0"/>
    <w:rPr>
      <w:sz w:val="20"/>
      <w:szCs w:val="20"/>
    </w:rPr>
  </w:style>
  <w:style w:type="character" w:customStyle="1" w:styleId="33">
    <w:name w:val="日期 字符"/>
    <w:basedOn w:val="19"/>
    <w:link w:val="8"/>
    <w:semiHidden/>
    <w:qFormat/>
    <w:uiPriority w:val="0"/>
    <w:rPr>
      <w:rFonts w:ascii="仿宋_GB2312" w:hAnsi="Times New Roman" w:eastAsia="仿宋_GB2312" w:cs="Times New Roman"/>
      <w:kern w:val="0"/>
      <w:sz w:val="28"/>
      <w:szCs w:val="20"/>
    </w:rPr>
  </w:style>
  <w:style w:type="paragraph" w:customStyle="1" w:styleId="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7">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8">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font10"/>
    <w:basedOn w:val="1"/>
    <w:qFormat/>
    <w:uiPriority w:val="0"/>
    <w:pPr>
      <w:widowControl/>
      <w:spacing w:before="100" w:beforeAutospacing="1" w:after="100" w:afterAutospacing="1"/>
      <w:jc w:val="left"/>
    </w:pPr>
    <w:rPr>
      <w:kern w:val="0"/>
      <w:sz w:val="24"/>
      <w:szCs w:val="24"/>
    </w:rPr>
  </w:style>
  <w:style w:type="paragraph" w:customStyle="1" w:styleId="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3">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8">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61">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8">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4">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1">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6">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7">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8">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4">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6">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7">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10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3">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4">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5">
    <w:name w:val="纯文本 Char1"/>
    <w:qFormat/>
    <w:uiPriority w:val="0"/>
    <w:rPr>
      <w:rFonts w:ascii="宋体" w:hAnsi="Courier New" w:eastAsia="宋体"/>
      <w:kern w:val="2"/>
      <w:sz w:val="24"/>
      <w:szCs w:val="24"/>
      <w:lang w:val="en-US" w:eastAsia="zh-CN" w:bidi="ar-SA"/>
    </w:rPr>
  </w:style>
  <w:style w:type="paragraph" w:customStyle="1" w:styleId="106">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7">
    <w:name w:val="正文文本 字符"/>
    <w:basedOn w:val="19"/>
    <w:link w:val="6"/>
    <w:semiHidden/>
    <w:qFormat/>
    <w:uiPriority w:val="99"/>
    <w:rPr>
      <w:rFonts w:ascii="Times New Roman" w:hAnsi="Times New Roman" w:eastAsia="宋体" w:cs="Times New Roman"/>
      <w:szCs w:val="20"/>
    </w:rPr>
  </w:style>
  <w:style w:type="paragraph" w:customStyle="1" w:styleId="108">
    <w:name w:val="默认段落字体 Para Char Char Char Char Char Char Char Char Char1 Char Char Char Char"/>
    <w:basedOn w:val="1"/>
    <w:qFormat/>
    <w:uiPriority w:val="0"/>
    <w:rPr>
      <w:rFonts w:ascii="Tahoma" w:hAnsi="Tahoma"/>
      <w:sz w:val="24"/>
    </w:rPr>
  </w:style>
  <w:style w:type="character" w:customStyle="1" w:styleId="109">
    <w:name w:val="批注框文本 字符"/>
    <w:basedOn w:val="19"/>
    <w:link w:val="10"/>
    <w:semiHidden/>
    <w:qFormat/>
    <w:uiPriority w:val="99"/>
    <w:rPr>
      <w:rFonts w:ascii="Times New Roman" w:hAnsi="Times New Roman" w:eastAsia="宋体" w:cs="Times New Roman"/>
      <w:sz w:val="18"/>
      <w:szCs w:val="18"/>
    </w:rPr>
  </w:style>
  <w:style w:type="character" w:customStyle="1" w:styleId="110">
    <w:name w:val="标题 2 字符"/>
    <w:basedOn w:val="19"/>
    <w:link w:val="2"/>
    <w:qFormat/>
    <w:uiPriority w:val="0"/>
    <w:rPr>
      <w:rFonts w:ascii="Arial" w:hAnsi="Arial" w:eastAsia="黑体" w:cs="Times New Roman"/>
      <w:b/>
      <w:bCs/>
      <w:sz w:val="32"/>
      <w:szCs w:val="32"/>
    </w:rPr>
  </w:style>
  <w:style w:type="character" w:customStyle="1" w:styleId="111">
    <w:name w:val="正文文本 2 字符"/>
    <w:basedOn w:val="19"/>
    <w:link w:val="13"/>
    <w:qFormat/>
    <w:uiPriority w:val="0"/>
    <w:rPr>
      <w:rFonts w:ascii="Times New Roman" w:hAnsi="Times New Roman" w:eastAsia="宋体" w:cs="Times New Roman"/>
      <w:szCs w:val="24"/>
    </w:rPr>
  </w:style>
  <w:style w:type="character" w:customStyle="1" w:styleId="112">
    <w:name w:val="纯文本 Char2"/>
    <w:qFormat/>
    <w:uiPriority w:val="99"/>
    <w:rPr>
      <w:rFonts w:ascii="宋体" w:hAnsi="Courier New" w:eastAsia="宋体"/>
      <w:kern w:val="2"/>
      <w:sz w:val="21"/>
      <w:lang w:val="en-US" w:eastAsia="zh-CN" w:bidi="ar-SA"/>
    </w:rPr>
  </w:style>
  <w:style w:type="character" w:customStyle="1" w:styleId="113">
    <w:name w:val="NormalCharacter"/>
    <w:qFormat/>
    <w:uiPriority w:val="0"/>
  </w:style>
  <w:style w:type="paragraph" w:customStyle="1" w:styleId="1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5">
    <w:name w:val="批注文字 字符"/>
    <w:basedOn w:val="19"/>
    <w:link w:val="5"/>
    <w:semiHidden/>
    <w:qFormat/>
    <w:uiPriority w:val="99"/>
    <w:rPr>
      <w:rFonts w:ascii="Times New Roman" w:hAnsi="Times New Roman" w:eastAsia="宋体" w:cs="Times New Roman"/>
      <w:kern w:val="2"/>
      <w:sz w:val="21"/>
    </w:rPr>
  </w:style>
  <w:style w:type="character" w:customStyle="1" w:styleId="116">
    <w:name w:val="批注主题 字符"/>
    <w:basedOn w:val="115"/>
    <w:link w:val="16"/>
    <w:semiHidden/>
    <w:qFormat/>
    <w:uiPriority w:val="99"/>
    <w:rPr>
      <w:rFonts w:ascii="Times New Roman" w:hAnsi="Times New Roman" w:eastAsia="宋体" w:cs="Times New Roman"/>
      <w:b/>
      <w:bCs/>
      <w:kern w:val="2"/>
      <w:sz w:val="21"/>
    </w:rPr>
  </w:style>
  <w:style w:type="paragraph" w:customStyle="1" w:styleId="117">
    <w:name w:val="Revision"/>
    <w:hidden/>
    <w:semiHidden/>
    <w:qFormat/>
    <w:uiPriority w:val="99"/>
    <w:rPr>
      <w:rFonts w:ascii="Times New Roman" w:hAnsi="Times New Roman" w:eastAsia="宋体" w:cs="Times New Roman"/>
      <w:kern w:val="2"/>
      <w:sz w:val="21"/>
      <w:lang w:val="en-US" w:eastAsia="zh-CN" w:bidi="ar-SA"/>
    </w:rPr>
  </w:style>
  <w:style w:type="character" w:customStyle="1" w:styleId="118">
    <w:name w:val="标题 3 字符"/>
    <w:basedOn w:val="19"/>
    <w:link w:val="3"/>
    <w:semiHidden/>
    <w:qFormat/>
    <w:uiPriority w:val="9"/>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1914</Words>
  <Characters>10916</Characters>
  <Lines>90</Lines>
  <Paragraphs>25</Paragraphs>
  <TotalTime>7</TotalTime>
  <ScaleCrop>false</ScaleCrop>
  <LinksUpToDate>false</LinksUpToDate>
  <CharactersWithSpaces>12805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2022-01-25T12:40:00Z</dcterms:created>
  <dc:creator>lenovo</dc:creator>
  <cp:lastModifiedBy>惠比寿</cp:lastModifiedBy>
  <cp:lastPrinted>2015-07-08T07:44:00Z</cp:lastPrinted>
  <dcterms:modified xsi:type="dcterms:W3CDTF">2022-01-30T07:08:44Z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EF117C4181684F0B864E0EE91723E563</vt:lpwstr>
  </property>
</Properties>
</file>