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7"/>
        <w:spacing w:line="400" w:lineRule="exact"/>
        <w:rPr>
          <w:rFonts w:hAnsi="宋体" w:cs="宋体"/>
          <w:color w:val="auto"/>
          <w:kern w:val="0"/>
          <w:sz w:val="24"/>
          <w:szCs w:val="24"/>
          <w:highlight w:val="none"/>
        </w:rPr>
      </w:pP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7"/>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外墙清洗</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p>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7"/>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7"/>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7"/>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26"/>
        <w:gridCol w:w="1984"/>
        <w:gridCol w:w="2268"/>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7" w:type="dxa"/>
            <w:gridSpan w:val="2"/>
            <w:noWrap w:val="0"/>
            <w:vAlign w:val="center"/>
          </w:tcPr>
          <w:p>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建筑名称</w:t>
            </w:r>
          </w:p>
        </w:tc>
        <w:tc>
          <w:tcPr>
            <w:tcW w:w="1984" w:type="dxa"/>
            <w:noWrap w:val="0"/>
            <w:vAlign w:val="center"/>
          </w:tcPr>
          <w:p>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预估面积（㎡）</w:t>
            </w:r>
          </w:p>
        </w:tc>
        <w:tc>
          <w:tcPr>
            <w:tcW w:w="2268" w:type="dxa"/>
            <w:noWrap w:val="0"/>
            <w:vAlign w:val="center"/>
          </w:tcPr>
          <w:p>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清洗单价（元/㎡）</w:t>
            </w:r>
          </w:p>
        </w:tc>
        <w:tc>
          <w:tcPr>
            <w:tcW w:w="1276" w:type="dxa"/>
            <w:noWrap w:val="0"/>
            <w:vAlign w:val="top"/>
          </w:tcPr>
          <w:p>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清洗频次</w:t>
            </w:r>
          </w:p>
        </w:tc>
        <w:tc>
          <w:tcPr>
            <w:tcW w:w="1701" w:type="dxa"/>
            <w:noWrap w:val="0"/>
            <w:vAlign w:val="center"/>
          </w:tcPr>
          <w:p>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7" w:type="dxa"/>
            <w:gridSpan w:val="2"/>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医疗大楼</w:t>
            </w:r>
          </w:p>
        </w:tc>
        <w:tc>
          <w:tcPr>
            <w:tcW w:w="198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30904㎡</w:t>
            </w:r>
          </w:p>
        </w:tc>
        <w:tc>
          <w:tcPr>
            <w:tcW w:w="2268" w:type="dxa"/>
            <w:noWrap w:val="0"/>
            <w:vAlign w:val="top"/>
          </w:tcPr>
          <w:p>
            <w:pPr>
              <w:spacing w:line="360" w:lineRule="auto"/>
              <w:jc w:val="center"/>
              <w:rPr>
                <w:rFonts w:hint="default" w:ascii="Times New Roman" w:hAnsi="Times New Roman" w:cs="Times New Roman"/>
                <w:color w:val="auto"/>
                <w:sz w:val="24"/>
                <w:szCs w:val="24"/>
                <w:highlight w:val="none"/>
              </w:rPr>
            </w:pPr>
          </w:p>
        </w:tc>
        <w:tc>
          <w:tcPr>
            <w:tcW w:w="1276"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p>
        </w:tc>
        <w:tc>
          <w:tcPr>
            <w:tcW w:w="1701" w:type="dxa"/>
            <w:noWrap w:val="0"/>
            <w:vAlign w:val="center"/>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7" w:type="dxa"/>
            <w:gridSpan w:val="2"/>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后勤综合大楼</w:t>
            </w:r>
          </w:p>
        </w:tc>
        <w:tc>
          <w:tcPr>
            <w:tcW w:w="19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1700㎡</w:t>
            </w:r>
          </w:p>
        </w:tc>
        <w:tc>
          <w:tcPr>
            <w:tcW w:w="2268" w:type="dxa"/>
            <w:noWrap w:val="0"/>
            <w:vAlign w:val="top"/>
          </w:tcPr>
          <w:p>
            <w:pPr>
              <w:spacing w:line="360" w:lineRule="auto"/>
              <w:jc w:val="center"/>
              <w:rPr>
                <w:rFonts w:hint="default" w:ascii="Times New Roman" w:hAnsi="Times New Roman" w:cs="Times New Roman"/>
                <w:color w:val="auto"/>
                <w:sz w:val="24"/>
                <w:szCs w:val="24"/>
                <w:highlight w:val="none"/>
              </w:rPr>
            </w:pPr>
          </w:p>
        </w:tc>
        <w:tc>
          <w:tcPr>
            <w:tcW w:w="1276"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p>
        </w:tc>
        <w:tc>
          <w:tcPr>
            <w:tcW w:w="1701" w:type="dxa"/>
            <w:noWrap w:val="0"/>
            <w:vAlign w:val="center"/>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7" w:type="dxa"/>
            <w:gridSpan w:val="2"/>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5#楼感染楼</w:t>
            </w:r>
          </w:p>
        </w:tc>
        <w:tc>
          <w:tcPr>
            <w:tcW w:w="19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3571㎡</w:t>
            </w:r>
          </w:p>
        </w:tc>
        <w:tc>
          <w:tcPr>
            <w:tcW w:w="2268" w:type="dxa"/>
            <w:noWrap w:val="0"/>
            <w:vAlign w:val="top"/>
          </w:tcPr>
          <w:p>
            <w:pPr>
              <w:spacing w:line="360" w:lineRule="auto"/>
              <w:jc w:val="center"/>
              <w:rPr>
                <w:rFonts w:hint="default" w:ascii="Times New Roman" w:hAnsi="Times New Roman" w:cs="Times New Roman"/>
                <w:color w:val="auto"/>
                <w:sz w:val="24"/>
                <w:szCs w:val="24"/>
                <w:highlight w:val="none"/>
              </w:rPr>
            </w:pPr>
          </w:p>
        </w:tc>
        <w:tc>
          <w:tcPr>
            <w:tcW w:w="1276"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p>
        </w:tc>
        <w:tc>
          <w:tcPr>
            <w:tcW w:w="1701" w:type="dxa"/>
            <w:noWrap w:val="0"/>
            <w:vAlign w:val="center"/>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7" w:type="dxa"/>
            <w:gridSpan w:val="2"/>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6#楼呼吸医学中心</w:t>
            </w:r>
          </w:p>
        </w:tc>
        <w:tc>
          <w:tcPr>
            <w:tcW w:w="19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2770㎡</w:t>
            </w:r>
          </w:p>
        </w:tc>
        <w:tc>
          <w:tcPr>
            <w:tcW w:w="2268" w:type="dxa"/>
            <w:noWrap w:val="0"/>
            <w:vAlign w:val="top"/>
          </w:tcPr>
          <w:p>
            <w:pPr>
              <w:spacing w:line="360" w:lineRule="auto"/>
              <w:jc w:val="center"/>
              <w:rPr>
                <w:rFonts w:hint="default" w:ascii="Times New Roman" w:hAnsi="Times New Roman" w:cs="Times New Roman"/>
                <w:color w:val="auto"/>
                <w:sz w:val="24"/>
                <w:szCs w:val="24"/>
                <w:highlight w:val="none"/>
              </w:rPr>
            </w:pPr>
          </w:p>
        </w:tc>
        <w:tc>
          <w:tcPr>
            <w:tcW w:w="1276"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p>
        </w:tc>
        <w:tc>
          <w:tcPr>
            <w:tcW w:w="1701" w:type="dxa"/>
            <w:noWrap w:val="0"/>
            <w:vAlign w:val="center"/>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7" w:type="dxa"/>
            <w:gridSpan w:val="2"/>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7#国际保健楼</w:t>
            </w:r>
          </w:p>
        </w:tc>
        <w:tc>
          <w:tcPr>
            <w:tcW w:w="19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2734㎡</w:t>
            </w:r>
          </w:p>
        </w:tc>
        <w:tc>
          <w:tcPr>
            <w:tcW w:w="2268" w:type="dxa"/>
            <w:noWrap w:val="0"/>
            <w:vAlign w:val="top"/>
          </w:tcPr>
          <w:p>
            <w:pPr>
              <w:spacing w:line="360" w:lineRule="auto"/>
              <w:jc w:val="center"/>
              <w:rPr>
                <w:rFonts w:hint="default" w:ascii="Times New Roman" w:hAnsi="Times New Roman" w:cs="Times New Roman"/>
                <w:color w:val="auto"/>
                <w:sz w:val="24"/>
                <w:szCs w:val="24"/>
                <w:highlight w:val="none"/>
              </w:rPr>
            </w:pPr>
          </w:p>
        </w:tc>
        <w:tc>
          <w:tcPr>
            <w:tcW w:w="1276"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p>
        </w:tc>
        <w:tc>
          <w:tcPr>
            <w:tcW w:w="1701" w:type="dxa"/>
            <w:noWrap w:val="0"/>
            <w:vAlign w:val="center"/>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7" w:type="dxa"/>
            <w:gridSpan w:val="2"/>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医疗大楼内院</w:t>
            </w:r>
          </w:p>
        </w:tc>
        <w:tc>
          <w:tcPr>
            <w:tcW w:w="19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4495㎡</w:t>
            </w:r>
          </w:p>
        </w:tc>
        <w:tc>
          <w:tcPr>
            <w:tcW w:w="2268" w:type="dxa"/>
            <w:noWrap w:val="0"/>
            <w:vAlign w:val="top"/>
          </w:tcPr>
          <w:p>
            <w:pPr>
              <w:spacing w:line="360" w:lineRule="auto"/>
              <w:jc w:val="center"/>
              <w:rPr>
                <w:rFonts w:hint="default" w:ascii="Times New Roman" w:hAnsi="Times New Roman" w:cs="Times New Roman"/>
                <w:color w:val="auto"/>
                <w:sz w:val="24"/>
                <w:szCs w:val="24"/>
                <w:highlight w:val="none"/>
              </w:rPr>
            </w:pPr>
          </w:p>
        </w:tc>
        <w:tc>
          <w:tcPr>
            <w:tcW w:w="1276"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p>
        </w:tc>
        <w:tc>
          <w:tcPr>
            <w:tcW w:w="1701" w:type="dxa"/>
            <w:noWrap w:val="0"/>
            <w:vAlign w:val="top"/>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7" w:type="dxa"/>
            <w:gridSpan w:val="2"/>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内院玻璃幕墙（含超市）</w:t>
            </w:r>
          </w:p>
        </w:tc>
        <w:tc>
          <w:tcPr>
            <w:tcW w:w="19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4145㎡</w:t>
            </w:r>
          </w:p>
        </w:tc>
        <w:tc>
          <w:tcPr>
            <w:tcW w:w="2268" w:type="dxa"/>
            <w:noWrap w:val="0"/>
            <w:vAlign w:val="top"/>
          </w:tcPr>
          <w:p>
            <w:pPr>
              <w:spacing w:line="360" w:lineRule="auto"/>
              <w:jc w:val="center"/>
              <w:rPr>
                <w:rFonts w:hint="default" w:ascii="Times New Roman" w:hAnsi="Times New Roman" w:cs="Times New Roman"/>
                <w:color w:val="auto"/>
                <w:sz w:val="24"/>
                <w:szCs w:val="24"/>
                <w:highlight w:val="none"/>
              </w:rPr>
            </w:pPr>
          </w:p>
        </w:tc>
        <w:tc>
          <w:tcPr>
            <w:tcW w:w="1276"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p>
        </w:tc>
        <w:tc>
          <w:tcPr>
            <w:tcW w:w="1701" w:type="dxa"/>
            <w:noWrap w:val="0"/>
            <w:vAlign w:val="top"/>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7" w:type="dxa"/>
            <w:gridSpan w:val="2"/>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门诊大厅四层框</w:t>
            </w:r>
          </w:p>
        </w:tc>
        <w:tc>
          <w:tcPr>
            <w:tcW w:w="19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21.6㎡</w:t>
            </w:r>
          </w:p>
        </w:tc>
        <w:tc>
          <w:tcPr>
            <w:tcW w:w="2268" w:type="dxa"/>
            <w:noWrap w:val="0"/>
            <w:vAlign w:val="top"/>
          </w:tcPr>
          <w:p>
            <w:pPr>
              <w:spacing w:line="360" w:lineRule="auto"/>
              <w:jc w:val="center"/>
              <w:rPr>
                <w:rFonts w:hint="default" w:ascii="Times New Roman" w:hAnsi="Times New Roman" w:cs="Times New Roman"/>
                <w:color w:val="auto"/>
                <w:sz w:val="24"/>
                <w:szCs w:val="24"/>
                <w:highlight w:val="none"/>
              </w:rPr>
            </w:pPr>
          </w:p>
        </w:tc>
        <w:tc>
          <w:tcPr>
            <w:tcW w:w="1276"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p>
        </w:tc>
        <w:tc>
          <w:tcPr>
            <w:tcW w:w="1701" w:type="dxa"/>
            <w:noWrap w:val="0"/>
            <w:vAlign w:val="top"/>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7" w:type="dxa"/>
            <w:gridSpan w:val="2"/>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医疗大楼西入口雨棚（双面清洗）</w:t>
            </w:r>
          </w:p>
        </w:tc>
        <w:tc>
          <w:tcPr>
            <w:tcW w:w="19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70㎡</w:t>
            </w:r>
          </w:p>
        </w:tc>
        <w:tc>
          <w:tcPr>
            <w:tcW w:w="2268" w:type="dxa"/>
            <w:noWrap w:val="0"/>
            <w:vAlign w:val="top"/>
          </w:tcPr>
          <w:p>
            <w:pPr>
              <w:spacing w:line="360" w:lineRule="auto"/>
              <w:jc w:val="center"/>
              <w:rPr>
                <w:rFonts w:hint="default" w:ascii="Times New Roman" w:hAnsi="Times New Roman" w:cs="Times New Roman"/>
                <w:color w:val="auto"/>
                <w:sz w:val="24"/>
                <w:szCs w:val="24"/>
                <w:highlight w:val="none"/>
              </w:rPr>
            </w:pPr>
          </w:p>
        </w:tc>
        <w:tc>
          <w:tcPr>
            <w:tcW w:w="1276"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p>
        </w:tc>
        <w:tc>
          <w:tcPr>
            <w:tcW w:w="1701" w:type="dxa"/>
            <w:noWrap w:val="0"/>
            <w:vAlign w:val="top"/>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7" w:type="dxa"/>
            <w:gridSpan w:val="2"/>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医疗大楼南入口雨棚</w:t>
            </w:r>
          </w:p>
        </w:tc>
        <w:tc>
          <w:tcPr>
            <w:tcW w:w="19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900㎡</w:t>
            </w:r>
          </w:p>
        </w:tc>
        <w:tc>
          <w:tcPr>
            <w:tcW w:w="2268" w:type="dxa"/>
            <w:noWrap w:val="0"/>
            <w:vAlign w:val="top"/>
          </w:tcPr>
          <w:p>
            <w:pPr>
              <w:spacing w:line="360" w:lineRule="auto"/>
              <w:jc w:val="center"/>
              <w:rPr>
                <w:rFonts w:hint="default" w:ascii="Times New Roman" w:hAnsi="Times New Roman" w:cs="Times New Roman"/>
                <w:color w:val="auto"/>
                <w:sz w:val="24"/>
                <w:szCs w:val="24"/>
                <w:highlight w:val="none"/>
              </w:rPr>
            </w:pPr>
          </w:p>
        </w:tc>
        <w:tc>
          <w:tcPr>
            <w:tcW w:w="1276"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p>
        </w:tc>
        <w:tc>
          <w:tcPr>
            <w:tcW w:w="1701" w:type="dxa"/>
            <w:noWrap w:val="0"/>
            <w:vAlign w:val="top"/>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7" w:type="dxa"/>
            <w:gridSpan w:val="2"/>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医疗大楼东入口雨棚</w:t>
            </w:r>
          </w:p>
        </w:tc>
        <w:tc>
          <w:tcPr>
            <w:tcW w:w="19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220㎡</w:t>
            </w:r>
          </w:p>
        </w:tc>
        <w:tc>
          <w:tcPr>
            <w:tcW w:w="2268" w:type="dxa"/>
            <w:noWrap w:val="0"/>
            <w:vAlign w:val="top"/>
          </w:tcPr>
          <w:p>
            <w:pPr>
              <w:spacing w:line="360" w:lineRule="auto"/>
              <w:jc w:val="center"/>
              <w:rPr>
                <w:rFonts w:hint="default" w:ascii="Times New Roman" w:hAnsi="Times New Roman" w:cs="Times New Roman"/>
                <w:color w:val="auto"/>
                <w:sz w:val="24"/>
                <w:szCs w:val="24"/>
                <w:highlight w:val="none"/>
              </w:rPr>
            </w:pPr>
          </w:p>
        </w:tc>
        <w:tc>
          <w:tcPr>
            <w:tcW w:w="1276"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p>
        </w:tc>
        <w:tc>
          <w:tcPr>
            <w:tcW w:w="1701" w:type="dxa"/>
            <w:noWrap w:val="0"/>
            <w:vAlign w:val="top"/>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7" w:type="dxa"/>
            <w:gridSpan w:val="2"/>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食堂连廊玻璃</w:t>
            </w:r>
          </w:p>
        </w:tc>
        <w:tc>
          <w:tcPr>
            <w:tcW w:w="19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1285㎡</w:t>
            </w:r>
          </w:p>
        </w:tc>
        <w:tc>
          <w:tcPr>
            <w:tcW w:w="2268" w:type="dxa"/>
            <w:noWrap w:val="0"/>
            <w:vAlign w:val="top"/>
          </w:tcPr>
          <w:p>
            <w:pPr>
              <w:spacing w:line="360" w:lineRule="auto"/>
              <w:jc w:val="center"/>
              <w:rPr>
                <w:rFonts w:hint="default" w:ascii="Times New Roman" w:hAnsi="Times New Roman" w:cs="Times New Roman"/>
                <w:color w:val="auto"/>
                <w:sz w:val="24"/>
                <w:szCs w:val="24"/>
                <w:highlight w:val="none"/>
              </w:rPr>
            </w:pPr>
          </w:p>
        </w:tc>
        <w:tc>
          <w:tcPr>
            <w:tcW w:w="1276"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p>
        </w:tc>
        <w:tc>
          <w:tcPr>
            <w:tcW w:w="1701" w:type="dxa"/>
            <w:noWrap w:val="0"/>
            <w:vAlign w:val="top"/>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701" w:type="dxa"/>
            <w:noWrap w:val="0"/>
            <w:vAlign w:val="top"/>
          </w:tcPr>
          <w:p>
            <w:pPr>
              <w:spacing w:line="360" w:lineRule="auto"/>
              <w:jc w:val="left"/>
              <w:rPr>
                <w:rFonts w:hint="default" w:ascii="Times New Roman" w:hAnsi="Times New Roman" w:cs="Times New Roman"/>
                <w:color w:val="auto"/>
                <w:sz w:val="24"/>
                <w:szCs w:val="24"/>
                <w:highlight w:val="none"/>
              </w:rPr>
            </w:pPr>
          </w:p>
        </w:tc>
        <w:tc>
          <w:tcPr>
            <w:tcW w:w="7655" w:type="dxa"/>
            <w:gridSpan w:val="5"/>
            <w:noWrap w:val="0"/>
            <w:vAlign w:val="center"/>
          </w:tcPr>
          <w:p>
            <w:pPr>
              <w:spacing w:line="36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合计： 大写                          小写</w:t>
            </w:r>
          </w:p>
        </w:tc>
      </w:tr>
    </w:tbl>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7"/>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highlight w:val="none"/>
        </w:rPr>
      </w:pPr>
      <w:r>
        <w:rPr>
          <w:rFonts w:hint="eastAsia" w:ascii="宋体" w:hAnsi="宋体"/>
          <w:color w:val="auto"/>
          <w:sz w:val="24"/>
          <w:szCs w:val="24"/>
          <w:highlight w:val="none"/>
        </w:rPr>
        <w:t>2、以上单价必须是最终报价，与投标总价相对应，不允许在总价基础上再报优惠价。</w:t>
      </w: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b/>
          <w:bCs/>
          <w:color w:val="auto"/>
          <w:sz w:val="24"/>
          <w:szCs w:val="24"/>
          <w:highlight w:val="none"/>
        </w:rPr>
        <w:t>附件七</w:t>
      </w:r>
      <w:r>
        <w:rPr>
          <w:rFonts w:hint="eastAsia" w:ascii="宋体" w:hAnsi="宋体"/>
          <w:color w:val="auto"/>
          <w:sz w:val="24"/>
          <w:szCs w:val="24"/>
          <w:highlight w:val="none"/>
        </w:rPr>
        <w:t xml:space="preserve">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b/>
          <w:bCs/>
          <w:color w:val="auto"/>
          <w:sz w:val="24"/>
          <w:szCs w:val="24"/>
          <w:highlight w:val="none"/>
        </w:rPr>
      </w:pPr>
      <w:r>
        <w:rPr>
          <w:rFonts w:ascii="宋体" w:hAnsi="宋体"/>
          <w:color w:val="auto"/>
          <w:sz w:val="24"/>
          <w:highlight w:val="none"/>
        </w:rPr>
        <w:br w:type="page"/>
      </w:r>
      <w:r>
        <w:rPr>
          <w:rFonts w:hint="eastAsia" w:ascii="宋体" w:hAnsi="宋体"/>
          <w:b/>
          <w:bCs/>
          <w:color w:val="auto"/>
          <w:sz w:val="24"/>
          <w:highlight w:val="none"/>
        </w:rPr>
        <w:t>附件八</w:t>
      </w:r>
      <w:r>
        <w:rPr>
          <w:rFonts w:hint="eastAsia" w:ascii="宋体" w:hAnsi="宋体"/>
          <w:color w:val="auto"/>
          <w:sz w:val="24"/>
          <w:highlight w:val="none"/>
        </w:rPr>
        <w:t xml:space="preserve"> </w:t>
      </w:r>
      <w:r>
        <w:rPr>
          <w:rFonts w:hint="eastAsia" w:ascii="宋体" w:hAnsi="宋体"/>
          <w:b/>
          <w:bCs/>
          <w:color w:val="auto"/>
          <w:sz w:val="24"/>
          <w:szCs w:val="24"/>
          <w:highlight w:val="none"/>
        </w:rPr>
        <w:t>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bookmarkStart w:id="2" w:name="_GoBack"/>
      <w:bookmarkEnd w:id="2"/>
    </w:p>
    <w:p>
      <w:pPr>
        <w:rPr>
          <w:rFonts w:ascii="宋体" w:hAnsi="宋体"/>
          <w:color w:val="auto"/>
          <w:sz w:val="24"/>
          <w:highlight w:val="none"/>
        </w:rPr>
      </w:pPr>
    </w:p>
    <w:p>
      <w:pPr>
        <w:pStyle w:val="2"/>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附件九   合同主要条款</w:t>
      </w:r>
    </w:p>
    <w:p>
      <w:pPr>
        <w:widowControl/>
        <w:spacing w:line="360" w:lineRule="auto"/>
        <w:ind w:firstLine="482" w:firstLineChars="200"/>
        <w:jc w:val="center"/>
        <w:rPr>
          <w:b/>
          <w:color w:val="auto"/>
          <w:kern w:val="0"/>
          <w:sz w:val="24"/>
          <w:highlight w:val="none"/>
        </w:rPr>
      </w:pPr>
      <w:r>
        <w:rPr>
          <w:b/>
          <w:color w:val="auto"/>
          <w:kern w:val="0"/>
          <w:sz w:val="24"/>
          <w:highlight w:val="none"/>
        </w:rPr>
        <w:t>义乌市政府采购合同（样本）</w:t>
      </w:r>
    </w:p>
    <w:p>
      <w:pPr>
        <w:spacing w:line="360" w:lineRule="auto"/>
        <w:rPr>
          <w:rFonts w:ascii="宋体" w:hAnsi="宋体"/>
          <w:color w:val="auto"/>
          <w:sz w:val="24"/>
          <w:highlight w:val="none"/>
        </w:rPr>
      </w:pPr>
      <w:r>
        <w:rPr>
          <w:rFonts w:hint="eastAsia" w:ascii="宋体" w:hAnsi="宋体"/>
          <w:color w:val="auto"/>
          <w:sz w:val="24"/>
          <w:highlight w:val="none"/>
        </w:rPr>
        <w:t>甲方（需方）：浙江大学医学院附属第四医院</w:t>
      </w:r>
    </w:p>
    <w:p>
      <w:pPr>
        <w:spacing w:line="360" w:lineRule="auto"/>
        <w:rPr>
          <w:rFonts w:hint="eastAsia" w:ascii="宋体" w:hAnsi="宋体"/>
          <w:color w:val="auto"/>
          <w:sz w:val="24"/>
          <w:highlight w:val="none"/>
        </w:rPr>
      </w:pPr>
      <w:r>
        <w:rPr>
          <w:rFonts w:hint="eastAsia" w:ascii="宋体" w:hAnsi="宋体"/>
          <w:color w:val="auto"/>
          <w:sz w:val="24"/>
          <w:highlight w:val="none"/>
        </w:rPr>
        <w:t>乙方（供方）：</w:t>
      </w:r>
    </w:p>
    <w:p>
      <w:pPr>
        <w:spacing w:line="360" w:lineRule="auto"/>
        <w:ind w:firstLine="480" w:firstLineChars="200"/>
        <w:rPr>
          <w:color w:val="auto"/>
          <w:kern w:val="0"/>
          <w:sz w:val="24"/>
          <w:highlight w:val="none"/>
        </w:rPr>
      </w:pPr>
      <w:r>
        <w:rPr>
          <w:rFonts w:hAnsi="宋体"/>
          <w:color w:val="auto"/>
          <w:kern w:val="0"/>
          <w:sz w:val="24"/>
          <w:highlight w:val="none"/>
        </w:rPr>
        <w:t>甲、乙双方根据</w:t>
      </w:r>
      <w:r>
        <w:rPr>
          <w:color w:val="auto"/>
          <w:kern w:val="0"/>
          <w:sz w:val="24"/>
          <w:highlight w:val="none"/>
          <w:u w:val="single"/>
        </w:rPr>
        <w:t>20</w:t>
      </w:r>
      <w:r>
        <w:rPr>
          <w:rFonts w:hint="eastAsia"/>
          <w:color w:val="auto"/>
          <w:kern w:val="0"/>
          <w:sz w:val="24"/>
          <w:highlight w:val="none"/>
          <w:u w:val="single"/>
        </w:rPr>
        <w:t>2</w:t>
      </w:r>
      <w:r>
        <w:rPr>
          <w:rFonts w:hint="eastAsia"/>
          <w:color w:val="auto"/>
          <w:kern w:val="0"/>
          <w:sz w:val="24"/>
          <w:highlight w:val="none"/>
          <w:u w:val="single"/>
          <w:lang w:val="en-US" w:eastAsia="zh-CN"/>
        </w:rPr>
        <w:t>2</w:t>
      </w:r>
      <w:r>
        <w:rPr>
          <w:rFonts w:hAnsi="宋体"/>
          <w:color w:val="auto"/>
          <w:kern w:val="0"/>
          <w:sz w:val="24"/>
          <w:highlight w:val="none"/>
        </w:rPr>
        <w:t>年</w:t>
      </w:r>
      <w:r>
        <w:rPr>
          <w:rFonts w:hint="eastAsia" w:hAnsi="宋体"/>
          <w:color w:val="auto"/>
          <w:kern w:val="0"/>
          <w:sz w:val="24"/>
          <w:highlight w:val="none"/>
          <w:u w:val="single"/>
        </w:rPr>
        <w:t xml:space="preserve">   </w:t>
      </w:r>
      <w:r>
        <w:rPr>
          <w:rFonts w:hAnsi="宋体"/>
          <w:color w:val="auto"/>
          <w:kern w:val="0"/>
          <w:sz w:val="24"/>
          <w:highlight w:val="none"/>
        </w:rPr>
        <w:t>月</w:t>
      </w:r>
      <w:r>
        <w:rPr>
          <w:rFonts w:hint="eastAsia" w:hAnsi="宋体"/>
          <w:color w:val="auto"/>
          <w:kern w:val="0"/>
          <w:sz w:val="24"/>
          <w:highlight w:val="none"/>
          <w:u w:val="single"/>
        </w:rPr>
        <w:t xml:space="preserve">   </w:t>
      </w:r>
      <w:r>
        <w:rPr>
          <w:rFonts w:hAnsi="宋体"/>
          <w:color w:val="auto"/>
          <w:kern w:val="0"/>
          <w:sz w:val="24"/>
          <w:highlight w:val="none"/>
        </w:rPr>
        <w:t>日采购</w:t>
      </w:r>
      <w:r>
        <w:rPr>
          <w:rFonts w:hint="eastAsia" w:hAnsi="宋体"/>
          <w:color w:val="auto"/>
          <w:kern w:val="0"/>
          <w:sz w:val="24"/>
          <w:highlight w:val="none"/>
          <w:u w:val="single"/>
        </w:rPr>
        <w:t xml:space="preserve">          </w:t>
      </w:r>
      <w:r>
        <w:rPr>
          <w:rFonts w:hAnsi="宋体"/>
          <w:color w:val="auto"/>
          <w:kern w:val="0"/>
          <w:sz w:val="24"/>
          <w:highlight w:val="none"/>
        </w:rPr>
        <w:t>项目</w:t>
      </w:r>
      <w:r>
        <w:rPr>
          <w:rFonts w:hint="eastAsia" w:hAnsi="宋体"/>
          <w:color w:val="auto"/>
          <w:kern w:val="0"/>
          <w:sz w:val="24"/>
          <w:highlight w:val="none"/>
        </w:rPr>
        <w:t>中标</w:t>
      </w:r>
      <w:r>
        <w:rPr>
          <w:rFonts w:hAnsi="宋体"/>
          <w:color w:val="auto"/>
          <w:kern w:val="0"/>
          <w:sz w:val="24"/>
          <w:highlight w:val="none"/>
        </w:rPr>
        <w:t>结果和招、投标文件的要求，依据《中华人民共和国</w:t>
      </w:r>
      <w:r>
        <w:rPr>
          <w:rFonts w:hint="eastAsia" w:hAnsi="宋体"/>
          <w:color w:val="auto"/>
          <w:kern w:val="0"/>
          <w:sz w:val="24"/>
          <w:highlight w:val="none"/>
        </w:rPr>
        <w:t>民法典</w:t>
      </w:r>
      <w:r>
        <w:rPr>
          <w:rFonts w:hAnsi="宋体"/>
          <w:color w:val="auto"/>
          <w:kern w:val="0"/>
          <w:sz w:val="24"/>
          <w:highlight w:val="none"/>
        </w:rPr>
        <w:t>》并经双方协调一致，订立本采购合同。</w:t>
      </w:r>
    </w:p>
    <w:p>
      <w:pPr>
        <w:widowControl/>
        <w:spacing w:line="360" w:lineRule="auto"/>
        <w:ind w:firstLine="480"/>
        <w:rPr>
          <w:color w:val="auto"/>
          <w:kern w:val="0"/>
          <w:sz w:val="24"/>
          <w:highlight w:val="none"/>
        </w:rPr>
      </w:pPr>
      <w:r>
        <w:rPr>
          <w:rFonts w:hAnsi="宋体"/>
          <w:color w:val="auto"/>
          <w:kern w:val="0"/>
          <w:sz w:val="24"/>
          <w:highlight w:val="none"/>
        </w:rPr>
        <w:t>合同文件组成：本合同、合同补充文件、中标通知书、招标补充文件及招标文件、询标承诺、询疑答复、投标文件及其补充文件、双方来函。合同文件组成的所有内容是构成合同不可分割的部分，与合同具有同等法律效力。</w:t>
      </w:r>
    </w:p>
    <w:p>
      <w:pPr>
        <w:pStyle w:val="6"/>
        <w:spacing w:after="0" w:line="360" w:lineRule="auto"/>
        <w:rPr>
          <w:color w:val="auto"/>
          <w:sz w:val="24"/>
          <w:highlight w:val="none"/>
        </w:rPr>
      </w:pPr>
      <w:r>
        <w:rPr>
          <w:rFonts w:hAnsi="宋体"/>
          <w:b/>
          <w:color w:val="auto"/>
          <w:sz w:val="24"/>
          <w:highlight w:val="none"/>
        </w:rPr>
        <w:t>第一条</w:t>
      </w:r>
      <w:r>
        <w:rPr>
          <w:rFonts w:hint="eastAsia" w:hAnsi="宋体"/>
          <w:b/>
          <w:color w:val="auto"/>
          <w:sz w:val="24"/>
          <w:highlight w:val="none"/>
        </w:rPr>
        <w:t xml:space="preserve">  </w:t>
      </w:r>
      <w:r>
        <w:rPr>
          <w:rFonts w:hAnsi="宋体"/>
          <w:b/>
          <w:color w:val="auto"/>
          <w:sz w:val="24"/>
          <w:highlight w:val="none"/>
        </w:rPr>
        <w:t>工程的名称、施工总价和交付期限：</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701"/>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0" w:type="dxa"/>
            <w:noWrap w:val="0"/>
            <w:vAlign w:val="center"/>
          </w:tcPr>
          <w:p>
            <w:pPr>
              <w:spacing w:line="360" w:lineRule="auto"/>
              <w:jc w:val="center"/>
              <w:rPr>
                <w:color w:val="auto"/>
                <w:sz w:val="24"/>
                <w:highlight w:val="none"/>
              </w:rPr>
            </w:pPr>
            <w:r>
              <w:rPr>
                <w:rFonts w:hAnsi="宋体"/>
                <w:color w:val="auto"/>
                <w:sz w:val="24"/>
                <w:highlight w:val="none"/>
              </w:rPr>
              <w:t>建筑名称</w:t>
            </w:r>
          </w:p>
        </w:tc>
        <w:tc>
          <w:tcPr>
            <w:tcW w:w="1701" w:type="dxa"/>
            <w:noWrap w:val="0"/>
            <w:vAlign w:val="center"/>
          </w:tcPr>
          <w:p>
            <w:pPr>
              <w:spacing w:line="360" w:lineRule="auto"/>
              <w:jc w:val="center"/>
              <w:rPr>
                <w:color w:val="auto"/>
                <w:sz w:val="24"/>
                <w:highlight w:val="none"/>
              </w:rPr>
            </w:pPr>
            <w:r>
              <w:rPr>
                <w:rFonts w:hAnsi="宋体"/>
                <w:color w:val="auto"/>
                <w:sz w:val="24"/>
                <w:highlight w:val="none"/>
              </w:rPr>
              <w:t>结算单价</w:t>
            </w:r>
          </w:p>
        </w:tc>
        <w:tc>
          <w:tcPr>
            <w:tcW w:w="1701" w:type="dxa"/>
            <w:noWrap w:val="0"/>
            <w:vAlign w:val="center"/>
          </w:tcPr>
          <w:p>
            <w:pPr>
              <w:spacing w:line="360" w:lineRule="auto"/>
              <w:jc w:val="center"/>
              <w:rPr>
                <w:color w:val="auto"/>
                <w:sz w:val="24"/>
                <w:highlight w:val="none"/>
              </w:rPr>
            </w:pPr>
            <w:r>
              <w:rPr>
                <w:rFonts w:hAnsi="宋体"/>
                <w:color w:val="auto"/>
                <w:sz w:val="24"/>
                <w:highlight w:val="none"/>
              </w:rPr>
              <w:t>招标预估面积</w:t>
            </w:r>
          </w:p>
        </w:tc>
        <w:tc>
          <w:tcPr>
            <w:tcW w:w="1417" w:type="dxa"/>
            <w:noWrap w:val="0"/>
            <w:vAlign w:val="center"/>
          </w:tcPr>
          <w:p>
            <w:pPr>
              <w:spacing w:line="360" w:lineRule="auto"/>
              <w:jc w:val="center"/>
              <w:rPr>
                <w:color w:val="auto"/>
                <w:sz w:val="24"/>
                <w:highlight w:val="none"/>
              </w:rPr>
            </w:pPr>
            <w:r>
              <w:rPr>
                <w:rFonts w:hAnsi="宋体"/>
                <w:color w:val="auto"/>
                <w:sz w:val="24"/>
                <w:highlight w:val="none"/>
              </w:rPr>
              <w:t>总价</w:t>
            </w:r>
          </w:p>
        </w:tc>
        <w:tc>
          <w:tcPr>
            <w:tcW w:w="1418" w:type="dxa"/>
            <w:noWrap w:val="0"/>
            <w:vAlign w:val="center"/>
          </w:tcPr>
          <w:p>
            <w:pPr>
              <w:spacing w:line="360" w:lineRule="auto"/>
              <w:jc w:val="center"/>
              <w:rPr>
                <w:color w:val="auto"/>
                <w:sz w:val="24"/>
                <w:highlight w:val="none"/>
              </w:rPr>
            </w:pPr>
            <w:r>
              <w:rPr>
                <w:rFonts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0" w:type="dxa"/>
            <w:noWrap w:val="0"/>
            <w:vAlign w:val="top"/>
          </w:tcPr>
          <w:p>
            <w:pPr>
              <w:spacing w:line="360" w:lineRule="auto"/>
              <w:rPr>
                <w:color w:val="auto"/>
                <w:sz w:val="24"/>
                <w:highlight w:val="none"/>
              </w:rPr>
            </w:pPr>
          </w:p>
        </w:tc>
        <w:tc>
          <w:tcPr>
            <w:tcW w:w="1701" w:type="dxa"/>
            <w:noWrap w:val="0"/>
            <w:vAlign w:val="top"/>
          </w:tcPr>
          <w:p>
            <w:pPr>
              <w:spacing w:line="360" w:lineRule="auto"/>
              <w:jc w:val="center"/>
              <w:rPr>
                <w:color w:val="auto"/>
                <w:sz w:val="24"/>
                <w:highlight w:val="none"/>
              </w:rPr>
            </w:pPr>
          </w:p>
        </w:tc>
        <w:tc>
          <w:tcPr>
            <w:tcW w:w="1701" w:type="dxa"/>
            <w:noWrap w:val="0"/>
            <w:vAlign w:val="top"/>
          </w:tcPr>
          <w:p>
            <w:pPr>
              <w:spacing w:line="360" w:lineRule="auto"/>
              <w:jc w:val="center"/>
              <w:rPr>
                <w:color w:val="auto"/>
                <w:sz w:val="24"/>
                <w:highlight w:val="none"/>
              </w:rPr>
            </w:pPr>
          </w:p>
        </w:tc>
        <w:tc>
          <w:tcPr>
            <w:tcW w:w="1417" w:type="dxa"/>
            <w:noWrap w:val="0"/>
            <w:vAlign w:val="center"/>
          </w:tcPr>
          <w:p>
            <w:pPr>
              <w:spacing w:line="360" w:lineRule="auto"/>
              <w:jc w:val="center"/>
              <w:rPr>
                <w:color w:val="auto"/>
                <w:sz w:val="24"/>
                <w:highlight w:val="none"/>
              </w:rPr>
            </w:pPr>
          </w:p>
        </w:tc>
        <w:tc>
          <w:tcPr>
            <w:tcW w:w="1418" w:type="dxa"/>
            <w:noWrap w:val="0"/>
            <w:vAlign w:val="top"/>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0" w:type="dxa"/>
            <w:noWrap w:val="0"/>
            <w:vAlign w:val="top"/>
          </w:tcPr>
          <w:p>
            <w:pPr>
              <w:spacing w:line="360" w:lineRule="auto"/>
              <w:rPr>
                <w:color w:val="auto"/>
                <w:sz w:val="24"/>
                <w:highlight w:val="none"/>
              </w:rPr>
            </w:pPr>
          </w:p>
        </w:tc>
        <w:tc>
          <w:tcPr>
            <w:tcW w:w="1701" w:type="dxa"/>
            <w:noWrap w:val="0"/>
            <w:vAlign w:val="top"/>
          </w:tcPr>
          <w:p>
            <w:pPr>
              <w:spacing w:line="360" w:lineRule="auto"/>
              <w:rPr>
                <w:color w:val="auto"/>
                <w:sz w:val="24"/>
                <w:highlight w:val="none"/>
              </w:rPr>
            </w:pPr>
          </w:p>
        </w:tc>
        <w:tc>
          <w:tcPr>
            <w:tcW w:w="1701" w:type="dxa"/>
            <w:noWrap w:val="0"/>
            <w:vAlign w:val="top"/>
          </w:tcPr>
          <w:p>
            <w:pPr>
              <w:spacing w:line="360" w:lineRule="auto"/>
              <w:rPr>
                <w:color w:val="auto"/>
                <w:sz w:val="24"/>
                <w:highlight w:val="none"/>
              </w:rPr>
            </w:pPr>
          </w:p>
        </w:tc>
        <w:tc>
          <w:tcPr>
            <w:tcW w:w="1417" w:type="dxa"/>
            <w:noWrap w:val="0"/>
            <w:vAlign w:val="top"/>
          </w:tcPr>
          <w:p>
            <w:pPr>
              <w:spacing w:line="360" w:lineRule="auto"/>
              <w:rPr>
                <w:color w:val="auto"/>
                <w:sz w:val="24"/>
                <w:highlight w:val="none"/>
              </w:rPr>
            </w:pPr>
          </w:p>
        </w:tc>
        <w:tc>
          <w:tcPr>
            <w:tcW w:w="1418" w:type="dxa"/>
            <w:noWrap w:val="0"/>
            <w:vAlign w:val="top"/>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0" w:type="dxa"/>
            <w:noWrap w:val="0"/>
            <w:vAlign w:val="top"/>
          </w:tcPr>
          <w:p>
            <w:pPr>
              <w:spacing w:line="360" w:lineRule="auto"/>
              <w:rPr>
                <w:color w:val="auto"/>
                <w:sz w:val="24"/>
                <w:highlight w:val="none"/>
              </w:rPr>
            </w:pPr>
          </w:p>
        </w:tc>
        <w:tc>
          <w:tcPr>
            <w:tcW w:w="1701" w:type="dxa"/>
            <w:noWrap w:val="0"/>
            <w:vAlign w:val="top"/>
          </w:tcPr>
          <w:p>
            <w:pPr>
              <w:spacing w:line="360" w:lineRule="auto"/>
              <w:rPr>
                <w:color w:val="auto"/>
                <w:sz w:val="24"/>
                <w:highlight w:val="none"/>
              </w:rPr>
            </w:pPr>
          </w:p>
        </w:tc>
        <w:tc>
          <w:tcPr>
            <w:tcW w:w="1701" w:type="dxa"/>
            <w:noWrap w:val="0"/>
            <w:vAlign w:val="top"/>
          </w:tcPr>
          <w:p>
            <w:pPr>
              <w:spacing w:line="360" w:lineRule="auto"/>
              <w:rPr>
                <w:color w:val="auto"/>
                <w:sz w:val="24"/>
                <w:highlight w:val="none"/>
              </w:rPr>
            </w:pPr>
          </w:p>
        </w:tc>
        <w:tc>
          <w:tcPr>
            <w:tcW w:w="1417" w:type="dxa"/>
            <w:noWrap w:val="0"/>
            <w:vAlign w:val="top"/>
          </w:tcPr>
          <w:p>
            <w:pPr>
              <w:spacing w:line="360" w:lineRule="auto"/>
              <w:rPr>
                <w:color w:val="auto"/>
                <w:sz w:val="24"/>
                <w:highlight w:val="none"/>
              </w:rPr>
            </w:pPr>
          </w:p>
        </w:tc>
        <w:tc>
          <w:tcPr>
            <w:tcW w:w="1418" w:type="dxa"/>
            <w:noWrap w:val="0"/>
            <w:vAlign w:val="top"/>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0" w:type="dxa"/>
            <w:noWrap w:val="0"/>
            <w:vAlign w:val="top"/>
          </w:tcPr>
          <w:p>
            <w:pPr>
              <w:spacing w:line="360" w:lineRule="auto"/>
              <w:rPr>
                <w:color w:val="auto"/>
                <w:sz w:val="24"/>
                <w:highlight w:val="none"/>
              </w:rPr>
            </w:pPr>
          </w:p>
        </w:tc>
        <w:tc>
          <w:tcPr>
            <w:tcW w:w="1701" w:type="dxa"/>
            <w:noWrap w:val="0"/>
            <w:vAlign w:val="top"/>
          </w:tcPr>
          <w:p>
            <w:pPr>
              <w:spacing w:line="360" w:lineRule="auto"/>
              <w:rPr>
                <w:color w:val="auto"/>
                <w:sz w:val="24"/>
                <w:highlight w:val="none"/>
              </w:rPr>
            </w:pPr>
          </w:p>
        </w:tc>
        <w:tc>
          <w:tcPr>
            <w:tcW w:w="1701" w:type="dxa"/>
            <w:noWrap w:val="0"/>
            <w:vAlign w:val="top"/>
          </w:tcPr>
          <w:p>
            <w:pPr>
              <w:spacing w:line="360" w:lineRule="auto"/>
              <w:rPr>
                <w:color w:val="auto"/>
                <w:sz w:val="24"/>
                <w:highlight w:val="none"/>
              </w:rPr>
            </w:pPr>
          </w:p>
        </w:tc>
        <w:tc>
          <w:tcPr>
            <w:tcW w:w="1417" w:type="dxa"/>
            <w:noWrap w:val="0"/>
            <w:vAlign w:val="top"/>
          </w:tcPr>
          <w:p>
            <w:pPr>
              <w:spacing w:line="360" w:lineRule="auto"/>
              <w:rPr>
                <w:color w:val="auto"/>
                <w:sz w:val="24"/>
                <w:highlight w:val="none"/>
              </w:rPr>
            </w:pPr>
          </w:p>
        </w:tc>
        <w:tc>
          <w:tcPr>
            <w:tcW w:w="1418" w:type="dxa"/>
            <w:noWrap w:val="0"/>
            <w:vAlign w:val="top"/>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61" w:type="dxa"/>
            <w:gridSpan w:val="2"/>
            <w:noWrap w:val="0"/>
            <w:vAlign w:val="top"/>
          </w:tcPr>
          <w:p>
            <w:pPr>
              <w:spacing w:line="360" w:lineRule="auto"/>
              <w:rPr>
                <w:color w:val="auto"/>
                <w:sz w:val="24"/>
                <w:highlight w:val="none"/>
              </w:rPr>
            </w:pPr>
            <w:r>
              <w:rPr>
                <w:rFonts w:hAnsi="宋体"/>
                <w:color w:val="auto"/>
                <w:sz w:val="24"/>
                <w:highlight w:val="none"/>
              </w:rPr>
              <w:t>合计人民币金额（大写）</w:t>
            </w:r>
          </w:p>
        </w:tc>
        <w:tc>
          <w:tcPr>
            <w:tcW w:w="4536" w:type="dxa"/>
            <w:gridSpan w:val="3"/>
            <w:noWrap w:val="0"/>
            <w:vAlign w:val="top"/>
          </w:tcPr>
          <w:p>
            <w:pPr>
              <w:spacing w:line="360" w:lineRule="auto"/>
              <w:rPr>
                <w:color w:val="auto"/>
                <w:sz w:val="24"/>
                <w:highlight w:val="none"/>
              </w:rPr>
            </w:pPr>
          </w:p>
        </w:tc>
      </w:tr>
    </w:tbl>
    <w:p>
      <w:pPr>
        <w:spacing w:line="360" w:lineRule="auto"/>
        <w:rPr>
          <w:bCs/>
          <w:color w:val="auto"/>
          <w:sz w:val="24"/>
          <w:highlight w:val="none"/>
        </w:rPr>
      </w:pPr>
      <w:r>
        <w:rPr>
          <w:rFonts w:hAnsi="宋体"/>
          <w:bCs/>
          <w:color w:val="auto"/>
          <w:sz w:val="24"/>
          <w:highlight w:val="none"/>
        </w:rPr>
        <w:t>注：实际结算总价</w:t>
      </w:r>
      <w:r>
        <w:rPr>
          <w:bCs/>
          <w:color w:val="auto"/>
          <w:sz w:val="24"/>
          <w:highlight w:val="none"/>
        </w:rPr>
        <w:t>=</w:t>
      </w:r>
      <w:r>
        <w:rPr>
          <w:rFonts w:hAnsi="宋体"/>
          <w:bCs/>
          <w:color w:val="auto"/>
          <w:sz w:val="24"/>
          <w:highlight w:val="none"/>
        </w:rPr>
        <w:t>合同结算单价乘以实际项目面积。</w:t>
      </w:r>
    </w:p>
    <w:p>
      <w:pPr>
        <w:spacing w:line="360" w:lineRule="auto"/>
        <w:rPr>
          <w:rFonts w:hint="eastAsia" w:hAnsi="宋体"/>
          <w:b/>
          <w:bCs/>
          <w:color w:val="auto"/>
          <w:sz w:val="24"/>
          <w:highlight w:val="none"/>
        </w:rPr>
      </w:pPr>
      <w:r>
        <w:rPr>
          <w:rFonts w:hAnsi="宋体"/>
          <w:b/>
          <w:bCs/>
          <w:color w:val="auto"/>
          <w:sz w:val="24"/>
          <w:highlight w:val="none"/>
        </w:rPr>
        <w:t>第二条</w:t>
      </w:r>
      <w:r>
        <w:rPr>
          <w:rFonts w:hint="eastAsia" w:hAnsi="宋体"/>
          <w:b/>
          <w:bCs/>
          <w:color w:val="auto"/>
          <w:sz w:val="24"/>
          <w:highlight w:val="none"/>
        </w:rPr>
        <w:t xml:space="preserve">  </w:t>
      </w:r>
      <w:r>
        <w:rPr>
          <w:rFonts w:hAnsi="宋体"/>
          <w:b/>
          <w:bCs/>
          <w:color w:val="auto"/>
          <w:sz w:val="24"/>
          <w:highlight w:val="none"/>
        </w:rPr>
        <w:t>工程地址和委托方式：</w:t>
      </w:r>
    </w:p>
    <w:p>
      <w:pPr>
        <w:spacing w:line="360" w:lineRule="auto"/>
        <w:rPr>
          <w:color w:val="auto"/>
          <w:sz w:val="24"/>
          <w:highlight w:val="none"/>
        </w:rPr>
      </w:pPr>
      <w:r>
        <w:rPr>
          <w:rFonts w:hAnsi="宋体"/>
          <w:color w:val="auto"/>
          <w:sz w:val="24"/>
          <w:highlight w:val="none"/>
        </w:rPr>
        <w:t>工程地址位于义乌市商城大道</w:t>
      </w:r>
      <w:r>
        <w:rPr>
          <w:color w:val="auto"/>
          <w:sz w:val="24"/>
          <w:highlight w:val="none"/>
        </w:rPr>
        <w:t>N1</w:t>
      </w:r>
      <w:r>
        <w:rPr>
          <w:rFonts w:hAnsi="宋体"/>
          <w:color w:val="auto"/>
          <w:sz w:val="24"/>
          <w:highlight w:val="none"/>
        </w:rPr>
        <w:t>号，委托方式为书面通知施工。</w:t>
      </w:r>
    </w:p>
    <w:p>
      <w:pPr>
        <w:spacing w:line="360" w:lineRule="auto"/>
        <w:rPr>
          <w:rFonts w:hint="eastAsia"/>
          <w:color w:val="auto"/>
          <w:sz w:val="24"/>
          <w:highlight w:val="none"/>
        </w:rPr>
      </w:pPr>
      <w:r>
        <w:rPr>
          <w:rFonts w:hAnsi="宋体"/>
          <w:b/>
          <w:color w:val="auto"/>
          <w:sz w:val="24"/>
          <w:highlight w:val="none"/>
        </w:rPr>
        <w:t>第三条</w:t>
      </w:r>
      <w:r>
        <w:rPr>
          <w:rFonts w:hint="eastAsia" w:hAnsi="宋体"/>
          <w:b/>
          <w:color w:val="auto"/>
          <w:sz w:val="24"/>
          <w:highlight w:val="none"/>
        </w:rPr>
        <w:t xml:space="preserve">  </w:t>
      </w:r>
      <w:r>
        <w:rPr>
          <w:rFonts w:hAnsi="宋体"/>
          <w:b/>
          <w:color w:val="auto"/>
          <w:sz w:val="24"/>
          <w:highlight w:val="none"/>
        </w:rPr>
        <w:t>服务要求：</w:t>
      </w:r>
      <w:r>
        <w:rPr>
          <w:rFonts w:hint="eastAsia" w:hAnsi="宋体"/>
          <w:b/>
          <w:color w:val="auto"/>
          <w:sz w:val="24"/>
          <w:highlight w:val="none"/>
        </w:rPr>
        <w:t>到院清洗人员须持有在合格期内的高空作业证，在医院备案后方可开始作业。</w:t>
      </w:r>
    </w:p>
    <w:p>
      <w:pPr>
        <w:spacing w:line="360" w:lineRule="auto"/>
        <w:rPr>
          <w:color w:val="auto"/>
          <w:sz w:val="24"/>
          <w:highlight w:val="none"/>
        </w:rPr>
      </w:pPr>
      <w:r>
        <w:rPr>
          <w:color w:val="auto"/>
          <w:sz w:val="24"/>
          <w:highlight w:val="none"/>
        </w:rPr>
        <w:t>1</w:t>
      </w:r>
      <w:r>
        <w:rPr>
          <w:rFonts w:hAnsi="宋体"/>
          <w:color w:val="auto"/>
          <w:sz w:val="24"/>
          <w:highlight w:val="none"/>
        </w:rPr>
        <w:t>、操作人员需乙方单位办理人身意外保险方可上岗；</w:t>
      </w:r>
    </w:p>
    <w:p>
      <w:pPr>
        <w:spacing w:line="360" w:lineRule="auto"/>
        <w:rPr>
          <w:color w:val="auto"/>
          <w:sz w:val="24"/>
          <w:highlight w:val="none"/>
        </w:rPr>
      </w:pPr>
      <w:r>
        <w:rPr>
          <w:color w:val="auto"/>
          <w:sz w:val="24"/>
          <w:highlight w:val="none"/>
        </w:rPr>
        <w:t>2</w:t>
      </w:r>
      <w:r>
        <w:rPr>
          <w:rFonts w:hAnsi="宋体"/>
          <w:color w:val="auto"/>
          <w:sz w:val="24"/>
          <w:highlight w:val="none"/>
        </w:rPr>
        <w:t>、乙方应与甲方协调办理作业队进场的所有相关手续。</w:t>
      </w:r>
    </w:p>
    <w:p>
      <w:pPr>
        <w:spacing w:line="360" w:lineRule="auto"/>
        <w:rPr>
          <w:color w:val="auto"/>
          <w:sz w:val="24"/>
          <w:highlight w:val="none"/>
        </w:rPr>
      </w:pPr>
      <w:r>
        <w:rPr>
          <w:color w:val="auto"/>
          <w:sz w:val="24"/>
          <w:highlight w:val="none"/>
        </w:rPr>
        <w:t>3</w:t>
      </w:r>
      <w:r>
        <w:rPr>
          <w:rFonts w:hAnsi="宋体"/>
          <w:color w:val="auto"/>
          <w:sz w:val="24"/>
          <w:highlight w:val="none"/>
        </w:rPr>
        <w:t>、实际作业前，乙方应提前对</w:t>
      </w:r>
      <w:r>
        <w:rPr>
          <w:rFonts w:hint="eastAsia" w:hAnsi="宋体"/>
          <w:color w:val="auto"/>
          <w:sz w:val="24"/>
          <w:highlight w:val="none"/>
        </w:rPr>
        <w:t>院</w:t>
      </w:r>
      <w:r>
        <w:rPr>
          <w:rFonts w:hAnsi="宋体"/>
          <w:color w:val="auto"/>
          <w:sz w:val="24"/>
          <w:highlight w:val="none"/>
        </w:rPr>
        <w:t>区周围环境进行安全勘察，并做好防护隔离措施。</w:t>
      </w:r>
    </w:p>
    <w:p>
      <w:pPr>
        <w:spacing w:line="360" w:lineRule="auto"/>
        <w:rPr>
          <w:color w:val="auto"/>
          <w:sz w:val="24"/>
          <w:highlight w:val="none"/>
        </w:rPr>
      </w:pPr>
      <w:r>
        <w:rPr>
          <w:color w:val="auto"/>
          <w:sz w:val="24"/>
          <w:highlight w:val="none"/>
        </w:rPr>
        <w:t>4</w:t>
      </w:r>
      <w:r>
        <w:rPr>
          <w:rFonts w:hAnsi="宋体"/>
          <w:color w:val="auto"/>
          <w:sz w:val="24"/>
          <w:highlight w:val="none"/>
        </w:rPr>
        <w:t>、作业人员提前检查好升降设备的牢固性、绳索的承重量。</w:t>
      </w:r>
    </w:p>
    <w:p>
      <w:pPr>
        <w:spacing w:line="360" w:lineRule="auto"/>
        <w:rPr>
          <w:color w:val="auto"/>
          <w:sz w:val="24"/>
          <w:highlight w:val="none"/>
        </w:rPr>
      </w:pPr>
      <w:r>
        <w:rPr>
          <w:color w:val="auto"/>
          <w:sz w:val="24"/>
          <w:highlight w:val="none"/>
        </w:rPr>
        <w:t>5</w:t>
      </w:r>
      <w:r>
        <w:rPr>
          <w:rFonts w:hAnsi="宋体"/>
          <w:color w:val="auto"/>
          <w:sz w:val="24"/>
          <w:highlight w:val="none"/>
        </w:rPr>
        <w:t>、项目作业人员合理分配，具体落实到负责现场指挥、作业人员、安全员等。</w:t>
      </w:r>
    </w:p>
    <w:p>
      <w:pPr>
        <w:spacing w:line="360" w:lineRule="auto"/>
        <w:rPr>
          <w:color w:val="auto"/>
          <w:sz w:val="24"/>
          <w:highlight w:val="none"/>
        </w:rPr>
      </w:pPr>
      <w:r>
        <w:rPr>
          <w:color w:val="auto"/>
          <w:sz w:val="24"/>
          <w:highlight w:val="none"/>
        </w:rPr>
        <w:t>6</w:t>
      </w:r>
      <w:r>
        <w:rPr>
          <w:rFonts w:hAnsi="宋体"/>
          <w:color w:val="auto"/>
          <w:sz w:val="24"/>
          <w:highlight w:val="none"/>
        </w:rPr>
        <w:t>、每次清洗的顺序由中标单位项目负责人提前与采购人协商后安排。</w:t>
      </w:r>
    </w:p>
    <w:p>
      <w:pPr>
        <w:spacing w:line="360" w:lineRule="auto"/>
        <w:rPr>
          <w:b/>
          <w:color w:val="auto"/>
          <w:sz w:val="24"/>
          <w:highlight w:val="none"/>
        </w:rPr>
      </w:pPr>
      <w:r>
        <w:rPr>
          <w:rFonts w:hAnsi="宋体"/>
          <w:b/>
          <w:color w:val="auto"/>
          <w:sz w:val="24"/>
          <w:highlight w:val="none"/>
        </w:rPr>
        <w:t>第四条</w:t>
      </w:r>
      <w:r>
        <w:rPr>
          <w:rFonts w:hint="eastAsia" w:hAnsi="宋体"/>
          <w:b/>
          <w:color w:val="auto"/>
          <w:sz w:val="24"/>
          <w:highlight w:val="none"/>
        </w:rPr>
        <w:t xml:space="preserve">  </w:t>
      </w:r>
      <w:r>
        <w:rPr>
          <w:rFonts w:hAnsi="宋体"/>
          <w:b/>
          <w:color w:val="auto"/>
          <w:sz w:val="24"/>
          <w:highlight w:val="none"/>
        </w:rPr>
        <w:t>工程质量要求、质保期：</w:t>
      </w:r>
    </w:p>
    <w:p>
      <w:pPr>
        <w:spacing w:line="360" w:lineRule="auto"/>
        <w:rPr>
          <w:color w:val="auto"/>
          <w:sz w:val="24"/>
          <w:highlight w:val="none"/>
        </w:rPr>
      </w:pPr>
      <w:r>
        <w:rPr>
          <w:bCs/>
          <w:color w:val="auto"/>
          <w:sz w:val="24"/>
          <w:highlight w:val="none"/>
        </w:rPr>
        <w:t>1</w:t>
      </w:r>
      <w:r>
        <w:rPr>
          <w:rFonts w:hAnsi="宋体"/>
          <w:bCs/>
          <w:color w:val="auto"/>
          <w:sz w:val="24"/>
          <w:highlight w:val="none"/>
        </w:rPr>
        <w:t>、</w:t>
      </w:r>
      <w:r>
        <w:rPr>
          <w:rFonts w:hAnsi="宋体"/>
          <w:color w:val="auto"/>
          <w:sz w:val="24"/>
          <w:highlight w:val="none"/>
        </w:rPr>
        <w:t>工程质量应达到国家质量评定合格的标准。</w:t>
      </w:r>
    </w:p>
    <w:p>
      <w:pPr>
        <w:spacing w:line="360" w:lineRule="auto"/>
        <w:rPr>
          <w:color w:val="auto"/>
          <w:sz w:val="24"/>
          <w:highlight w:val="none"/>
        </w:rPr>
      </w:pPr>
      <w:r>
        <w:rPr>
          <w:color w:val="auto"/>
          <w:sz w:val="24"/>
          <w:highlight w:val="none"/>
        </w:rPr>
        <w:t>2</w:t>
      </w:r>
      <w:r>
        <w:rPr>
          <w:rFonts w:hAnsi="宋体"/>
          <w:color w:val="auto"/>
          <w:sz w:val="24"/>
          <w:highlight w:val="none"/>
        </w:rPr>
        <w:t>、所有清洗完毕后，乙方先进行自我质量检查合格后，申请甲方负责人验收，不合格处应立即返工至甲方满意为止。</w:t>
      </w:r>
    </w:p>
    <w:p>
      <w:pPr>
        <w:spacing w:line="360" w:lineRule="auto"/>
        <w:rPr>
          <w:b/>
          <w:color w:val="auto"/>
          <w:sz w:val="24"/>
          <w:highlight w:val="none"/>
        </w:rPr>
      </w:pPr>
      <w:r>
        <w:rPr>
          <w:rFonts w:hAnsi="宋体"/>
          <w:b/>
          <w:color w:val="auto"/>
          <w:sz w:val="24"/>
          <w:highlight w:val="none"/>
        </w:rPr>
        <w:t>第五条</w:t>
      </w:r>
      <w:r>
        <w:rPr>
          <w:rFonts w:hint="eastAsia" w:hAnsi="宋体"/>
          <w:b/>
          <w:color w:val="auto"/>
          <w:sz w:val="24"/>
          <w:highlight w:val="none"/>
        </w:rPr>
        <w:t xml:space="preserve">  </w:t>
      </w:r>
      <w:r>
        <w:rPr>
          <w:rFonts w:hAnsi="宋体"/>
          <w:b/>
          <w:color w:val="auto"/>
          <w:sz w:val="24"/>
          <w:highlight w:val="none"/>
        </w:rPr>
        <w:t>技术资料、图纸提供办法及保密要求</w:t>
      </w:r>
      <w:r>
        <w:rPr>
          <w:b/>
          <w:color w:val="auto"/>
          <w:sz w:val="24"/>
          <w:highlight w:val="none"/>
        </w:rPr>
        <w:t>:</w:t>
      </w:r>
    </w:p>
    <w:p>
      <w:pPr>
        <w:spacing w:line="360" w:lineRule="auto"/>
        <w:rPr>
          <w:color w:val="auto"/>
          <w:sz w:val="24"/>
          <w:highlight w:val="none"/>
        </w:rPr>
      </w:pPr>
      <w:r>
        <w:rPr>
          <w:rFonts w:hAnsi="宋体"/>
          <w:color w:val="auto"/>
          <w:sz w:val="24"/>
          <w:highlight w:val="none"/>
        </w:rPr>
        <w:t>乙方设计甲方定作物相关的技术资料以及图纸等，以及附之在上的知识产权等属于甲方所有。乙方对有关技术资料以及图纸等材料应当保密，未经甲方书面许可，不得留存、复制或者许可他人使用。</w:t>
      </w:r>
    </w:p>
    <w:p>
      <w:pPr>
        <w:spacing w:line="360" w:lineRule="auto"/>
        <w:rPr>
          <w:b/>
          <w:color w:val="auto"/>
          <w:sz w:val="24"/>
          <w:highlight w:val="none"/>
        </w:rPr>
      </w:pPr>
      <w:r>
        <w:rPr>
          <w:rFonts w:hAnsi="宋体"/>
          <w:b/>
          <w:color w:val="auto"/>
          <w:sz w:val="24"/>
          <w:highlight w:val="none"/>
        </w:rPr>
        <w:t>第六条</w:t>
      </w:r>
      <w:r>
        <w:rPr>
          <w:rFonts w:hint="eastAsia" w:hAnsi="宋体"/>
          <w:b/>
          <w:color w:val="auto"/>
          <w:sz w:val="24"/>
          <w:highlight w:val="none"/>
        </w:rPr>
        <w:t xml:space="preserve">  </w:t>
      </w:r>
      <w:r>
        <w:rPr>
          <w:rFonts w:hAnsi="宋体"/>
          <w:b/>
          <w:color w:val="auto"/>
          <w:sz w:val="24"/>
          <w:highlight w:val="none"/>
        </w:rPr>
        <w:t>验收标准、交付方式：</w:t>
      </w:r>
    </w:p>
    <w:p>
      <w:pPr>
        <w:spacing w:line="360" w:lineRule="auto"/>
        <w:rPr>
          <w:color w:val="auto"/>
          <w:sz w:val="24"/>
          <w:highlight w:val="none"/>
        </w:rPr>
      </w:pPr>
      <w:r>
        <w:rPr>
          <w:color w:val="auto"/>
          <w:sz w:val="24"/>
          <w:highlight w:val="none"/>
        </w:rPr>
        <w:t>1</w:t>
      </w:r>
      <w:r>
        <w:rPr>
          <w:rFonts w:hAnsi="宋体"/>
          <w:color w:val="auto"/>
          <w:sz w:val="24"/>
          <w:highlight w:val="none"/>
        </w:rPr>
        <w:t>、按照甲方确认的质量标准和技术标准和相关国家规范作为验收标准。</w:t>
      </w:r>
    </w:p>
    <w:p>
      <w:pPr>
        <w:spacing w:line="360" w:lineRule="auto"/>
        <w:rPr>
          <w:color w:val="auto"/>
          <w:sz w:val="24"/>
          <w:highlight w:val="none"/>
        </w:rPr>
      </w:pPr>
      <w:r>
        <w:rPr>
          <w:color w:val="auto"/>
          <w:sz w:val="24"/>
          <w:highlight w:val="none"/>
        </w:rPr>
        <w:t>2</w:t>
      </w:r>
      <w:r>
        <w:rPr>
          <w:rFonts w:hAnsi="宋体"/>
          <w:color w:val="auto"/>
          <w:sz w:val="24"/>
          <w:highlight w:val="none"/>
        </w:rPr>
        <w:t>、乙方在工程完成后</w:t>
      </w:r>
      <w:r>
        <w:rPr>
          <w:color w:val="auto"/>
          <w:sz w:val="24"/>
          <w:highlight w:val="none"/>
        </w:rPr>
        <w:t>3</w:t>
      </w:r>
      <w:r>
        <w:rPr>
          <w:rFonts w:hAnsi="宋体"/>
          <w:color w:val="auto"/>
          <w:sz w:val="24"/>
          <w:highlight w:val="none"/>
        </w:rPr>
        <w:t>日内书面通知甲方一次性整体验收，验收由甲方技术人员进行。</w:t>
      </w:r>
    </w:p>
    <w:p>
      <w:pPr>
        <w:spacing w:line="360" w:lineRule="auto"/>
        <w:rPr>
          <w:color w:val="auto"/>
          <w:sz w:val="24"/>
          <w:highlight w:val="none"/>
        </w:rPr>
      </w:pPr>
      <w:r>
        <w:rPr>
          <w:color w:val="auto"/>
          <w:sz w:val="24"/>
          <w:highlight w:val="none"/>
        </w:rPr>
        <w:t>3</w:t>
      </w:r>
      <w:r>
        <w:rPr>
          <w:rFonts w:hAnsi="宋体"/>
          <w:color w:val="auto"/>
          <w:sz w:val="24"/>
          <w:highlight w:val="none"/>
        </w:rPr>
        <w:t>、验收前乙方向甲方提交必需的技术资料和有关质量证明。</w:t>
      </w:r>
    </w:p>
    <w:p>
      <w:pPr>
        <w:spacing w:line="360" w:lineRule="auto"/>
        <w:rPr>
          <w:color w:val="auto"/>
          <w:sz w:val="24"/>
          <w:highlight w:val="none"/>
        </w:rPr>
      </w:pPr>
      <w:r>
        <w:rPr>
          <w:color w:val="auto"/>
          <w:sz w:val="24"/>
          <w:highlight w:val="none"/>
        </w:rPr>
        <w:t>4</w:t>
      </w:r>
      <w:r>
        <w:rPr>
          <w:rFonts w:hAnsi="宋体"/>
          <w:color w:val="auto"/>
          <w:sz w:val="24"/>
          <w:highlight w:val="none"/>
        </w:rPr>
        <w:t>、外墙面清洗验收标准：</w:t>
      </w:r>
    </w:p>
    <w:p>
      <w:pPr>
        <w:spacing w:line="360" w:lineRule="auto"/>
        <w:ind w:firstLine="360" w:firstLineChars="150"/>
        <w:rPr>
          <w:color w:val="auto"/>
          <w:sz w:val="24"/>
          <w:highlight w:val="none"/>
        </w:rPr>
      </w:pPr>
      <w:r>
        <w:rPr>
          <w:rFonts w:hAnsi="宋体"/>
          <w:color w:val="auto"/>
          <w:sz w:val="24"/>
          <w:highlight w:val="none"/>
        </w:rPr>
        <w:t>墙面清洗后不应有任何的建筑残留物及污迹、污物、水泥点、石灰点等；在经过清洁工人采用物理清洗方法或化学</w:t>
      </w:r>
      <w:r>
        <w:rPr>
          <w:rFonts w:hint="eastAsia" w:hAnsi="宋体"/>
          <w:color w:val="auto"/>
          <w:sz w:val="24"/>
          <w:highlight w:val="none"/>
        </w:rPr>
        <w:t>清</w:t>
      </w:r>
      <w:r>
        <w:rPr>
          <w:rFonts w:hAnsi="宋体"/>
          <w:color w:val="auto"/>
          <w:sz w:val="24"/>
          <w:highlight w:val="none"/>
        </w:rPr>
        <w:t>洗方法后，并经过甲方认可外墙表面仍不能清除掉的脏迹、污迹：电焊疵点、建筑用胶、长期形成的污垢等情况除外；</w:t>
      </w:r>
    </w:p>
    <w:p>
      <w:pPr>
        <w:spacing w:line="360" w:lineRule="auto"/>
        <w:rPr>
          <w:color w:val="auto"/>
          <w:sz w:val="24"/>
          <w:highlight w:val="none"/>
        </w:rPr>
      </w:pPr>
      <w:r>
        <w:rPr>
          <w:color w:val="auto"/>
          <w:sz w:val="24"/>
          <w:highlight w:val="none"/>
        </w:rPr>
        <w:t>5</w:t>
      </w:r>
      <w:r>
        <w:rPr>
          <w:rFonts w:hAnsi="宋体"/>
          <w:color w:val="auto"/>
          <w:sz w:val="24"/>
          <w:highlight w:val="none"/>
        </w:rPr>
        <w:t>、外玻璃清洗验收标准：</w:t>
      </w:r>
    </w:p>
    <w:p>
      <w:pPr>
        <w:spacing w:line="360" w:lineRule="auto"/>
        <w:rPr>
          <w:color w:val="auto"/>
          <w:sz w:val="24"/>
          <w:highlight w:val="none"/>
        </w:rPr>
      </w:pPr>
      <w:r>
        <w:rPr>
          <w:color w:val="auto"/>
          <w:sz w:val="24"/>
          <w:highlight w:val="none"/>
        </w:rPr>
        <w:t>1</w:t>
      </w:r>
      <w:r>
        <w:rPr>
          <w:rFonts w:hAnsi="宋体"/>
          <w:color w:val="auto"/>
          <w:sz w:val="24"/>
          <w:highlight w:val="none"/>
        </w:rPr>
        <w:t>）外玻璃清洗后，不应有任何污迹并且光亮无水印、无污迹、无刮痕，在经过清洁工人清洗后，并经过甲方认可外玻璃表面仍不能清除掉的脏迹、污迹如：长期形成的水碱污垢、霉点等情况除外；</w:t>
      </w:r>
    </w:p>
    <w:p>
      <w:pPr>
        <w:spacing w:line="360" w:lineRule="auto"/>
        <w:rPr>
          <w:color w:val="auto"/>
          <w:sz w:val="24"/>
          <w:highlight w:val="none"/>
        </w:rPr>
      </w:pPr>
      <w:r>
        <w:rPr>
          <w:color w:val="auto"/>
          <w:sz w:val="24"/>
          <w:highlight w:val="none"/>
        </w:rPr>
        <w:t>2</w:t>
      </w:r>
      <w:r>
        <w:rPr>
          <w:rFonts w:hAnsi="宋体"/>
          <w:color w:val="auto"/>
          <w:sz w:val="24"/>
          <w:highlight w:val="none"/>
        </w:rPr>
        <w:t>）玻璃清洗后，铝合金窗框上不应有污物、污水，在经过清洁工人清洗后，并经过甲方认可外铝合金窗框表面仍不能清除掉的脏迹、污迹如：长期形成的水碱污垢、霉点等情况除外；</w:t>
      </w:r>
    </w:p>
    <w:p>
      <w:pPr>
        <w:spacing w:line="360" w:lineRule="auto"/>
        <w:rPr>
          <w:color w:val="auto"/>
          <w:sz w:val="24"/>
          <w:highlight w:val="none"/>
        </w:rPr>
      </w:pPr>
      <w:r>
        <w:rPr>
          <w:color w:val="auto"/>
          <w:sz w:val="24"/>
          <w:highlight w:val="none"/>
        </w:rPr>
        <w:t>3</w:t>
      </w:r>
      <w:r>
        <w:rPr>
          <w:rFonts w:hAnsi="宋体"/>
          <w:color w:val="auto"/>
          <w:sz w:val="24"/>
          <w:highlight w:val="none"/>
        </w:rPr>
        <w:t>）窗台、墙面上不得留有清洗玻璃时流下的污水水迹；在经过清洁工人清洗后，并经过甲方认可外玻璃、窗台、墙面仍不能清除掉的脏迹、污迹如：长期形成的水碱污垢等情况除外；</w:t>
      </w:r>
    </w:p>
    <w:p>
      <w:pPr>
        <w:spacing w:line="360" w:lineRule="auto"/>
        <w:rPr>
          <w:rFonts w:hint="eastAsia" w:hAnsi="宋体"/>
          <w:b/>
          <w:color w:val="auto"/>
          <w:sz w:val="24"/>
          <w:highlight w:val="none"/>
        </w:rPr>
      </w:pPr>
      <w:r>
        <w:rPr>
          <w:rFonts w:hAnsi="宋体"/>
          <w:b/>
          <w:color w:val="auto"/>
          <w:sz w:val="24"/>
          <w:highlight w:val="none"/>
        </w:rPr>
        <w:t>第八条</w:t>
      </w:r>
      <w:r>
        <w:rPr>
          <w:rFonts w:hint="eastAsia" w:hAnsi="宋体"/>
          <w:b/>
          <w:color w:val="auto"/>
          <w:sz w:val="24"/>
          <w:highlight w:val="none"/>
        </w:rPr>
        <w:t xml:space="preserve">  </w:t>
      </w:r>
      <w:r>
        <w:rPr>
          <w:rFonts w:hAnsi="宋体"/>
          <w:b/>
          <w:color w:val="auto"/>
          <w:sz w:val="24"/>
          <w:highlight w:val="none"/>
        </w:rPr>
        <w:t>工程交付方式和时间：</w:t>
      </w:r>
    </w:p>
    <w:p>
      <w:pPr>
        <w:spacing w:line="360" w:lineRule="auto"/>
        <w:rPr>
          <w:b/>
          <w:color w:val="auto"/>
          <w:sz w:val="24"/>
          <w:highlight w:val="none"/>
        </w:rPr>
      </w:pPr>
      <w:r>
        <w:rPr>
          <w:rFonts w:hAnsi="宋体"/>
          <w:color w:val="auto"/>
          <w:sz w:val="24"/>
          <w:highlight w:val="none"/>
        </w:rPr>
        <w:t>针对不同清洗项目，乙方应在甲方规定时间内完成清洗内容，逾期完成，每延误一天，支付给甲方违约金</w:t>
      </w:r>
      <w:r>
        <w:rPr>
          <w:color w:val="auto"/>
          <w:sz w:val="24"/>
          <w:highlight w:val="none"/>
          <w:u w:val="single"/>
        </w:rPr>
        <w:t>1000</w:t>
      </w:r>
      <w:r>
        <w:rPr>
          <w:rFonts w:hAnsi="宋体"/>
          <w:color w:val="auto"/>
          <w:sz w:val="24"/>
          <w:highlight w:val="none"/>
        </w:rPr>
        <w:t>元</w:t>
      </w:r>
      <w:r>
        <w:rPr>
          <w:rFonts w:hint="eastAsia" w:hAnsi="宋体"/>
          <w:color w:val="auto"/>
          <w:sz w:val="24"/>
          <w:highlight w:val="none"/>
          <w:lang w:eastAsia="zh-CN"/>
        </w:rPr>
        <w:t>。</w:t>
      </w:r>
      <w:r>
        <w:rPr>
          <w:rFonts w:hAnsi="宋体"/>
          <w:color w:val="auto"/>
          <w:sz w:val="24"/>
          <w:highlight w:val="none"/>
        </w:rPr>
        <w:t>乙方在工程完成后，应书面通知甲方派员现场验收，验收合格后由甲方代表签字，签字之日，视为工程交付之日。</w:t>
      </w:r>
    </w:p>
    <w:p>
      <w:pPr>
        <w:spacing w:line="360" w:lineRule="auto"/>
        <w:rPr>
          <w:rFonts w:hint="eastAsia"/>
          <w:b/>
          <w:color w:val="auto"/>
          <w:sz w:val="24"/>
          <w:highlight w:val="none"/>
        </w:rPr>
      </w:pPr>
      <w:r>
        <w:rPr>
          <w:rFonts w:hAnsi="宋体"/>
          <w:b/>
          <w:color w:val="auto"/>
          <w:sz w:val="24"/>
          <w:highlight w:val="none"/>
        </w:rPr>
        <w:t>第九条</w:t>
      </w:r>
      <w:r>
        <w:rPr>
          <w:rFonts w:hint="eastAsia" w:hAnsi="宋体"/>
          <w:b/>
          <w:color w:val="auto"/>
          <w:sz w:val="24"/>
          <w:highlight w:val="none"/>
        </w:rPr>
        <w:t xml:space="preserve">  </w:t>
      </w:r>
      <w:r>
        <w:rPr>
          <w:rFonts w:hAnsi="宋体"/>
          <w:b/>
          <w:color w:val="auto"/>
          <w:sz w:val="24"/>
          <w:highlight w:val="none"/>
        </w:rPr>
        <w:t>结算方式：</w:t>
      </w:r>
      <w:r>
        <w:rPr>
          <w:rFonts w:hint="eastAsia" w:hAnsi="宋体"/>
          <w:b/>
          <w:color w:val="auto"/>
          <w:sz w:val="24"/>
          <w:highlight w:val="none"/>
        </w:rPr>
        <w:t>每次清洗验收合格后支付当次清洗费用</w:t>
      </w:r>
    </w:p>
    <w:p>
      <w:pPr>
        <w:spacing w:line="360" w:lineRule="auto"/>
        <w:ind w:firstLine="480" w:firstLineChars="200"/>
        <w:rPr>
          <w:color w:val="auto"/>
          <w:sz w:val="24"/>
          <w:highlight w:val="none"/>
        </w:rPr>
      </w:pPr>
      <w:r>
        <w:rPr>
          <w:color w:val="auto"/>
          <w:sz w:val="24"/>
          <w:highlight w:val="none"/>
        </w:rPr>
        <w:t>1</w:t>
      </w:r>
      <w:r>
        <w:rPr>
          <w:rFonts w:hAnsi="宋体"/>
          <w:color w:val="auto"/>
          <w:sz w:val="24"/>
          <w:highlight w:val="none"/>
        </w:rPr>
        <w:t>、</w:t>
      </w:r>
      <w:r>
        <w:rPr>
          <w:rFonts w:hint="eastAsia" w:hAnsi="宋体"/>
          <w:color w:val="auto"/>
          <w:sz w:val="24"/>
          <w:highlight w:val="none"/>
        </w:rPr>
        <w:t>每次清洗</w:t>
      </w:r>
      <w:r>
        <w:rPr>
          <w:rFonts w:hAnsi="宋体"/>
          <w:color w:val="auto"/>
          <w:sz w:val="24"/>
          <w:highlight w:val="none"/>
        </w:rPr>
        <w:t>结束且验收合格后，乙方开具本次清洗费用的正规发票及结算书给甲方，甲方在收到并核实签字后</w:t>
      </w:r>
      <w:r>
        <w:rPr>
          <w:rFonts w:hint="eastAsia" w:hAnsi="宋体"/>
          <w:color w:val="auto"/>
          <w:sz w:val="24"/>
          <w:highlight w:val="none"/>
        </w:rPr>
        <w:t>30日内</w:t>
      </w:r>
      <w:r>
        <w:rPr>
          <w:rFonts w:hAnsi="宋体"/>
          <w:color w:val="auto"/>
          <w:sz w:val="24"/>
          <w:highlight w:val="none"/>
        </w:rPr>
        <w:t>，一次性全额支付乙方清洁费用。</w:t>
      </w:r>
    </w:p>
    <w:p>
      <w:pPr>
        <w:spacing w:line="360" w:lineRule="auto"/>
        <w:ind w:firstLine="480" w:firstLineChars="200"/>
        <w:rPr>
          <w:color w:val="auto"/>
          <w:sz w:val="24"/>
          <w:highlight w:val="none"/>
        </w:rPr>
      </w:pPr>
    </w:p>
    <w:p>
      <w:pPr>
        <w:spacing w:line="360" w:lineRule="auto"/>
        <w:rPr>
          <w:b/>
          <w:color w:val="auto"/>
          <w:sz w:val="24"/>
          <w:highlight w:val="none"/>
        </w:rPr>
      </w:pPr>
      <w:r>
        <w:rPr>
          <w:rFonts w:hAnsi="宋体"/>
          <w:b/>
          <w:color w:val="auto"/>
          <w:sz w:val="24"/>
          <w:highlight w:val="none"/>
        </w:rPr>
        <w:t>第十条</w:t>
      </w:r>
      <w:r>
        <w:rPr>
          <w:rFonts w:hint="eastAsia" w:hAnsi="宋体"/>
          <w:b/>
          <w:color w:val="auto"/>
          <w:sz w:val="24"/>
          <w:highlight w:val="none"/>
        </w:rPr>
        <w:t xml:space="preserve">  </w:t>
      </w:r>
      <w:r>
        <w:rPr>
          <w:rFonts w:hAnsi="宋体"/>
          <w:b/>
          <w:color w:val="auto"/>
          <w:sz w:val="24"/>
          <w:highlight w:val="none"/>
        </w:rPr>
        <w:t>违约责任</w:t>
      </w:r>
    </w:p>
    <w:p>
      <w:pPr>
        <w:spacing w:line="360" w:lineRule="auto"/>
        <w:rPr>
          <w:color w:val="auto"/>
          <w:sz w:val="24"/>
          <w:highlight w:val="none"/>
        </w:rPr>
      </w:pPr>
      <w:r>
        <w:rPr>
          <w:rFonts w:hint="eastAsia" w:hAnsi="宋体"/>
          <w:color w:val="auto"/>
          <w:sz w:val="24"/>
          <w:highlight w:val="none"/>
        </w:rPr>
        <w:t>（一）</w:t>
      </w:r>
      <w:r>
        <w:rPr>
          <w:rFonts w:hAnsi="宋体"/>
          <w:color w:val="auto"/>
          <w:sz w:val="24"/>
          <w:highlight w:val="none"/>
        </w:rPr>
        <w:t>、甲方的违约责任</w:t>
      </w:r>
    </w:p>
    <w:p>
      <w:pPr>
        <w:spacing w:line="360" w:lineRule="auto"/>
        <w:outlineLvl w:val="0"/>
        <w:rPr>
          <w:color w:val="auto"/>
          <w:sz w:val="24"/>
          <w:highlight w:val="none"/>
        </w:rPr>
      </w:pPr>
      <w:r>
        <w:rPr>
          <w:rFonts w:hAnsi="宋体"/>
          <w:color w:val="auto"/>
          <w:sz w:val="24"/>
          <w:highlight w:val="none"/>
        </w:rPr>
        <w:t>甲方非因不可抗力单方面中途变更、解除合同的，须书面通知乙方协商变更、解除事项，否则应当赔偿乙方由此造成的损失。</w:t>
      </w:r>
    </w:p>
    <w:p>
      <w:pPr>
        <w:spacing w:line="360" w:lineRule="auto"/>
        <w:outlineLvl w:val="0"/>
        <w:rPr>
          <w:color w:val="auto"/>
          <w:sz w:val="24"/>
          <w:highlight w:val="none"/>
        </w:rPr>
      </w:pPr>
      <w:r>
        <w:rPr>
          <w:rFonts w:hint="eastAsia" w:hAnsi="宋体"/>
          <w:color w:val="auto"/>
          <w:sz w:val="24"/>
          <w:highlight w:val="none"/>
        </w:rPr>
        <w:t>（二）</w:t>
      </w:r>
      <w:r>
        <w:rPr>
          <w:rFonts w:hAnsi="宋体"/>
          <w:color w:val="auto"/>
          <w:sz w:val="24"/>
          <w:highlight w:val="none"/>
        </w:rPr>
        <w:t>、乙方的违约责任</w:t>
      </w:r>
    </w:p>
    <w:p>
      <w:pPr>
        <w:spacing w:line="360" w:lineRule="auto"/>
        <w:outlineLvl w:val="0"/>
        <w:rPr>
          <w:color w:val="auto"/>
          <w:sz w:val="24"/>
          <w:highlight w:val="none"/>
        </w:rPr>
      </w:pPr>
      <w:r>
        <w:rPr>
          <w:color w:val="auto"/>
          <w:sz w:val="24"/>
          <w:highlight w:val="none"/>
        </w:rPr>
        <w:t>1</w:t>
      </w:r>
      <w:r>
        <w:rPr>
          <w:rFonts w:hAnsi="宋体"/>
          <w:color w:val="auto"/>
          <w:sz w:val="24"/>
          <w:highlight w:val="none"/>
        </w:rPr>
        <w:t>、乙方中途废止合同的，应当赔偿甲方由此造成的损失。</w:t>
      </w:r>
    </w:p>
    <w:p>
      <w:pPr>
        <w:spacing w:line="360" w:lineRule="auto"/>
        <w:outlineLvl w:val="0"/>
        <w:rPr>
          <w:color w:val="auto"/>
          <w:sz w:val="24"/>
          <w:highlight w:val="none"/>
        </w:rPr>
      </w:pPr>
      <w:r>
        <w:rPr>
          <w:color w:val="auto"/>
          <w:sz w:val="24"/>
          <w:highlight w:val="none"/>
        </w:rPr>
        <w:t>2</w:t>
      </w:r>
      <w:r>
        <w:rPr>
          <w:rFonts w:hAnsi="宋体"/>
          <w:color w:val="auto"/>
          <w:sz w:val="24"/>
          <w:highlight w:val="none"/>
        </w:rPr>
        <w:t>、乙方未按合同约定交付的，甲方有权要求乙方定期返工重作、修理，费用由乙方自行承担。</w:t>
      </w:r>
    </w:p>
    <w:p>
      <w:pPr>
        <w:spacing w:line="360" w:lineRule="auto"/>
        <w:outlineLvl w:val="0"/>
        <w:rPr>
          <w:color w:val="auto"/>
          <w:sz w:val="24"/>
          <w:highlight w:val="none"/>
        </w:rPr>
      </w:pPr>
      <w:r>
        <w:rPr>
          <w:color w:val="auto"/>
          <w:sz w:val="24"/>
          <w:highlight w:val="none"/>
        </w:rPr>
        <w:t>3</w:t>
      </w:r>
      <w:r>
        <w:rPr>
          <w:rFonts w:hAnsi="宋体"/>
          <w:color w:val="auto"/>
          <w:sz w:val="24"/>
          <w:highlight w:val="none"/>
        </w:rPr>
        <w:t>、乙方逾期交付的（包括返工重作、修理等情形）的，每逾期一天，向甲方支付实际</w:t>
      </w:r>
      <w:r>
        <w:rPr>
          <w:rFonts w:hint="eastAsia" w:hAnsi="宋体"/>
          <w:color w:val="auto"/>
          <w:sz w:val="24"/>
          <w:highlight w:val="none"/>
        </w:rPr>
        <w:t>合同</w:t>
      </w:r>
      <w:r>
        <w:rPr>
          <w:rFonts w:hAnsi="宋体"/>
          <w:color w:val="auto"/>
          <w:sz w:val="24"/>
          <w:highlight w:val="none"/>
        </w:rPr>
        <w:t>总价款的千分之一作为违约金，并承担甲方由此造成的损失；逾期超过</w:t>
      </w:r>
      <w:r>
        <w:rPr>
          <w:color w:val="auto"/>
          <w:sz w:val="24"/>
          <w:highlight w:val="none"/>
        </w:rPr>
        <w:t>30</w:t>
      </w:r>
      <w:r>
        <w:rPr>
          <w:rFonts w:hAnsi="宋体"/>
          <w:color w:val="auto"/>
          <w:sz w:val="24"/>
          <w:highlight w:val="none"/>
        </w:rPr>
        <w:t>日的，甲方有权解除合同，乙方应赔偿甲方损失，乙方损失由其自行承担。</w:t>
      </w:r>
    </w:p>
    <w:p>
      <w:pPr>
        <w:spacing w:line="360" w:lineRule="auto"/>
        <w:outlineLvl w:val="0"/>
        <w:rPr>
          <w:color w:val="auto"/>
          <w:sz w:val="24"/>
          <w:highlight w:val="none"/>
        </w:rPr>
      </w:pPr>
      <w:r>
        <w:rPr>
          <w:color w:val="auto"/>
          <w:sz w:val="24"/>
          <w:highlight w:val="none"/>
        </w:rPr>
        <w:t>4</w:t>
      </w:r>
      <w:r>
        <w:rPr>
          <w:rFonts w:hAnsi="宋体"/>
          <w:color w:val="auto"/>
          <w:sz w:val="24"/>
          <w:highlight w:val="none"/>
        </w:rPr>
        <w:t>、未按要求提供高空操作人员的人身意外保险。</w:t>
      </w:r>
    </w:p>
    <w:p>
      <w:pPr>
        <w:spacing w:line="360" w:lineRule="auto"/>
        <w:outlineLvl w:val="0"/>
        <w:rPr>
          <w:color w:val="auto"/>
          <w:sz w:val="24"/>
          <w:highlight w:val="none"/>
        </w:rPr>
      </w:pPr>
      <w:r>
        <w:rPr>
          <w:color w:val="auto"/>
          <w:sz w:val="24"/>
          <w:highlight w:val="none"/>
        </w:rPr>
        <w:t>5</w:t>
      </w:r>
      <w:r>
        <w:rPr>
          <w:rFonts w:hAnsi="宋体"/>
          <w:color w:val="auto"/>
          <w:sz w:val="24"/>
          <w:highlight w:val="none"/>
        </w:rPr>
        <w:t>、乙方违反本合同约定的，甲方有权要求乙方在承担上述违约责任后另行支付实际</w:t>
      </w:r>
      <w:r>
        <w:rPr>
          <w:rFonts w:hint="eastAsia" w:hAnsi="宋体"/>
          <w:color w:val="auto"/>
          <w:sz w:val="24"/>
          <w:highlight w:val="none"/>
        </w:rPr>
        <w:t>合同</w:t>
      </w:r>
      <w:r>
        <w:rPr>
          <w:rFonts w:hAnsi="宋体"/>
          <w:color w:val="auto"/>
          <w:sz w:val="24"/>
          <w:highlight w:val="none"/>
        </w:rPr>
        <w:t>价款总值的</w:t>
      </w:r>
      <w:r>
        <w:rPr>
          <w:color w:val="auto"/>
          <w:sz w:val="24"/>
          <w:highlight w:val="none"/>
        </w:rPr>
        <w:t>15%</w:t>
      </w:r>
      <w:r>
        <w:rPr>
          <w:rFonts w:hAnsi="宋体"/>
          <w:color w:val="auto"/>
          <w:sz w:val="24"/>
          <w:highlight w:val="none"/>
        </w:rPr>
        <w:t>的违约金。</w:t>
      </w:r>
    </w:p>
    <w:p>
      <w:pPr>
        <w:spacing w:line="360" w:lineRule="auto"/>
        <w:rPr>
          <w:b/>
          <w:color w:val="auto"/>
          <w:sz w:val="24"/>
          <w:highlight w:val="none"/>
        </w:rPr>
      </w:pPr>
      <w:r>
        <w:rPr>
          <w:rFonts w:hAnsi="宋体"/>
          <w:b/>
          <w:color w:val="auto"/>
          <w:sz w:val="24"/>
          <w:highlight w:val="none"/>
        </w:rPr>
        <w:t>第十一条</w:t>
      </w:r>
      <w:r>
        <w:rPr>
          <w:rFonts w:hint="eastAsia" w:hAnsi="宋体"/>
          <w:b/>
          <w:color w:val="auto"/>
          <w:sz w:val="24"/>
          <w:highlight w:val="none"/>
        </w:rPr>
        <w:t xml:space="preserve">  </w:t>
      </w:r>
      <w:r>
        <w:rPr>
          <w:rFonts w:hAnsi="宋体"/>
          <w:b/>
          <w:color w:val="auto"/>
          <w:sz w:val="24"/>
          <w:highlight w:val="none"/>
        </w:rPr>
        <w:t>解决合同纠纷的方式：</w:t>
      </w:r>
    </w:p>
    <w:p>
      <w:pPr>
        <w:spacing w:line="360" w:lineRule="auto"/>
        <w:ind w:firstLine="480" w:firstLineChars="200"/>
        <w:rPr>
          <w:rFonts w:hint="eastAsia"/>
          <w:color w:val="auto"/>
          <w:sz w:val="24"/>
          <w:highlight w:val="none"/>
        </w:rPr>
      </w:pPr>
      <w:r>
        <w:rPr>
          <w:rFonts w:hAnsi="宋体"/>
          <w:color w:val="auto"/>
          <w:sz w:val="24"/>
          <w:highlight w:val="none"/>
        </w:rPr>
        <w:t>在履行本合同过程中发生纠纷的，甲乙双方应先协商解决；协商不成的，由双方向签约地法院提起诉讼解决</w:t>
      </w:r>
      <w:r>
        <w:rPr>
          <w:rFonts w:hint="eastAsia" w:hAnsi="宋体"/>
          <w:color w:val="auto"/>
          <w:sz w:val="24"/>
          <w:highlight w:val="none"/>
        </w:rPr>
        <w:t>。</w:t>
      </w:r>
    </w:p>
    <w:p>
      <w:pPr>
        <w:spacing w:line="360" w:lineRule="auto"/>
        <w:rPr>
          <w:b/>
          <w:color w:val="auto"/>
          <w:sz w:val="24"/>
          <w:highlight w:val="none"/>
        </w:rPr>
      </w:pPr>
      <w:r>
        <w:rPr>
          <w:rFonts w:hAnsi="宋体"/>
          <w:b/>
          <w:color w:val="auto"/>
          <w:sz w:val="24"/>
          <w:highlight w:val="none"/>
        </w:rPr>
        <w:t>第十二条</w:t>
      </w:r>
      <w:r>
        <w:rPr>
          <w:rFonts w:hint="eastAsia" w:hAnsi="宋体"/>
          <w:b/>
          <w:color w:val="auto"/>
          <w:sz w:val="24"/>
          <w:highlight w:val="none"/>
        </w:rPr>
        <w:t xml:space="preserve">  </w:t>
      </w:r>
      <w:r>
        <w:rPr>
          <w:rFonts w:hAnsi="宋体"/>
          <w:bCs/>
          <w:color w:val="auto"/>
          <w:sz w:val="24"/>
          <w:highlight w:val="none"/>
        </w:rPr>
        <w:t>如需提供担保，另立合同担保书，作为本合同的附件。</w:t>
      </w:r>
    </w:p>
    <w:p>
      <w:pPr>
        <w:spacing w:line="360" w:lineRule="auto"/>
        <w:rPr>
          <w:b/>
          <w:color w:val="auto"/>
          <w:sz w:val="24"/>
          <w:highlight w:val="none"/>
        </w:rPr>
      </w:pPr>
      <w:r>
        <w:rPr>
          <w:rFonts w:hAnsi="宋体"/>
          <w:b/>
          <w:color w:val="auto"/>
          <w:sz w:val="24"/>
          <w:highlight w:val="none"/>
        </w:rPr>
        <w:t>第十三条</w:t>
      </w:r>
      <w:r>
        <w:rPr>
          <w:rFonts w:hint="eastAsia" w:hAnsi="宋体"/>
          <w:b/>
          <w:color w:val="auto"/>
          <w:sz w:val="24"/>
          <w:highlight w:val="none"/>
        </w:rPr>
        <w:t xml:space="preserve">  </w:t>
      </w:r>
      <w:r>
        <w:rPr>
          <w:rFonts w:hAnsi="宋体"/>
          <w:b/>
          <w:color w:val="auto"/>
          <w:sz w:val="24"/>
          <w:highlight w:val="none"/>
        </w:rPr>
        <w:t>其他条款：</w:t>
      </w:r>
    </w:p>
    <w:p>
      <w:pPr>
        <w:spacing w:line="360" w:lineRule="auto"/>
        <w:rPr>
          <w:color w:val="auto"/>
          <w:sz w:val="24"/>
          <w:highlight w:val="none"/>
        </w:rPr>
      </w:pPr>
      <w:r>
        <w:rPr>
          <w:color w:val="auto"/>
          <w:sz w:val="24"/>
          <w:highlight w:val="none"/>
        </w:rPr>
        <w:t>1</w:t>
      </w:r>
      <w:r>
        <w:rPr>
          <w:rFonts w:hAnsi="宋体"/>
          <w:color w:val="auto"/>
          <w:sz w:val="24"/>
          <w:highlight w:val="none"/>
        </w:rPr>
        <w:t>、合同签订后，接到甲方正式施工通知后，乙方应向甲方保卫科办理进场施工许可证，办证完成后方可进行清洁服务。</w:t>
      </w:r>
    </w:p>
    <w:p>
      <w:pPr>
        <w:spacing w:line="360" w:lineRule="auto"/>
        <w:rPr>
          <w:color w:val="auto"/>
          <w:sz w:val="24"/>
          <w:highlight w:val="none"/>
        </w:rPr>
      </w:pPr>
      <w:r>
        <w:rPr>
          <w:color w:val="auto"/>
          <w:sz w:val="24"/>
          <w:highlight w:val="none"/>
        </w:rPr>
        <w:t>2</w:t>
      </w:r>
      <w:r>
        <w:rPr>
          <w:rFonts w:hAnsi="宋体"/>
          <w:color w:val="auto"/>
          <w:sz w:val="24"/>
          <w:highlight w:val="none"/>
        </w:rPr>
        <w:t>、施工过程中如有特殊要求，双方另行签订补充协议。</w:t>
      </w:r>
    </w:p>
    <w:p>
      <w:pPr>
        <w:spacing w:line="360" w:lineRule="auto"/>
        <w:rPr>
          <w:bCs/>
          <w:color w:val="auto"/>
          <w:sz w:val="24"/>
          <w:highlight w:val="none"/>
        </w:rPr>
      </w:pPr>
      <w:r>
        <w:rPr>
          <w:bCs/>
          <w:color w:val="auto"/>
          <w:sz w:val="24"/>
          <w:highlight w:val="none"/>
        </w:rPr>
        <w:t>3</w:t>
      </w:r>
      <w:r>
        <w:rPr>
          <w:rFonts w:hAnsi="宋体"/>
          <w:bCs/>
          <w:color w:val="auto"/>
          <w:sz w:val="24"/>
          <w:highlight w:val="none"/>
        </w:rPr>
        <w:t>、</w:t>
      </w:r>
      <w:r>
        <w:rPr>
          <w:rFonts w:hAnsi="宋体"/>
          <w:b/>
          <w:bCs/>
          <w:color w:val="auto"/>
          <w:sz w:val="24"/>
          <w:highlight w:val="none"/>
        </w:rPr>
        <w:t>安全条款：</w:t>
      </w:r>
    </w:p>
    <w:p>
      <w:pPr>
        <w:spacing w:line="360" w:lineRule="auto"/>
        <w:rPr>
          <w:bCs/>
          <w:color w:val="auto"/>
          <w:sz w:val="24"/>
          <w:highlight w:val="none"/>
        </w:rPr>
      </w:pPr>
      <w:r>
        <w:rPr>
          <w:rFonts w:hAnsi="宋体"/>
          <w:bCs/>
          <w:color w:val="auto"/>
          <w:sz w:val="24"/>
          <w:highlight w:val="none"/>
        </w:rPr>
        <w:t>（</w:t>
      </w:r>
      <w:r>
        <w:rPr>
          <w:bCs/>
          <w:color w:val="auto"/>
          <w:sz w:val="24"/>
          <w:highlight w:val="none"/>
        </w:rPr>
        <w:t>1</w:t>
      </w:r>
      <w:r>
        <w:rPr>
          <w:rFonts w:hAnsi="宋体"/>
          <w:bCs/>
          <w:color w:val="auto"/>
          <w:sz w:val="24"/>
          <w:highlight w:val="none"/>
        </w:rPr>
        <w:t>）乙方在甲方院区内作业期间，应严格遵守甲方的各项规章制度。乙方人员的人身安全和由于日常作业不善引起的安全事故均由乙方负全部责任。</w:t>
      </w:r>
    </w:p>
    <w:p>
      <w:pPr>
        <w:spacing w:line="360" w:lineRule="auto"/>
        <w:rPr>
          <w:bCs/>
          <w:color w:val="auto"/>
          <w:sz w:val="24"/>
          <w:highlight w:val="none"/>
        </w:rPr>
      </w:pPr>
      <w:r>
        <w:rPr>
          <w:rFonts w:hAnsi="宋体"/>
          <w:bCs/>
          <w:color w:val="auto"/>
          <w:sz w:val="24"/>
          <w:highlight w:val="none"/>
        </w:rPr>
        <w:t>（</w:t>
      </w:r>
      <w:r>
        <w:rPr>
          <w:bCs/>
          <w:color w:val="auto"/>
          <w:sz w:val="24"/>
          <w:highlight w:val="none"/>
        </w:rPr>
        <w:t>2</w:t>
      </w:r>
      <w:r>
        <w:rPr>
          <w:rFonts w:hAnsi="宋体"/>
          <w:bCs/>
          <w:color w:val="auto"/>
          <w:sz w:val="24"/>
          <w:highlight w:val="none"/>
        </w:rPr>
        <w:t>）乙方应保证其工作人员具备承揽本项服务所需的相关资质，并承诺其工作人员在开始提供服务前已经通过乙方组织的工作培训并接收甲方安全教育。</w:t>
      </w:r>
    </w:p>
    <w:p>
      <w:pPr>
        <w:spacing w:line="360" w:lineRule="auto"/>
        <w:rPr>
          <w:bCs/>
          <w:color w:val="auto"/>
          <w:sz w:val="24"/>
          <w:highlight w:val="none"/>
        </w:rPr>
      </w:pPr>
      <w:r>
        <w:rPr>
          <w:rFonts w:hAnsi="宋体"/>
          <w:bCs/>
          <w:color w:val="auto"/>
          <w:sz w:val="24"/>
          <w:highlight w:val="none"/>
        </w:rPr>
        <w:t>（</w:t>
      </w:r>
      <w:r>
        <w:rPr>
          <w:bCs/>
          <w:color w:val="auto"/>
          <w:sz w:val="24"/>
          <w:highlight w:val="none"/>
        </w:rPr>
        <w:t>3</w:t>
      </w:r>
      <w:r>
        <w:rPr>
          <w:rFonts w:hAnsi="宋体"/>
          <w:bCs/>
          <w:color w:val="auto"/>
          <w:sz w:val="24"/>
          <w:highlight w:val="none"/>
        </w:rPr>
        <w:t>）在甲方提供的场地内履行协议的，不得进入其它与履行合同无关的场地，不得对甲方正常的生产经营活动产生影响，并保障该场所内的甲方设备、人员的安全。</w:t>
      </w:r>
    </w:p>
    <w:p>
      <w:pPr>
        <w:spacing w:line="360" w:lineRule="auto"/>
        <w:rPr>
          <w:bCs/>
          <w:color w:val="auto"/>
          <w:sz w:val="24"/>
          <w:highlight w:val="none"/>
        </w:rPr>
      </w:pPr>
      <w:r>
        <w:rPr>
          <w:rFonts w:hAnsi="宋体"/>
          <w:bCs/>
          <w:color w:val="auto"/>
          <w:sz w:val="24"/>
          <w:highlight w:val="none"/>
        </w:rPr>
        <w:t>（</w:t>
      </w:r>
      <w:r>
        <w:rPr>
          <w:bCs/>
          <w:color w:val="auto"/>
          <w:sz w:val="24"/>
          <w:highlight w:val="none"/>
        </w:rPr>
        <w:t>4</w:t>
      </w:r>
      <w:r>
        <w:rPr>
          <w:rFonts w:hAnsi="宋体"/>
          <w:bCs/>
          <w:color w:val="auto"/>
          <w:sz w:val="24"/>
          <w:highlight w:val="none"/>
        </w:rPr>
        <w:t>）如乙方履行或未妥善履行上述谨慎履行、通知等义务，造成甲方、乙方或第三方的人身、财产损失的，由乙方承担全部责任。</w:t>
      </w:r>
    </w:p>
    <w:p>
      <w:pPr>
        <w:spacing w:line="360" w:lineRule="auto"/>
        <w:rPr>
          <w:bCs/>
          <w:color w:val="auto"/>
          <w:sz w:val="24"/>
          <w:highlight w:val="none"/>
        </w:rPr>
      </w:pPr>
    </w:p>
    <w:p>
      <w:pPr>
        <w:spacing w:line="360" w:lineRule="auto"/>
        <w:rPr>
          <w:b/>
          <w:color w:val="auto"/>
          <w:sz w:val="24"/>
          <w:highlight w:val="none"/>
        </w:rPr>
      </w:pPr>
      <w:r>
        <w:rPr>
          <w:rFonts w:hAnsi="宋体"/>
          <w:b/>
          <w:color w:val="auto"/>
          <w:sz w:val="24"/>
          <w:highlight w:val="none"/>
        </w:rPr>
        <w:t>第十四条</w:t>
      </w:r>
      <w:r>
        <w:rPr>
          <w:rFonts w:hint="eastAsia" w:hAnsi="宋体"/>
          <w:b/>
          <w:color w:val="auto"/>
          <w:sz w:val="24"/>
          <w:highlight w:val="none"/>
        </w:rPr>
        <w:t xml:space="preserve">  </w:t>
      </w:r>
      <w:r>
        <w:rPr>
          <w:rFonts w:hAnsi="宋体"/>
          <w:b/>
          <w:color w:val="auto"/>
          <w:sz w:val="24"/>
          <w:highlight w:val="none"/>
        </w:rPr>
        <w:t>合同生效：</w:t>
      </w:r>
    </w:p>
    <w:p>
      <w:pPr>
        <w:spacing w:line="360" w:lineRule="auto"/>
        <w:rPr>
          <w:color w:val="auto"/>
          <w:sz w:val="24"/>
          <w:highlight w:val="none"/>
        </w:rPr>
      </w:pPr>
      <w:r>
        <w:rPr>
          <w:color w:val="auto"/>
          <w:sz w:val="24"/>
          <w:highlight w:val="none"/>
        </w:rPr>
        <w:t>1</w:t>
      </w:r>
      <w:r>
        <w:rPr>
          <w:rFonts w:hAnsi="宋体"/>
          <w:color w:val="auto"/>
          <w:sz w:val="24"/>
          <w:highlight w:val="none"/>
        </w:rPr>
        <w:t>、本合同自双方签字（盖章）之日起生效，有效期至工程费用结清后自动失效。</w:t>
      </w:r>
    </w:p>
    <w:p>
      <w:pPr>
        <w:spacing w:line="360" w:lineRule="auto"/>
        <w:rPr>
          <w:color w:val="auto"/>
          <w:sz w:val="24"/>
          <w:highlight w:val="none"/>
        </w:rPr>
      </w:pPr>
      <w:r>
        <w:rPr>
          <w:color w:val="auto"/>
          <w:sz w:val="24"/>
          <w:highlight w:val="none"/>
        </w:rPr>
        <w:t>2</w:t>
      </w:r>
      <w:r>
        <w:rPr>
          <w:rFonts w:hAnsi="宋体"/>
          <w:color w:val="auto"/>
          <w:sz w:val="24"/>
          <w:highlight w:val="none"/>
        </w:rPr>
        <w:t>、本合同一式</w:t>
      </w:r>
      <w:r>
        <w:rPr>
          <w:rFonts w:hAnsi="宋体"/>
          <w:color w:val="auto"/>
          <w:sz w:val="24"/>
          <w:highlight w:val="none"/>
          <w:u w:val="single"/>
        </w:rPr>
        <w:t>捌</w:t>
      </w:r>
      <w:r>
        <w:rPr>
          <w:rFonts w:hAnsi="宋体"/>
          <w:color w:val="auto"/>
          <w:sz w:val="24"/>
          <w:highlight w:val="none"/>
        </w:rPr>
        <w:t>份，甲方执</w:t>
      </w:r>
      <w:r>
        <w:rPr>
          <w:rFonts w:hAnsi="宋体"/>
          <w:color w:val="auto"/>
          <w:sz w:val="24"/>
          <w:highlight w:val="none"/>
          <w:u w:val="single"/>
        </w:rPr>
        <w:t>肆</w:t>
      </w:r>
      <w:r>
        <w:rPr>
          <w:rFonts w:hAnsi="宋体"/>
          <w:color w:val="auto"/>
          <w:sz w:val="24"/>
          <w:highlight w:val="none"/>
        </w:rPr>
        <w:t>份，乙方执</w:t>
      </w:r>
      <w:r>
        <w:rPr>
          <w:rFonts w:hAnsi="宋体"/>
          <w:color w:val="auto"/>
          <w:sz w:val="24"/>
          <w:highlight w:val="none"/>
          <w:u w:val="single"/>
        </w:rPr>
        <w:t>叁</w:t>
      </w:r>
      <w:r>
        <w:rPr>
          <w:rFonts w:hAnsi="宋体"/>
          <w:color w:val="auto"/>
          <w:sz w:val="24"/>
          <w:highlight w:val="none"/>
        </w:rPr>
        <w:t>份，浙江开平企业管理咨询有限公司执</w:t>
      </w:r>
      <w:r>
        <w:rPr>
          <w:rFonts w:hAnsi="宋体"/>
          <w:color w:val="auto"/>
          <w:sz w:val="24"/>
          <w:highlight w:val="none"/>
          <w:u w:val="single"/>
        </w:rPr>
        <w:t>壹</w:t>
      </w:r>
      <w:r>
        <w:rPr>
          <w:rFonts w:hAnsi="宋体"/>
          <w:color w:val="auto"/>
          <w:sz w:val="24"/>
          <w:highlight w:val="none"/>
        </w:rPr>
        <w:t>份，均具同等效力。</w:t>
      </w:r>
    </w:p>
    <w:p>
      <w:pPr>
        <w:widowControl/>
        <w:spacing w:line="360" w:lineRule="auto"/>
        <w:ind w:firstLine="241" w:firstLineChars="100"/>
        <w:jc w:val="left"/>
        <w:rPr>
          <w:rFonts w:hint="eastAsia"/>
          <w:b/>
          <w:bCs/>
          <w:color w:val="auto"/>
          <w:kern w:val="0"/>
          <w:sz w:val="24"/>
          <w:highlight w:val="none"/>
        </w:rPr>
      </w:pPr>
    </w:p>
    <w:p>
      <w:pPr>
        <w:widowControl/>
        <w:spacing w:line="360" w:lineRule="auto"/>
        <w:ind w:firstLine="240" w:firstLineChars="100"/>
        <w:jc w:val="left"/>
        <w:rPr>
          <w:color w:val="auto"/>
          <w:kern w:val="0"/>
          <w:sz w:val="24"/>
          <w:highlight w:val="none"/>
        </w:rPr>
      </w:pPr>
      <w:r>
        <w:rPr>
          <w:rFonts w:hint="eastAsia"/>
          <w:color w:val="auto"/>
          <w:kern w:val="0"/>
          <w:sz w:val="24"/>
          <w:highlight w:val="none"/>
        </w:rPr>
        <w:t>甲</w:t>
      </w:r>
      <w:r>
        <w:rPr>
          <w:color w:val="auto"/>
          <w:kern w:val="0"/>
          <w:sz w:val="24"/>
          <w:highlight w:val="none"/>
        </w:rPr>
        <w:t>方：____________________</w:t>
      </w:r>
      <w:r>
        <w:rPr>
          <w:rFonts w:hint="eastAsia"/>
          <w:color w:val="auto"/>
          <w:kern w:val="0"/>
          <w:sz w:val="24"/>
          <w:highlight w:val="none"/>
        </w:rPr>
        <w:t xml:space="preserve">    乙</w:t>
      </w:r>
      <w:r>
        <w:rPr>
          <w:color w:val="auto"/>
          <w:kern w:val="0"/>
          <w:sz w:val="24"/>
          <w:highlight w:val="none"/>
        </w:rPr>
        <w:t>方：________________________</w:t>
      </w:r>
    </w:p>
    <w:p>
      <w:pPr>
        <w:widowControl/>
        <w:spacing w:line="360" w:lineRule="auto"/>
        <w:ind w:firstLine="240" w:firstLineChars="100"/>
        <w:jc w:val="left"/>
        <w:rPr>
          <w:color w:val="auto"/>
          <w:kern w:val="0"/>
          <w:sz w:val="24"/>
          <w:highlight w:val="none"/>
        </w:rPr>
      </w:pPr>
      <w:r>
        <w:rPr>
          <w:color w:val="auto"/>
          <w:kern w:val="0"/>
          <w:sz w:val="24"/>
          <w:highlight w:val="none"/>
        </w:rPr>
        <w:t>地址：____________________</w:t>
      </w:r>
      <w:r>
        <w:rPr>
          <w:rFonts w:hint="eastAsia"/>
          <w:color w:val="auto"/>
          <w:kern w:val="0"/>
          <w:sz w:val="24"/>
          <w:highlight w:val="none"/>
        </w:rPr>
        <w:t xml:space="preserve">    </w:t>
      </w:r>
      <w:r>
        <w:rPr>
          <w:color w:val="auto"/>
          <w:kern w:val="0"/>
          <w:sz w:val="24"/>
          <w:highlight w:val="none"/>
        </w:rPr>
        <w:t>地址：________________________</w:t>
      </w:r>
    </w:p>
    <w:p>
      <w:pPr>
        <w:widowControl/>
        <w:spacing w:line="360" w:lineRule="auto"/>
        <w:ind w:firstLine="240" w:firstLineChars="100"/>
        <w:jc w:val="left"/>
        <w:rPr>
          <w:color w:val="auto"/>
          <w:kern w:val="0"/>
          <w:sz w:val="24"/>
          <w:highlight w:val="none"/>
        </w:rPr>
      </w:pPr>
      <w:r>
        <w:rPr>
          <w:color w:val="auto"/>
          <w:kern w:val="0"/>
          <w:sz w:val="24"/>
          <w:highlight w:val="none"/>
        </w:rPr>
        <w:t>法定代表人：</w:t>
      </w:r>
      <w:r>
        <w:rPr>
          <w:rFonts w:hint="eastAsia"/>
          <w:color w:val="auto"/>
          <w:kern w:val="0"/>
          <w:sz w:val="24"/>
          <w:highlight w:val="none"/>
          <w:u w:val="single"/>
        </w:rPr>
        <w:t xml:space="preserve">              </w:t>
      </w:r>
      <w:r>
        <w:rPr>
          <w:rFonts w:hint="eastAsia"/>
          <w:color w:val="auto"/>
          <w:kern w:val="0"/>
          <w:sz w:val="24"/>
          <w:highlight w:val="none"/>
        </w:rPr>
        <w:t xml:space="preserve">    </w:t>
      </w:r>
      <w:r>
        <w:rPr>
          <w:color w:val="auto"/>
          <w:kern w:val="0"/>
          <w:sz w:val="24"/>
          <w:highlight w:val="none"/>
        </w:rPr>
        <w:t>法定代表人：__________________</w:t>
      </w:r>
    </w:p>
    <w:p>
      <w:pPr>
        <w:widowControl/>
        <w:spacing w:line="360" w:lineRule="auto"/>
        <w:ind w:firstLine="240" w:firstLineChars="100"/>
        <w:jc w:val="left"/>
        <w:rPr>
          <w:color w:val="auto"/>
          <w:kern w:val="0"/>
          <w:sz w:val="24"/>
          <w:highlight w:val="none"/>
        </w:rPr>
      </w:pPr>
      <w:r>
        <w:rPr>
          <w:color w:val="auto"/>
          <w:kern w:val="0"/>
          <w:sz w:val="24"/>
          <w:highlight w:val="none"/>
        </w:rPr>
        <w:t>授权代表：</w:t>
      </w:r>
      <w:r>
        <w:rPr>
          <w:rFonts w:hint="eastAsia"/>
          <w:color w:val="auto"/>
          <w:kern w:val="0"/>
          <w:sz w:val="24"/>
          <w:highlight w:val="none"/>
          <w:u w:val="single"/>
        </w:rPr>
        <w:t xml:space="preserve">                </w:t>
      </w:r>
      <w:r>
        <w:rPr>
          <w:rFonts w:hint="eastAsia"/>
          <w:color w:val="auto"/>
          <w:kern w:val="0"/>
          <w:sz w:val="24"/>
          <w:highlight w:val="none"/>
        </w:rPr>
        <w:t xml:space="preserve">    </w:t>
      </w:r>
      <w:r>
        <w:rPr>
          <w:color w:val="auto"/>
          <w:kern w:val="0"/>
          <w:sz w:val="24"/>
          <w:highlight w:val="none"/>
        </w:rPr>
        <w:t>授权代表：____________________</w:t>
      </w:r>
    </w:p>
    <w:p>
      <w:pPr>
        <w:widowControl/>
        <w:spacing w:line="360" w:lineRule="auto"/>
        <w:ind w:firstLine="240" w:firstLineChars="100"/>
        <w:jc w:val="left"/>
        <w:rPr>
          <w:color w:val="auto"/>
          <w:kern w:val="0"/>
          <w:sz w:val="24"/>
          <w:highlight w:val="none"/>
        </w:rPr>
      </w:pPr>
      <w:r>
        <w:rPr>
          <w:color w:val="auto"/>
          <w:kern w:val="0"/>
          <w:sz w:val="24"/>
          <w:highlight w:val="none"/>
        </w:rPr>
        <w:t>电话：____________________</w:t>
      </w:r>
      <w:r>
        <w:rPr>
          <w:rFonts w:hint="eastAsia"/>
          <w:color w:val="auto"/>
          <w:kern w:val="0"/>
          <w:sz w:val="24"/>
          <w:highlight w:val="none"/>
        </w:rPr>
        <w:t xml:space="preserve">    </w:t>
      </w:r>
      <w:r>
        <w:rPr>
          <w:color w:val="auto"/>
          <w:kern w:val="0"/>
          <w:sz w:val="24"/>
          <w:highlight w:val="none"/>
        </w:rPr>
        <w:t>电话：________________________</w:t>
      </w:r>
    </w:p>
    <w:p>
      <w:pPr>
        <w:widowControl/>
        <w:spacing w:line="360" w:lineRule="auto"/>
        <w:ind w:firstLine="240" w:firstLineChars="100"/>
        <w:jc w:val="left"/>
        <w:rPr>
          <w:color w:val="auto"/>
          <w:kern w:val="0"/>
          <w:sz w:val="24"/>
          <w:highlight w:val="none"/>
        </w:rPr>
      </w:pPr>
      <w:r>
        <w:rPr>
          <w:color w:val="auto"/>
          <w:kern w:val="0"/>
          <w:sz w:val="24"/>
          <w:highlight w:val="none"/>
        </w:rPr>
        <w:t>帐户名称：</w:t>
      </w:r>
      <w:r>
        <w:rPr>
          <w:rFonts w:hint="eastAsia"/>
          <w:color w:val="auto"/>
          <w:kern w:val="0"/>
          <w:sz w:val="24"/>
          <w:highlight w:val="none"/>
          <w:u w:val="single"/>
        </w:rPr>
        <w:t xml:space="preserve">                </w:t>
      </w:r>
      <w:r>
        <w:rPr>
          <w:rFonts w:hint="eastAsia"/>
          <w:color w:val="auto"/>
          <w:kern w:val="0"/>
          <w:sz w:val="24"/>
          <w:highlight w:val="none"/>
        </w:rPr>
        <w:t xml:space="preserve">    </w:t>
      </w:r>
      <w:r>
        <w:rPr>
          <w:color w:val="auto"/>
          <w:kern w:val="0"/>
          <w:sz w:val="24"/>
          <w:highlight w:val="none"/>
        </w:rPr>
        <w:t>帐户名称：____________________</w:t>
      </w:r>
    </w:p>
    <w:p>
      <w:pPr>
        <w:widowControl/>
        <w:spacing w:line="360" w:lineRule="auto"/>
        <w:ind w:firstLine="240" w:firstLineChars="100"/>
        <w:jc w:val="left"/>
        <w:rPr>
          <w:color w:val="auto"/>
          <w:kern w:val="0"/>
          <w:sz w:val="24"/>
          <w:highlight w:val="none"/>
        </w:rPr>
      </w:pPr>
      <w:r>
        <w:rPr>
          <w:color w:val="auto"/>
          <w:kern w:val="0"/>
          <w:sz w:val="24"/>
          <w:highlight w:val="none"/>
        </w:rPr>
        <w:t>开户银行：</w:t>
      </w:r>
      <w:r>
        <w:rPr>
          <w:rFonts w:hint="eastAsia"/>
          <w:color w:val="auto"/>
          <w:kern w:val="0"/>
          <w:sz w:val="24"/>
          <w:highlight w:val="none"/>
          <w:u w:val="single"/>
        </w:rPr>
        <w:t xml:space="preserve">                </w:t>
      </w:r>
      <w:r>
        <w:rPr>
          <w:rFonts w:hint="eastAsia"/>
          <w:color w:val="auto"/>
          <w:kern w:val="0"/>
          <w:sz w:val="24"/>
          <w:highlight w:val="none"/>
        </w:rPr>
        <w:t xml:space="preserve">    </w:t>
      </w:r>
      <w:r>
        <w:rPr>
          <w:color w:val="auto"/>
          <w:kern w:val="0"/>
          <w:sz w:val="24"/>
          <w:highlight w:val="none"/>
        </w:rPr>
        <w:t>开户银行：____________________</w:t>
      </w:r>
    </w:p>
    <w:p>
      <w:pPr>
        <w:widowControl/>
        <w:spacing w:line="360" w:lineRule="auto"/>
        <w:ind w:firstLine="240" w:firstLineChars="100"/>
        <w:jc w:val="left"/>
        <w:rPr>
          <w:color w:val="auto"/>
          <w:kern w:val="0"/>
          <w:sz w:val="24"/>
          <w:highlight w:val="none"/>
        </w:rPr>
      </w:pPr>
      <w:r>
        <w:rPr>
          <w:color w:val="auto"/>
          <w:kern w:val="0"/>
          <w:sz w:val="24"/>
          <w:highlight w:val="none"/>
        </w:rPr>
        <w:t>帐号：____________________</w:t>
      </w:r>
      <w:r>
        <w:rPr>
          <w:rFonts w:hint="eastAsia"/>
          <w:color w:val="auto"/>
          <w:kern w:val="0"/>
          <w:sz w:val="24"/>
          <w:highlight w:val="none"/>
        </w:rPr>
        <w:t xml:space="preserve">    </w:t>
      </w:r>
      <w:r>
        <w:rPr>
          <w:color w:val="auto"/>
          <w:kern w:val="0"/>
          <w:sz w:val="24"/>
          <w:highlight w:val="none"/>
        </w:rPr>
        <w:t>帐号：_______________________</w:t>
      </w:r>
    </w:p>
    <w:p>
      <w:pPr>
        <w:widowControl/>
        <w:spacing w:line="360" w:lineRule="auto"/>
        <w:ind w:firstLine="240" w:firstLineChars="100"/>
        <w:jc w:val="left"/>
        <w:rPr>
          <w:color w:val="auto"/>
          <w:kern w:val="0"/>
          <w:sz w:val="24"/>
          <w:highlight w:val="none"/>
        </w:rPr>
      </w:pPr>
    </w:p>
    <w:p>
      <w:pPr>
        <w:widowControl/>
        <w:spacing w:line="360" w:lineRule="auto"/>
        <w:ind w:firstLine="240" w:firstLineChars="100"/>
        <w:jc w:val="left"/>
        <w:rPr>
          <w:color w:val="auto"/>
          <w:kern w:val="0"/>
          <w:sz w:val="24"/>
          <w:highlight w:val="none"/>
        </w:rPr>
      </w:pPr>
      <w:r>
        <w:rPr>
          <w:color w:val="auto"/>
          <w:kern w:val="0"/>
          <w:sz w:val="24"/>
          <w:highlight w:val="none"/>
        </w:rPr>
        <w:t>签约时间：</w:t>
      </w:r>
      <w:r>
        <w:rPr>
          <w:rFonts w:hint="eastAsia"/>
          <w:color w:val="auto"/>
          <w:kern w:val="0"/>
          <w:sz w:val="24"/>
          <w:highlight w:val="none"/>
          <w:u w:val="single"/>
        </w:rPr>
        <w:t xml:space="preserve">                </w:t>
      </w:r>
      <w:r>
        <w:rPr>
          <w:rFonts w:hint="eastAsia"/>
          <w:color w:val="auto"/>
          <w:kern w:val="0"/>
          <w:sz w:val="24"/>
          <w:highlight w:val="none"/>
        </w:rPr>
        <w:t xml:space="preserve">   </w:t>
      </w:r>
      <w:r>
        <w:rPr>
          <w:color w:val="auto"/>
          <w:kern w:val="0"/>
          <w:sz w:val="24"/>
          <w:highlight w:val="none"/>
        </w:rPr>
        <w:t>签约地点：</w:t>
      </w:r>
      <w:r>
        <w:rPr>
          <w:rFonts w:hint="eastAsia"/>
          <w:color w:val="auto"/>
          <w:sz w:val="24"/>
          <w:highlight w:val="none"/>
          <w:u w:val="single"/>
        </w:rPr>
        <w:t xml:space="preserve">                    </w:t>
      </w:r>
    </w:p>
    <w:p>
      <w:pPr>
        <w:widowControl/>
        <w:spacing w:line="360" w:lineRule="auto"/>
        <w:ind w:firstLine="210" w:firstLineChars="100"/>
        <w:jc w:val="left"/>
        <w:rPr>
          <w:color w:val="auto"/>
          <w:kern w:val="0"/>
          <w:highlight w:val="none"/>
        </w:rPr>
      </w:pPr>
    </w:p>
    <w:p>
      <w:pPr>
        <w:spacing w:line="440" w:lineRule="exact"/>
        <w:rPr>
          <w:color w:val="auto"/>
          <w:szCs w:val="21"/>
          <w:highlight w:val="none"/>
        </w:rPr>
      </w:pPr>
    </w:p>
    <w:p>
      <w:pPr>
        <w:spacing w:line="440" w:lineRule="exact"/>
        <w:rPr>
          <w:color w:val="auto"/>
          <w:szCs w:val="21"/>
          <w:highlight w:val="none"/>
        </w:rPr>
      </w:pPr>
    </w:p>
    <w:p>
      <w:pPr>
        <w:rPr>
          <w:rFonts w:hint="default"/>
          <w:color w:val="auto"/>
          <w:highlight w:val="none"/>
          <w:lang w:val="en-US" w:eastAsia="zh-CN"/>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06E2D"/>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0BA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3739A"/>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4953"/>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B65E6"/>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5317"/>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46E47"/>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011D"/>
    <w:rsid w:val="00B3705B"/>
    <w:rsid w:val="00B41026"/>
    <w:rsid w:val="00B4301E"/>
    <w:rsid w:val="00B43659"/>
    <w:rsid w:val="00B45B95"/>
    <w:rsid w:val="00B474B2"/>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3E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6A66"/>
    <w:rsid w:val="00D876ED"/>
    <w:rsid w:val="00D91946"/>
    <w:rsid w:val="00D927C3"/>
    <w:rsid w:val="00D9475F"/>
    <w:rsid w:val="00D973AA"/>
    <w:rsid w:val="00DA50F7"/>
    <w:rsid w:val="00DA5F1E"/>
    <w:rsid w:val="00DA682A"/>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4F0C"/>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445C"/>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0FF4D3B"/>
    <w:rsid w:val="02BB3210"/>
    <w:rsid w:val="0745291C"/>
    <w:rsid w:val="07F5286F"/>
    <w:rsid w:val="11C23670"/>
    <w:rsid w:val="18056E99"/>
    <w:rsid w:val="18546780"/>
    <w:rsid w:val="19C57049"/>
    <w:rsid w:val="1D082569"/>
    <w:rsid w:val="206F09F3"/>
    <w:rsid w:val="2509790E"/>
    <w:rsid w:val="26C67855"/>
    <w:rsid w:val="26ED5B19"/>
    <w:rsid w:val="27E20E26"/>
    <w:rsid w:val="2CCA36F7"/>
    <w:rsid w:val="34F0240C"/>
    <w:rsid w:val="38AF58C2"/>
    <w:rsid w:val="3B2D3671"/>
    <w:rsid w:val="3D00506E"/>
    <w:rsid w:val="4F527362"/>
    <w:rsid w:val="53596270"/>
    <w:rsid w:val="544C0825"/>
    <w:rsid w:val="55CF6B0A"/>
    <w:rsid w:val="595318CA"/>
    <w:rsid w:val="5E4E6C1A"/>
    <w:rsid w:val="60D0369B"/>
    <w:rsid w:val="632A71C3"/>
    <w:rsid w:val="6D04256B"/>
    <w:rsid w:val="6FE94DA5"/>
    <w:rsid w:val="78782F41"/>
    <w:rsid w:val="7F39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09"/>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6"/>
    <w:semiHidden/>
    <w:unhideWhenUsed/>
    <w:qFormat/>
    <w:uiPriority w:val="99"/>
    <w:pPr>
      <w:spacing w:after="120"/>
    </w:pPr>
  </w:style>
  <w:style w:type="paragraph" w:styleId="4">
    <w:name w:val="Normal Indent"/>
    <w:basedOn w:val="1"/>
    <w:qFormat/>
    <w:uiPriority w:val="0"/>
    <w:pPr>
      <w:ind w:firstLine="420"/>
    </w:pPr>
    <w:rPr>
      <w:rFonts w:eastAsia="仿宋_GB2312"/>
      <w:sz w:val="32"/>
    </w:rPr>
  </w:style>
  <w:style w:type="paragraph" w:styleId="5">
    <w:name w:val="annotation text"/>
    <w:basedOn w:val="1"/>
    <w:link w:val="115"/>
    <w:semiHidden/>
    <w:unhideWhenUsed/>
    <w:qFormat/>
    <w:uiPriority w:val="99"/>
    <w:pPr>
      <w:jc w:val="left"/>
    </w:pPr>
  </w:style>
  <w:style w:type="paragraph" w:styleId="6">
    <w:name w:val="Body Text Indent"/>
    <w:basedOn w:val="1"/>
    <w:qFormat/>
    <w:uiPriority w:val="0"/>
    <w:pPr>
      <w:spacing w:after="120" w:afterLines="0"/>
      <w:ind w:left="420" w:leftChars="200"/>
    </w:pPr>
  </w:style>
  <w:style w:type="paragraph" w:styleId="7">
    <w:name w:val="Plain Text"/>
    <w:basedOn w:val="1"/>
    <w:link w:val="27"/>
    <w:unhideWhenUsed/>
    <w:qFormat/>
    <w:uiPriority w:val="0"/>
    <w:rPr>
      <w:rFonts w:ascii="宋体" w:hAnsi="Courier New" w:cs="Courier New"/>
      <w:szCs w:val="21"/>
    </w:rPr>
  </w:style>
  <w:style w:type="paragraph" w:styleId="8">
    <w:name w:val="Date"/>
    <w:basedOn w:val="1"/>
    <w:next w:val="1"/>
    <w:link w:val="32"/>
    <w:qFormat/>
    <w:uiPriority w:val="0"/>
    <w:pPr>
      <w:adjustRightInd w:val="0"/>
      <w:spacing w:line="312" w:lineRule="atLeast"/>
      <w:textAlignment w:val="baseline"/>
    </w:pPr>
    <w:rPr>
      <w:rFonts w:ascii="仿宋_GB2312" w:eastAsia="仿宋_GB2312"/>
      <w:kern w:val="0"/>
      <w:sz w:val="28"/>
    </w:rPr>
  </w:style>
  <w:style w:type="paragraph" w:styleId="9">
    <w:name w:val="Body Text Indent 2"/>
    <w:basedOn w:val="1"/>
    <w:link w:val="29"/>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0">
    <w:name w:val="Balloon Text"/>
    <w:basedOn w:val="1"/>
    <w:link w:val="108"/>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110"/>
    <w:qFormat/>
    <w:uiPriority w:val="0"/>
    <w:pPr>
      <w:spacing w:after="120" w:line="480" w:lineRule="auto"/>
    </w:pPr>
    <w:rPr>
      <w:szCs w:val="24"/>
    </w:rPr>
  </w:style>
  <w:style w:type="paragraph" w:styleId="14">
    <w:name w:val="HTML Preformatted"/>
    <w:basedOn w:val="1"/>
    <w:link w:val="26"/>
    <w:unhideWhenUsed/>
    <w:qFormat/>
    <w:uiPriority w:val="99"/>
    <w:rPr>
      <w:rFonts w:ascii="Courier New" w:hAnsi="Courier New" w:cs="Courier New" w:eastAsiaTheme="minorEastAsia"/>
      <w:szCs w:val="22"/>
    </w:r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6">
    <w:name w:val="annotation subject"/>
    <w:basedOn w:val="5"/>
    <w:next w:val="5"/>
    <w:link w:val="116"/>
    <w:semiHidden/>
    <w:unhideWhenUsed/>
    <w:qFormat/>
    <w:uiPriority w:val="99"/>
    <w:rPr>
      <w:b/>
      <w:bCs/>
    </w:rPr>
  </w:style>
  <w:style w:type="character" w:styleId="19">
    <w:name w:val="Strong"/>
    <w:basedOn w:val="18"/>
    <w:qFormat/>
    <w:uiPriority w:val="0"/>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800080"/>
      <w:u w:val="single"/>
    </w:rPr>
  </w:style>
  <w:style w:type="character" w:styleId="22">
    <w:name w:val="Hyperlink"/>
    <w:basedOn w:val="18"/>
    <w:unhideWhenUsed/>
    <w:qFormat/>
    <w:uiPriority w:val="99"/>
    <w:rPr>
      <w:color w:val="0000FF"/>
      <w:u w:val="single"/>
    </w:rPr>
  </w:style>
  <w:style w:type="character" w:styleId="23">
    <w:name w:val="annotation reference"/>
    <w:basedOn w:val="18"/>
    <w:semiHidden/>
    <w:unhideWhenUsed/>
    <w:qFormat/>
    <w:uiPriority w:val="99"/>
    <w:rPr>
      <w:sz w:val="21"/>
      <w:szCs w:val="21"/>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character" w:customStyle="1" w:styleId="26">
    <w:name w:val="HTML 预设格式 字符"/>
    <w:link w:val="14"/>
    <w:qFormat/>
    <w:uiPriority w:val="99"/>
    <w:rPr>
      <w:rFonts w:ascii="Courier New" w:hAnsi="Courier New" w:cs="Courier New"/>
    </w:rPr>
  </w:style>
  <w:style w:type="character" w:customStyle="1" w:styleId="27">
    <w:name w:val="纯文本 字符"/>
    <w:basedOn w:val="18"/>
    <w:link w:val="7"/>
    <w:qFormat/>
    <w:uiPriority w:val="6"/>
    <w:rPr>
      <w:rFonts w:ascii="宋体" w:hAnsi="Courier New" w:eastAsia="宋体" w:cs="Courier New"/>
      <w:szCs w:val="21"/>
    </w:rPr>
  </w:style>
  <w:style w:type="character" w:customStyle="1" w:styleId="28">
    <w:name w:val="HTML 预设格式 Char1"/>
    <w:basedOn w:val="18"/>
    <w:semiHidden/>
    <w:qFormat/>
    <w:uiPriority w:val="99"/>
    <w:rPr>
      <w:rFonts w:ascii="Courier New" w:hAnsi="Courier New" w:eastAsia="宋体" w:cs="Courier New"/>
      <w:sz w:val="20"/>
      <w:szCs w:val="20"/>
    </w:rPr>
  </w:style>
  <w:style w:type="character" w:customStyle="1" w:styleId="29">
    <w:name w:val="正文文本缩进 2 字符"/>
    <w:basedOn w:val="18"/>
    <w:link w:val="9"/>
    <w:semiHidden/>
    <w:qFormat/>
    <w:uiPriority w:val="0"/>
    <w:rPr>
      <w:rFonts w:ascii="仿宋_GB2312" w:hAnsi="Times New Roman" w:eastAsia="仿宋_GB2312" w:cs="Times New Roman"/>
      <w:kern w:val="0"/>
      <w:sz w:val="28"/>
      <w:szCs w:val="20"/>
    </w:rPr>
  </w:style>
  <w:style w:type="paragraph" w:styleId="30">
    <w:name w:val="List Paragraph"/>
    <w:basedOn w:val="1"/>
    <w:qFormat/>
    <w:uiPriority w:val="34"/>
    <w:pPr>
      <w:ind w:firstLine="420" w:firstLineChars="200"/>
    </w:pPr>
  </w:style>
  <w:style w:type="character" w:customStyle="1" w:styleId="31">
    <w:name w:val="tpc_content1"/>
    <w:basedOn w:val="18"/>
    <w:qFormat/>
    <w:uiPriority w:val="0"/>
    <w:rPr>
      <w:sz w:val="20"/>
      <w:szCs w:val="20"/>
    </w:rPr>
  </w:style>
  <w:style w:type="character" w:customStyle="1" w:styleId="32">
    <w:name w:val="日期 字符"/>
    <w:basedOn w:val="18"/>
    <w:link w:val="8"/>
    <w:semiHidden/>
    <w:qFormat/>
    <w:uiPriority w:val="0"/>
    <w:rPr>
      <w:rFonts w:ascii="仿宋_GB2312" w:hAnsi="Times New Roman" w:eastAsia="仿宋_GB2312" w:cs="Times New Roman"/>
      <w:kern w:val="0"/>
      <w:sz w:val="28"/>
      <w:szCs w:val="20"/>
    </w:rPr>
  </w:style>
  <w:style w:type="paragraph" w:customStyle="1" w:styleId="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6">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7">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
    <w:name w:val="font10"/>
    <w:basedOn w:val="1"/>
    <w:qFormat/>
    <w:uiPriority w:val="0"/>
    <w:pPr>
      <w:widowControl/>
      <w:spacing w:before="100" w:beforeAutospacing="1" w:after="100" w:afterAutospacing="1"/>
      <w:jc w:val="left"/>
    </w:pPr>
    <w:rPr>
      <w:kern w:val="0"/>
      <w:sz w:val="24"/>
      <w:szCs w:val="24"/>
    </w:rPr>
  </w:style>
  <w:style w:type="paragraph" w:customStyle="1" w:styleId="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2">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60">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7">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3">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5">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6">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7">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1">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3">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6">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10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2">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3">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4">
    <w:name w:val="纯文本 Char1"/>
    <w:qFormat/>
    <w:uiPriority w:val="0"/>
    <w:rPr>
      <w:rFonts w:ascii="宋体" w:hAnsi="Courier New" w:eastAsia="宋体"/>
      <w:kern w:val="2"/>
      <w:sz w:val="24"/>
      <w:szCs w:val="24"/>
      <w:lang w:val="en-US" w:eastAsia="zh-CN" w:bidi="ar-SA"/>
    </w:rPr>
  </w:style>
  <w:style w:type="paragraph" w:customStyle="1" w:styleId="105">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6">
    <w:name w:val="正文文本 字符"/>
    <w:basedOn w:val="18"/>
    <w:link w:val="2"/>
    <w:semiHidden/>
    <w:qFormat/>
    <w:uiPriority w:val="99"/>
    <w:rPr>
      <w:rFonts w:ascii="Times New Roman" w:hAnsi="Times New Roman" w:eastAsia="宋体" w:cs="Times New Roman"/>
      <w:szCs w:val="20"/>
    </w:rPr>
  </w:style>
  <w:style w:type="paragraph" w:customStyle="1" w:styleId="107">
    <w:name w:val="默认段落字体 Para Char Char Char Char Char Char Char Char Char1 Char Char Char Char"/>
    <w:basedOn w:val="1"/>
    <w:qFormat/>
    <w:uiPriority w:val="0"/>
    <w:rPr>
      <w:rFonts w:ascii="Tahoma" w:hAnsi="Tahoma"/>
      <w:sz w:val="24"/>
    </w:rPr>
  </w:style>
  <w:style w:type="character" w:customStyle="1" w:styleId="108">
    <w:name w:val="批注框文本 字符"/>
    <w:basedOn w:val="18"/>
    <w:link w:val="10"/>
    <w:semiHidden/>
    <w:qFormat/>
    <w:uiPriority w:val="99"/>
    <w:rPr>
      <w:rFonts w:ascii="Times New Roman" w:hAnsi="Times New Roman" w:eastAsia="宋体" w:cs="Times New Roman"/>
      <w:sz w:val="18"/>
      <w:szCs w:val="18"/>
    </w:rPr>
  </w:style>
  <w:style w:type="character" w:customStyle="1" w:styleId="109">
    <w:name w:val="标题 2 字符"/>
    <w:basedOn w:val="18"/>
    <w:link w:val="3"/>
    <w:qFormat/>
    <w:uiPriority w:val="0"/>
    <w:rPr>
      <w:rFonts w:ascii="Arial" w:hAnsi="Arial" w:eastAsia="黑体" w:cs="Times New Roman"/>
      <w:b/>
      <w:bCs/>
      <w:sz w:val="32"/>
      <w:szCs w:val="32"/>
    </w:rPr>
  </w:style>
  <w:style w:type="character" w:customStyle="1" w:styleId="110">
    <w:name w:val="正文文本 2 字符"/>
    <w:basedOn w:val="18"/>
    <w:link w:val="13"/>
    <w:qFormat/>
    <w:uiPriority w:val="0"/>
    <w:rPr>
      <w:rFonts w:ascii="Times New Roman" w:hAnsi="Times New Roman" w:eastAsia="宋体" w:cs="Times New Roman"/>
      <w:szCs w:val="24"/>
    </w:rPr>
  </w:style>
  <w:style w:type="character" w:customStyle="1" w:styleId="111">
    <w:name w:val="纯文本 Char2"/>
    <w:qFormat/>
    <w:uiPriority w:val="99"/>
    <w:rPr>
      <w:rFonts w:ascii="宋体" w:hAnsi="Courier New" w:eastAsia="宋体"/>
      <w:kern w:val="2"/>
      <w:sz w:val="21"/>
      <w:lang w:val="en-US" w:eastAsia="zh-CN" w:bidi="ar-SA"/>
    </w:rPr>
  </w:style>
  <w:style w:type="character" w:customStyle="1" w:styleId="112">
    <w:name w:val="NormalCharacter"/>
    <w:qFormat/>
    <w:uiPriority w:val="0"/>
  </w:style>
  <w:style w:type="character" w:customStyle="1" w:styleId="113">
    <w:name w:val="font01"/>
    <w:basedOn w:val="18"/>
    <w:qFormat/>
    <w:uiPriority w:val="0"/>
    <w:rPr>
      <w:rFonts w:hint="eastAsia" w:ascii="宋体" w:hAnsi="宋体" w:eastAsia="宋体" w:cs="宋体"/>
      <w:color w:val="000000"/>
      <w:sz w:val="22"/>
      <w:szCs w:val="22"/>
      <w:u w:val="none"/>
    </w:rPr>
  </w:style>
  <w:style w:type="paragraph" w:customStyle="1" w:styleId="114">
    <w:name w:val="纯文本1"/>
    <w:basedOn w:val="1"/>
    <w:qFormat/>
    <w:uiPriority w:val="0"/>
    <w:rPr>
      <w:rFonts w:ascii="宋体" w:hAnsi="Courier New" w:cs="Courier New"/>
      <w:szCs w:val="21"/>
    </w:rPr>
  </w:style>
  <w:style w:type="character" w:customStyle="1" w:styleId="115">
    <w:name w:val="批注文字 字符"/>
    <w:basedOn w:val="18"/>
    <w:link w:val="5"/>
    <w:semiHidden/>
    <w:qFormat/>
    <w:uiPriority w:val="99"/>
    <w:rPr>
      <w:kern w:val="2"/>
      <w:sz w:val="21"/>
    </w:rPr>
  </w:style>
  <w:style w:type="character" w:customStyle="1" w:styleId="116">
    <w:name w:val="批注主题 字符"/>
    <w:basedOn w:val="115"/>
    <w:link w:val="16"/>
    <w:semiHidden/>
    <w:qFormat/>
    <w:uiPriority w:val="99"/>
    <w:rPr>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21D3E6-B3A9-4EF5-8AE1-3B4600B8FAA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25</Pages>
  <Words>11986</Words>
  <Characters>12751</Characters>
  <Lines>169</Lines>
  <Paragraphs>47</Paragraphs>
  <TotalTime>9</TotalTime>
  <ScaleCrop>false</ScaleCrop>
  <LinksUpToDate>false</LinksUpToDate>
  <CharactersWithSpaces>14335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姚+翔=翱翔</cp:lastModifiedBy>
  <cp:lastPrinted>2015-07-08T07:44:00Z</cp:lastPrinted>
  <dcterms:modified xsi:type="dcterms:W3CDTF">2022-04-05T01:48:00Z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A3A564DEBC854E658E37C4B0F0F3B666</vt:lpwstr>
  </property>
</Properties>
</file>