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仿宋_GB2312" w:hAnsi="仿宋" w:eastAsia="仿宋_GB2312"/>
          <w:b/>
          <w:sz w:val="44"/>
          <w:szCs w:val="44"/>
        </w:rPr>
      </w:pPr>
    </w:p>
    <w:p>
      <w:pPr>
        <w:adjustRightInd/>
        <w:spacing w:line="360" w:lineRule="auto"/>
        <w:jc w:val="center"/>
        <w:rPr>
          <w:rFonts w:ascii="仿宋_GB2312" w:hAnsi="仿宋" w:eastAsia="仿宋_GB2312"/>
          <w:b/>
          <w:sz w:val="44"/>
          <w:szCs w:val="44"/>
        </w:rPr>
      </w:pPr>
      <w:r>
        <w:rPr>
          <w:rFonts w:hint="eastAsia" w:ascii="仿宋_GB2312" w:hAnsi="仿宋" w:eastAsia="仿宋_GB2312"/>
          <w:b/>
          <w:sz w:val="44"/>
          <w:szCs w:val="44"/>
        </w:rPr>
        <w:t>浙江大学国际健康医学研究院2022-2023年度进口代理服务商遴选项目</w:t>
      </w:r>
    </w:p>
    <w:p>
      <w:pPr>
        <w:adjustRightInd/>
        <w:spacing w:line="360" w:lineRule="auto"/>
        <w:jc w:val="center"/>
        <w:rPr>
          <w:rFonts w:ascii="仿宋_GB2312" w:hAnsi="仿宋" w:eastAsia="仿宋_GB2312"/>
          <w:b/>
          <w:sz w:val="72"/>
          <w:szCs w:val="72"/>
        </w:rPr>
      </w:pPr>
    </w:p>
    <w:p>
      <w:pPr>
        <w:adjustRightInd/>
        <w:jc w:val="left"/>
      </w:pPr>
    </w:p>
    <w:p>
      <w:pPr>
        <w:adjustRightInd/>
        <w:spacing w:line="360" w:lineRule="auto"/>
        <w:jc w:val="center"/>
        <w:rPr>
          <w:rFonts w:ascii="仿宋_GB2312" w:hAnsi="仿宋" w:eastAsia="仿宋_GB2312"/>
          <w:b/>
          <w:sz w:val="72"/>
          <w:szCs w:val="72"/>
        </w:rPr>
      </w:pPr>
      <w:r>
        <w:rPr>
          <w:rFonts w:hint="eastAsia" w:ascii="仿宋_GB2312" w:hAnsi="仿宋" w:eastAsia="仿宋_GB2312"/>
          <w:b/>
          <w:sz w:val="72"/>
          <w:szCs w:val="72"/>
        </w:rPr>
        <w:t>采购文件</w:t>
      </w:r>
    </w:p>
    <w:p>
      <w:pPr>
        <w:snapToGrid w:val="0"/>
        <w:spacing w:line="360" w:lineRule="auto"/>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r>
        <w:rPr>
          <w:rFonts w:hint="eastAsia" w:ascii="仿宋_GB2312" w:eastAsia="仿宋_GB2312"/>
          <w:sz w:val="30"/>
          <w:szCs w:val="30"/>
        </w:rPr>
        <w:t>编号:</w:t>
      </w:r>
      <w:r>
        <w:rPr>
          <w:rFonts w:hint="eastAsia" w:ascii="仿宋_GB2312" w:eastAsia="仿宋_GB2312"/>
          <w:sz w:val="30"/>
          <w:szCs w:val="30"/>
          <w:highlight w:val="yellow"/>
        </w:rPr>
        <w:t xml:space="preserve"> ZYSYYN20220801</w:t>
      </w:r>
    </w:p>
    <w:p>
      <w:pPr>
        <w:adjustRightInd/>
        <w:spacing w:line="360" w:lineRule="auto"/>
        <w:rPr>
          <w:rFonts w:ascii="仿宋_GB2312" w:hAnsi="仿宋" w:eastAsia="仿宋_GB2312"/>
          <w:sz w:val="28"/>
          <w:szCs w:val="20"/>
        </w:rPr>
      </w:pPr>
    </w:p>
    <w:p>
      <w:pPr>
        <w:spacing w:line="360" w:lineRule="auto"/>
        <w:rPr>
          <w:rFonts w:ascii="仿宋_GB2312" w:hAnsi="仿宋" w:eastAsia="仿宋_GB2312"/>
          <w:sz w:val="24"/>
        </w:rPr>
      </w:pPr>
    </w:p>
    <w:p>
      <w:pPr>
        <w:spacing w:line="360" w:lineRule="auto"/>
        <w:rPr>
          <w:rFonts w:ascii="仿宋_GB2312" w:hAnsi="仿宋" w:eastAsia="仿宋_GB2312"/>
          <w:b/>
          <w:sz w:val="24"/>
        </w:rPr>
      </w:pPr>
      <w:r>
        <w:rPr>
          <w:rFonts w:hint="eastAsia" w:ascii="仿宋_GB2312" w:hAnsi="仿宋" w:eastAsia="仿宋_GB2312"/>
          <w:sz w:val="24"/>
        </w:rPr>
        <w:t xml:space="preserve">                                      </w:t>
      </w:r>
    </w:p>
    <w:p>
      <w:pPr>
        <w:snapToGrid w:val="0"/>
        <w:spacing w:line="360" w:lineRule="auto"/>
        <w:jc w:val="center"/>
        <w:rPr>
          <w:rFonts w:ascii="仿宋_GB2312" w:hAnsi="宋体" w:eastAsia="仿宋_GB2312"/>
          <w:sz w:val="32"/>
          <w:szCs w:val="32"/>
        </w:rPr>
      </w:pPr>
    </w:p>
    <w:p>
      <w:pPr>
        <w:spacing w:line="360" w:lineRule="auto"/>
        <w:jc w:val="center"/>
        <w:rPr>
          <w:rFonts w:ascii="仿宋_GB2312" w:eastAsia="仿宋_GB2312"/>
          <w:bCs/>
          <w:sz w:val="32"/>
          <w:szCs w:val="32"/>
        </w:rPr>
      </w:pPr>
      <w:r>
        <w:rPr>
          <w:rFonts w:hint="eastAsia" w:ascii="仿宋_GB2312" w:eastAsia="仿宋_GB2312"/>
          <w:bCs/>
          <w:sz w:val="32"/>
          <w:szCs w:val="32"/>
        </w:rPr>
        <w:t>浙江大学医学院附属第四医院招标管理办公室</w:t>
      </w:r>
    </w:p>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cs="宋体"/>
          <w:sz w:val="30"/>
          <w:szCs w:val="30"/>
        </w:rPr>
        <w:t>〇</w:t>
      </w:r>
      <w:r>
        <w:rPr>
          <w:rFonts w:hint="eastAsia" w:ascii="仿宋_GB2312" w:hAnsi="宋体" w:eastAsia="仿宋_GB2312"/>
          <w:sz w:val="30"/>
          <w:szCs w:val="30"/>
        </w:rPr>
        <w:t>二二年八月</w:t>
      </w:r>
    </w:p>
    <w:p>
      <w:pPr>
        <w:spacing w:line="360" w:lineRule="auto"/>
        <w:rPr>
          <w:rFonts w:ascii="仿宋_GB2312" w:hAnsi="仿宋" w:eastAsia="仿宋_GB2312"/>
          <w:b/>
          <w:sz w:val="24"/>
        </w:rPr>
      </w:pPr>
      <w:r>
        <w:rPr>
          <w:rFonts w:hint="eastAsia" w:ascii="仿宋_GB2312" w:hAnsi="仿宋" w:eastAsia="仿宋_GB2312"/>
          <w:sz w:val="24"/>
        </w:rPr>
        <w:br w:type="page"/>
      </w:r>
      <w:bookmarkStart w:id="0" w:name="_Hlt67893495"/>
      <w:bookmarkEnd w:id="0"/>
    </w:p>
    <w:p>
      <w:pPr>
        <w:spacing w:line="360" w:lineRule="auto"/>
        <w:jc w:val="center"/>
        <w:rPr>
          <w:rFonts w:ascii="仿宋_GB2312" w:hAnsi="仿宋" w:eastAsia="仿宋_GB2312"/>
          <w:b/>
          <w:sz w:val="48"/>
          <w:szCs w:val="48"/>
        </w:rPr>
      </w:pPr>
      <w:r>
        <w:rPr>
          <w:rFonts w:hint="eastAsia" w:ascii="仿宋_GB2312" w:hAnsi="仿宋" w:eastAsia="仿宋_GB2312"/>
          <w:b/>
          <w:sz w:val="48"/>
          <w:szCs w:val="48"/>
        </w:rPr>
        <w:t>目  录</w:t>
      </w:r>
    </w:p>
    <w:p>
      <w:pPr>
        <w:spacing w:line="360" w:lineRule="auto"/>
        <w:rPr>
          <w:rFonts w:ascii="仿宋_GB2312" w:hAnsi="仿宋" w:eastAsia="仿宋_GB2312"/>
          <w:sz w:val="32"/>
          <w:szCs w:val="32"/>
        </w:rPr>
      </w:pPr>
      <w:r>
        <w:rPr>
          <w:rFonts w:hint="eastAsia" w:ascii="仿宋_GB2312" w:hAnsi="仿宋" w:eastAsia="仿宋_GB2312"/>
          <w:sz w:val="32"/>
          <w:szCs w:val="32"/>
        </w:rPr>
        <w:t>第一部分      采购公告</w:t>
      </w:r>
    </w:p>
    <w:p>
      <w:pPr>
        <w:spacing w:line="360" w:lineRule="auto"/>
        <w:rPr>
          <w:rFonts w:ascii="仿宋_GB2312" w:hAnsi="仿宋" w:eastAsia="仿宋_GB2312"/>
          <w:sz w:val="36"/>
          <w:szCs w:val="20"/>
        </w:rPr>
      </w:pPr>
      <w:r>
        <w:rPr>
          <w:rFonts w:hint="eastAsia" w:ascii="仿宋_GB2312" w:hAnsi="仿宋" w:eastAsia="仿宋_GB2312"/>
          <w:sz w:val="32"/>
          <w:szCs w:val="32"/>
        </w:rPr>
        <w:t>第二部分      编制和提交采购响应文件须知</w:t>
      </w:r>
    </w:p>
    <w:p>
      <w:pPr>
        <w:spacing w:line="360" w:lineRule="auto"/>
        <w:rPr>
          <w:rFonts w:ascii="仿宋_GB2312" w:hAnsi="仿宋" w:eastAsia="仿宋_GB2312"/>
          <w:sz w:val="32"/>
          <w:szCs w:val="32"/>
        </w:rPr>
      </w:pPr>
      <w:r>
        <w:rPr>
          <w:rFonts w:hint="eastAsia" w:ascii="仿宋_GB2312" w:hAnsi="仿宋" w:eastAsia="仿宋_GB2312"/>
          <w:sz w:val="32"/>
          <w:szCs w:val="32"/>
        </w:rPr>
        <w:t>第三部分      评标办法及评分标准</w:t>
      </w:r>
    </w:p>
    <w:p>
      <w:pPr>
        <w:spacing w:line="360" w:lineRule="auto"/>
        <w:rPr>
          <w:rFonts w:ascii="仿宋_GB2312" w:hAnsi="仿宋" w:eastAsia="仿宋_GB2312"/>
          <w:sz w:val="32"/>
          <w:szCs w:val="32"/>
        </w:rPr>
      </w:pPr>
      <w:r>
        <w:rPr>
          <w:rFonts w:hint="eastAsia" w:ascii="仿宋_GB2312" w:hAnsi="仿宋" w:eastAsia="仿宋_GB2312"/>
          <w:sz w:val="32"/>
          <w:szCs w:val="32"/>
        </w:rPr>
        <w:t>第四部分      项目技术规范和服务要求</w:t>
      </w:r>
    </w:p>
    <w:p>
      <w:pPr>
        <w:spacing w:line="360" w:lineRule="auto"/>
        <w:rPr>
          <w:rFonts w:ascii="仿宋_GB2312" w:hAnsi="仿宋" w:eastAsia="仿宋_GB2312"/>
          <w:sz w:val="32"/>
          <w:szCs w:val="32"/>
        </w:rPr>
      </w:pPr>
      <w:r>
        <w:rPr>
          <w:rFonts w:hint="eastAsia" w:ascii="仿宋_GB2312" w:hAnsi="仿宋" w:eastAsia="仿宋_GB2312"/>
          <w:sz w:val="32"/>
          <w:szCs w:val="32"/>
        </w:rPr>
        <w:t>第五部分      采购合同主要条款</w:t>
      </w:r>
    </w:p>
    <w:p>
      <w:pPr>
        <w:spacing w:line="360" w:lineRule="auto"/>
        <w:rPr>
          <w:rFonts w:ascii="仿宋_GB2312" w:hAnsi="仿宋" w:eastAsia="仿宋_GB2312"/>
          <w:sz w:val="32"/>
          <w:szCs w:val="32"/>
        </w:rPr>
      </w:pPr>
      <w:r>
        <w:rPr>
          <w:rFonts w:hint="eastAsia" w:ascii="仿宋_GB2312" w:hAnsi="仿宋" w:eastAsia="仿宋_GB2312"/>
          <w:sz w:val="32"/>
          <w:szCs w:val="32"/>
        </w:rPr>
        <w:t>第六部分      应提交的有关格式范例</w:t>
      </w:r>
      <w:bookmarkStart w:id="1" w:name="_Hlt91233176"/>
      <w:bookmarkEnd w:id="1"/>
      <w:bookmarkStart w:id="2" w:name="_Toc91899869"/>
    </w:p>
    <w:p>
      <w:pPr>
        <w:adjustRightInd/>
        <w:spacing w:line="360" w:lineRule="auto"/>
        <w:jc w:val="center"/>
        <w:outlineLvl w:val="0"/>
        <w:rPr>
          <w:rFonts w:ascii="仿宋_GB2312" w:hAnsi="仿宋" w:eastAsia="仿宋_GB2312"/>
          <w:b/>
          <w:sz w:val="36"/>
          <w:szCs w:val="20"/>
        </w:rPr>
      </w:pPr>
      <w:bookmarkStart w:id="3" w:name="第一部分"/>
      <w:r>
        <w:rPr>
          <w:rFonts w:hint="eastAsia" w:ascii="仿宋_GB2312" w:hAnsi="仿宋" w:eastAsia="仿宋_GB2312"/>
          <w:b/>
          <w:sz w:val="36"/>
          <w:szCs w:val="36"/>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仿宋_GB2312" w:hAnsi="仿宋" w:eastAsia="仿宋_GB2312"/>
          <w:b/>
          <w:sz w:val="36"/>
          <w:szCs w:val="20"/>
        </w:rPr>
        <w:t>第一部分 采购公告</w:t>
      </w:r>
    </w:p>
    <w:p>
      <w:pPr>
        <w:snapToGrid w:val="0"/>
        <w:spacing w:line="360" w:lineRule="auto"/>
        <w:ind w:firstLine="420" w:firstLineChars="200"/>
        <w:rPr>
          <w:rFonts w:ascii="仿宋_GB2312" w:hAnsi="宋体" w:eastAsia="仿宋_GB2312"/>
        </w:rPr>
      </w:pPr>
      <w:r>
        <w:rPr>
          <w:rFonts w:hint="eastAsia" w:ascii="仿宋_GB2312" w:hAnsi="宋体" w:eastAsia="仿宋_GB2312"/>
        </w:rPr>
        <w:t>浙江大学国际健康医学研究院（以下简称研究院）就进口代理服务商遴选项目进行招标，欢迎国内合格的潜在投标人前来报名参加投标。现将有关事宜公告如下：</w:t>
      </w:r>
    </w:p>
    <w:p>
      <w:pPr>
        <w:pStyle w:val="9"/>
        <w:spacing w:line="360" w:lineRule="auto"/>
        <w:ind w:firstLine="413" w:firstLineChars="196"/>
        <w:rPr>
          <w:rFonts w:ascii="仿宋_GB2312" w:hAnsi="仿宋" w:eastAsia="仿宋_GB2312"/>
          <w:szCs w:val="24"/>
          <w:u w:val="single"/>
        </w:rPr>
      </w:pPr>
      <w:r>
        <w:rPr>
          <w:rFonts w:hint="eastAsia" w:ascii="仿宋_GB2312" w:hAnsi="仿宋" w:eastAsia="仿宋_GB2312"/>
          <w:b/>
          <w:szCs w:val="24"/>
        </w:rPr>
        <w:t>1、项目编号：</w:t>
      </w:r>
      <w:r>
        <w:rPr>
          <w:rFonts w:hint="eastAsia" w:ascii="仿宋_GB2312" w:hAnsi="仿宋" w:eastAsia="仿宋_GB2312"/>
          <w:szCs w:val="24"/>
          <w:highlight w:val="yellow"/>
          <w:u w:val="single"/>
        </w:rPr>
        <w:t>ZYSYYN20220801</w:t>
      </w:r>
    </w:p>
    <w:p>
      <w:pPr>
        <w:pStyle w:val="9"/>
        <w:spacing w:line="360" w:lineRule="auto"/>
        <w:ind w:firstLine="413" w:firstLineChars="196"/>
        <w:rPr>
          <w:rFonts w:ascii="仿宋_GB2312" w:hAnsi="宋体" w:eastAsia="仿宋_GB2312"/>
          <w:u w:val="single"/>
        </w:rPr>
      </w:pPr>
      <w:r>
        <w:rPr>
          <w:rFonts w:hint="eastAsia" w:ascii="仿宋_GB2312" w:hAnsi="仿宋" w:eastAsia="仿宋_GB2312"/>
          <w:b/>
          <w:szCs w:val="24"/>
        </w:rPr>
        <w:t>2、项目名称：</w:t>
      </w:r>
      <w:r>
        <w:rPr>
          <w:rFonts w:hint="eastAsia" w:ascii="仿宋_GB2312" w:hAnsi="宋体" w:eastAsia="仿宋_GB2312"/>
          <w:u w:val="single"/>
        </w:rPr>
        <w:t>浙江大学国际健康医学研究院2022-2023年度进口代理服务商遴选项目</w:t>
      </w:r>
    </w:p>
    <w:p>
      <w:pPr>
        <w:pStyle w:val="9"/>
        <w:spacing w:line="360" w:lineRule="auto"/>
        <w:ind w:firstLine="422" w:firstLineChars="200"/>
        <w:rPr>
          <w:rFonts w:ascii="仿宋_GB2312" w:hAnsi="仿宋" w:eastAsia="仿宋_GB2312"/>
          <w:szCs w:val="24"/>
        </w:rPr>
      </w:pPr>
      <w:r>
        <w:rPr>
          <w:rFonts w:hint="eastAsia" w:ascii="仿宋_GB2312" w:hAnsi="仿宋" w:eastAsia="仿宋_GB2312"/>
          <w:b/>
          <w:szCs w:val="24"/>
        </w:rPr>
        <w:t>3、采购方式：</w:t>
      </w:r>
      <w:r>
        <w:rPr>
          <w:rFonts w:hint="eastAsia" w:ascii="仿宋_GB2312" w:hAnsi="仿宋" w:eastAsia="仿宋_GB2312"/>
          <w:szCs w:val="21"/>
        </w:rPr>
        <w:t>单位自行组织采购</w:t>
      </w:r>
    </w:p>
    <w:p>
      <w:pPr>
        <w:spacing w:line="360" w:lineRule="auto"/>
        <w:ind w:firstLine="413" w:firstLineChars="196"/>
        <w:rPr>
          <w:rFonts w:ascii="仿宋_GB2312" w:hAnsi="仿宋" w:eastAsia="仿宋_GB2312"/>
        </w:rPr>
      </w:pPr>
      <w:r>
        <w:rPr>
          <w:rFonts w:hint="eastAsia" w:ascii="仿宋_GB2312" w:hAnsi="仿宋" w:eastAsia="仿宋_GB2312"/>
          <w:b/>
        </w:rPr>
        <w:t>4、招标范围：</w:t>
      </w:r>
    </w:p>
    <w:tbl>
      <w:tblPr>
        <w:tblStyle w:val="18"/>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标项</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1</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rPr>
            </w:pPr>
            <w:r>
              <w:rPr>
                <w:rFonts w:hint="eastAsia" w:ascii="仿宋_GB2312" w:hAnsi="宋体" w:eastAsia="仿宋_GB2312"/>
              </w:rPr>
              <w:t>浙江大学国际健康医学研究院2022-2023年度进口代理服务商遴选项目</w:t>
            </w:r>
          </w:p>
        </w:tc>
      </w:tr>
    </w:tbl>
    <w:p>
      <w:pPr>
        <w:spacing w:line="360" w:lineRule="auto"/>
        <w:ind w:firstLine="422" w:firstLineChars="200"/>
        <w:rPr>
          <w:rFonts w:ascii="仿宋_GB2312" w:eastAsia="仿宋_GB2312"/>
          <w:b/>
        </w:rPr>
      </w:pPr>
      <w:r>
        <w:rPr>
          <w:rFonts w:hint="eastAsia" w:ascii="仿宋_GB2312" w:eastAsia="仿宋_GB2312"/>
          <w:b/>
        </w:rPr>
        <w:t>5、合格的投标人应具备的资格要求：</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（1）基本资格条件：</w:t>
      </w:r>
      <w:r>
        <w:rPr>
          <w:rFonts w:hint="eastAsia" w:ascii="仿宋_GB2312" w:hAnsi="宋体" w:eastAsia="仿宋_GB2312" w:cs="Vrinda"/>
        </w:rPr>
        <w:t>投标人自2019年1月1日起到中标公告期结束前无行贿犯罪记录（评标结束后，发放中标通知书前由采购人通过中国裁判文书网（http://wenshu.court.gov.cn/）按照采购文件约定对拟中标单位的行贿犯罪记录进行查询，查询结果以网站页面显示内容为准）。</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（2）落实政府采购政策需满足的资格要求：无。</w:t>
      </w:r>
    </w:p>
    <w:p>
      <w:pPr>
        <w:snapToGrid w:val="0"/>
        <w:spacing w:line="360" w:lineRule="auto"/>
        <w:ind w:firstLine="420" w:firstLineChars="200"/>
        <w:rPr>
          <w:rFonts w:ascii="仿宋_GB2312" w:hAnsi="宋体" w:eastAsia="仿宋_GB2312"/>
        </w:rPr>
      </w:pPr>
      <w:r>
        <w:rPr>
          <w:rFonts w:hint="eastAsia" w:ascii="仿宋_GB2312" w:hAnsi="宋体" w:eastAsia="仿宋_GB2312"/>
        </w:rPr>
        <w:t>（3）符合《中华人民共和国政府采购法》第二十二条要求，具有独立法人资格，具有有效的《中华人民共和国海关报关单位注册登记证书》或海关进出口货物收发货人备案回执；</w:t>
      </w:r>
    </w:p>
    <w:p>
      <w:pPr>
        <w:snapToGrid w:val="0"/>
        <w:spacing w:line="360" w:lineRule="auto"/>
        <w:ind w:firstLine="420" w:firstLineChars="200"/>
        <w:rPr>
          <w:rFonts w:ascii="仿宋_GB2312" w:hAnsi="宋体" w:eastAsia="仿宋_GB2312"/>
        </w:rPr>
      </w:pPr>
      <w:r>
        <w:rPr>
          <w:rFonts w:hint="eastAsia" w:ascii="仿宋_GB2312" w:hAnsi="宋体" w:eastAsia="仿宋_GB2312"/>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p>
    <w:p>
      <w:pPr>
        <w:snapToGrid w:val="0"/>
        <w:spacing w:line="360" w:lineRule="auto"/>
        <w:ind w:firstLine="420" w:firstLineChars="200"/>
        <w:rPr>
          <w:rFonts w:ascii="仿宋_GB2312" w:hAnsi="宋体" w:eastAsia="仿宋_GB2312"/>
        </w:rPr>
      </w:pPr>
      <w:r>
        <w:rPr>
          <w:rFonts w:hint="eastAsia" w:ascii="仿宋_GB2312" w:hAnsi="宋体" w:eastAsia="仿宋_GB2312"/>
        </w:rPr>
        <w:t>（5）本项目不接受联合体投标，不允许分标和转标。</w:t>
      </w:r>
    </w:p>
    <w:p>
      <w:pPr>
        <w:spacing w:line="360" w:lineRule="auto"/>
        <w:ind w:firstLine="420" w:firstLineChars="200"/>
      </w:pPr>
      <w:r>
        <w:rPr>
          <w:rFonts w:hint="eastAsia" w:ascii="仿宋_GB2312" w:hAnsi="宋体" w:eastAsia="仿宋_GB2312"/>
        </w:rPr>
        <w:t>（6）本项目的特定资格要求：具有进口业务资质,在海关总署认证企业类型为一般信用企业及以上。</w:t>
      </w:r>
    </w:p>
    <w:p>
      <w:pPr>
        <w:pStyle w:val="2"/>
        <w:ind w:firstLine="0" w:firstLineChars="0"/>
      </w:pPr>
    </w:p>
    <w:p>
      <w:pPr>
        <w:pStyle w:val="8"/>
        <w:spacing w:line="360" w:lineRule="auto"/>
        <w:ind w:firstLine="405" w:firstLineChars="192"/>
        <w:rPr>
          <w:rFonts w:ascii="仿宋_GB2312" w:hAnsi="仿宋" w:eastAsia="仿宋_GB2312"/>
          <w:b/>
          <w:sz w:val="21"/>
        </w:rPr>
      </w:pPr>
      <w:r>
        <w:rPr>
          <w:rFonts w:hint="eastAsia" w:ascii="仿宋_GB2312" w:hAnsi="仿宋" w:eastAsia="仿宋_GB2312"/>
          <w:b/>
          <w:sz w:val="21"/>
        </w:rPr>
        <w:t>6、获取采购文件：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1、报名时间：</w:t>
      </w:r>
      <w:r>
        <w:rPr>
          <w:rFonts w:hint="eastAsia" w:ascii="仿宋_GB2312" w:hAnsi="宋体" w:eastAsia="仿宋_GB2312"/>
          <w:color w:val="0000FF"/>
        </w:rPr>
        <w:t>请有投标意向的单位自2022年</w:t>
      </w:r>
      <w:r>
        <w:rPr>
          <w:rFonts w:ascii="仿宋_GB2312" w:hAnsi="宋体" w:eastAsia="仿宋_GB2312"/>
          <w:color w:val="0000FF"/>
        </w:rPr>
        <w:t>8</w:t>
      </w:r>
      <w:r>
        <w:rPr>
          <w:rFonts w:hint="eastAsia" w:ascii="仿宋_GB2312" w:hAnsi="宋体" w:eastAsia="仿宋_GB2312"/>
          <w:color w:val="0000FF"/>
        </w:rPr>
        <w:t>月</w:t>
      </w:r>
      <w:r>
        <w:rPr>
          <w:rFonts w:ascii="仿宋_GB2312" w:hAnsi="宋体" w:eastAsia="仿宋_GB2312"/>
          <w:color w:val="0000FF"/>
        </w:rPr>
        <w:t>10</w:t>
      </w:r>
      <w:r>
        <w:rPr>
          <w:rFonts w:hint="eastAsia" w:ascii="仿宋_GB2312" w:hAnsi="宋体" w:eastAsia="仿宋_GB2312"/>
          <w:color w:val="0000FF"/>
        </w:rPr>
        <w:t>日至2022年</w:t>
      </w:r>
      <w:r>
        <w:rPr>
          <w:rFonts w:ascii="仿宋_GB2312" w:hAnsi="宋体" w:eastAsia="仿宋_GB2312"/>
          <w:color w:val="0000FF"/>
        </w:rPr>
        <w:t>8</w:t>
      </w:r>
      <w:r>
        <w:rPr>
          <w:rFonts w:hint="eastAsia" w:ascii="仿宋_GB2312" w:hAnsi="宋体" w:eastAsia="仿宋_GB2312"/>
          <w:color w:val="0000FF"/>
        </w:rPr>
        <w:t>月</w:t>
      </w:r>
      <w:r>
        <w:rPr>
          <w:rFonts w:ascii="仿宋_GB2312" w:hAnsi="宋体" w:eastAsia="仿宋_GB2312"/>
          <w:color w:val="0000FF"/>
        </w:rPr>
        <w:t>18</w:t>
      </w:r>
      <w:r>
        <w:rPr>
          <w:rFonts w:hint="eastAsia" w:ascii="仿宋_GB2312" w:hAnsi="宋体" w:eastAsia="仿宋_GB2312"/>
          <w:color w:val="0000FF"/>
        </w:rPr>
        <w:t>日（9:00--17:00</w:t>
      </w:r>
      <w:r>
        <w:rPr>
          <w:rFonts w:ascii="仿宋_GB2312" w:hAnsi="宋体" w:eastAsia="仿宋_GB2312"/>
          <w:color w:val="0000FF"/>
        </w:rPr>
        <w:t>）</w:t>
      </w:r>
    </w:p>
    <w:p>
      <w:pPr>
        <w:snapToGrid w:val="0"/>
        <w:spacing w:line="360" w:lineRule="auto"/>
        <w:ind w:firstLine="420" w:firstLineChars="200"/>
        <w:rPr>
          <w:rFonts w:ascii="仿宋_GB2312" w:hAnsi="宋体" w:eastAsia="仿宋_GB2312"/>
        </w:rPr>
      </w:pPr>
      <w:r>
        <w:rPr>
          <w:rFonts w:hint="eastAsia" w:ascii="仿宋_GB2312" w:hAnsi="宋体" w:eastAsia="仿宋_GB2312"/>
        </w:rPr>
        <w:t>2、报名地点：义乌市商城大道N1号浙江大学医学院附属第四医院住院部四楼医学工程科</w:t>
      </w:r>
    </w:p>
    <w:p>
      <w:pPr>
        <w:snapToGrid w:val="0"/>
        <w:spacing w:line="360" w:lineRule="auto"/>
        <w:ind w:firstLine="420" w:firstLineChars="200"/>
        <w:rPr>
          <w:rFonts w:ascii="仿宋_GB2312" w:hAnsi="宋体" w:eastAsia="仿宋_GB2312"/>
        </w:rPr>
      </w:pPr>
      <w:r>
        <w:rPr>
          <w:rFonts w:hint="eastAsia" w:ascii="仿宋_GB2312" w:hAnsi="宋体" w:eastAsia="仿宋_GB2312"/>
        </w:rPr>
        <w:t>3、报名时需提供以下资料（复印件需加盖单位公章）：</w:t>
      </w:r>
    </w:p>
    <w:p>
      <w:pPr>
        <w:snapToGrid w:val="0"/>
        <w:spacing w:line="360" w:lineRule="auto"/>
        <w:ind w:firstLine="420" w:firstLineChars="200"/>
        <w:rPr>
          <w:rFonts w:ascii="仿宋_GB2312" w:hAnsi="宋体" w:eastAsia="仿宋_GB2312"/>
        </w:rPr>
      </w:pPr>
      <w:r>
        <w:rPr>
          <w:rFonts w:hint="eastAsia" w:ascii="仿宋_GB2312" w:hAnsi="宋体" w:eastAsia="仿宋_GB2312"/>
        </w:rPr>
        <w:t>（1）营业执照副本复印件；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（2）报名人员身份证复印件；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（3）单位介绍信或法人代表授权委托书；</w:t>
      </w:r>
    </w:p>
    <w:p>
      <w:pPr>
        <w:snapToGrid w:val="0"/>
        <w:spacing w:line="360" w:lineRule="auto"/>
        <w:ind w:firstLine="420" w:firstLineChars="200"/>
        <w:rPr>
          <w:rFonts w:ascii="仿宋_GB2312" w:hAnsi="宋体" w:eastAsia="仿宋_GB2312"/>
        </w:rPr>
      </w:pPr>
      <w:r>
        <w:rPr>
          <w:rFonts w:hint="eastAsia" w:ascii="仿宋_GB2312" w:hAnsi="宋体" w:eastAsia="仿宋_GB2312"/>
        </w:rPr>
        <w:t>（4）采购文件自行从浙江大学医学院附属第四医院官网下载。</w:t>
      </w:r>
    </w:p>
    <w:p>
      <w:pPr>
        <w:snapToGrid w:val="0"/>
        <w:spacing w:line="360" w:lineRule="auto"/>
        <w:ind w:firstLine="420" w:firstLineChars="200"/>
        <w:rPr>
          <w:rFonts w:ascii="仿宋_GB2312" w:hAnsi="宋体" w:eastAsia="仿宋_GB2312"/>
        </w:rPr>
      </w:pPr>
      <w:r>
        <w:rPr>
          <w:rFonts w:hint="eastAsia" w:ascii="仿宋_GB2312" w:hAnsi="宋体" w:eastAsia="仿宋_GB2312"/>
        </w:rPr>
        <w:t>4、报名方式：</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投标单位必须于</w:t>
      </w:r>
      <w:r>
        <w:rPr>
          <w:rFonts w:hint="eastAsia" w:ascii="仿宋_GB2312" w:hAnsi="宋体" w:eastAsia="仿宋_GB2312"/>
          <w:highlight w:val="yellow"/>
        </w:rPr>
        <w:t>2022年8月18日17:00</w:t>
      </w:r>
      <w:r>
        <w:rPr>
          <w:rFonts w:hint="eastAsia" w:ascii="仿宋_GB2312" w:hAnsi="宋体" w:eastAsia="仿宋_GB2312"/>
        </w:rPr>
        <w:t>之前将单位的单位营业执照副本（加盖单位公章 红章）和授权投标人的身份证复印件（加盖单位公章）交至义乌市商城大道N1号浙江大学医学院附属第四医院住院部四楼临床医学工程科，或将上述资料扫描件发至邮箱：</w:t>
      </w:r>
      <w:r>
        <w:rPr>
          <w:rFonts w:hint="eastAsia" w:ascii="仿宋_GB2312" w:hAnsi="宋体" w:eastAsia="仿宋_GB2312"/>
        </w:rPr>
        <w:fldChar w:fldCharType="begin"/>
      </w:r>
      <w:r>
        <w:rPr>
          <w:rFonts w:hint="eastAsia" w:ascii="仿宋_GB2312" w:hAnsi="宋体" w:eastAsia="仿宋_GB2312"/>
        </w:rPr>
        <w:instrText xml:space="preserve"> HYPERLINK "mailto:zhangjg91@126.com。" </w:instrText>
      </w:r>
      <w:r>
        <w:rPr>
          <w:rFonts w:hint="eastAsia" w:ascii="仿宋_GB2312" w:hAnsi="宋体" w:eastAsia="仿宋_GB2312"/>
        </w:rPr>
        <w:fldChar w:fldCharType="separate"/>
      </w:r>
      <w:r>
        <w:rPr>
          <w:rStyle w:val="22"/>
          <w:rFonts w:hint="eastAsia" w:ascii="仿宋_GB2312" w:hAnsi="宋体" w:eastAsia="仿宋_GB2312"/>
        </w:rPr>
        <w:t>zhangjg91@126.com。</w:t>
      </w:r>
      <w:r>
        <w:rPr>
          <w:rFonts w:hint="eastAsia" w:ascii="仿宋_GB2312" w:hAnsi="宋体" w:eastAsia="仿宋_GB2312"/>
        </w:rPr>
        <w:fldChar w:fldCharType="end"/>
      </w:r>
    </w:p>
    <w:p>
      <w:pPr>
        <w:snapToGrid w:val="0"/>
        <w:spacing w:line="360" w:lineRule="auto"/>
        <w:ind w:firstLine="420" w:firstLineChars="200"/>
        <w:rPr>
          <w:rFonts w:ascii="仿宋_GB2312" w:hAnsi="宋体" w:eastAsia="仿宋_GB2312"/>
        </w:rPr>
      </w:pPr>
      <w:r>
        <w:rPr>
          <w:rFonts w:hint="eastAsia" w:ascii="仿宋_GB2312" w:hAnsi="宋体" w:eastAsia="仿宋_GB2312"/>
        </w:rPr>
        <w:t>本项目采用资格后审方式进行，投标文件发布期内下载采购文件，如有疑问在规定采购文件规定获取截至时间之日起七个工作日内提疑，答疑将以公告形式回复，评审委员会将对各投标单位投标文件资格证明进行审核。</w:t>
      </w:r>
    </w:p>
    <w:p>
      <w:pPr>
        <w:pStyle w:val="5"/>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7、投标文件提交截止时间与地点：</w:t>
      </w:r>
      <w:r>
        <w:rPr>
          <w:rFonts w:ascii="仿宋_GB2312" w:hAnsi="仿宋" w:eastAsia="仿宋_GB2312"/>
          <w:color w:val="auto"/>
          <w:sz w:val="21"/>
          <w:szCs w:val="24"/>
          <w:highlight w:val="yellow"/>
        </w:rPr>
        <w:t>2022年</w:t>
      </w:r>
      <w:r>
        <w:rPr>
          <w:rFonts w:ascii="仿宋_GB2312" w:eastAsia="仿宋_GB2312"/>
          <w:color w:val="auto"/>
          <w:sz w:val="22"/>
          <w:highlight w:val="yellow"/>
          <w:u w:val="single"/>
        </w:rPr>
        <w:t xml:space="preserve"> 8</w:t>
      </w:r>
      <w:r>
        <w:rPr>
          <w:rFonts w:hint="eastAsia" w:ascii="仿宋_GB2312" w:hAnsi="仿宋" w:eastAsia="仿宋_GB2312"/>
          <w:color w:val="auto"/>
          <w:sz w:val="21"/>
          <w:szCs w:val="24"/>
          <w:highlight w:val="yellow"/>
        </w:rPr>
        <w:t>月</w:t>
      </w:r>
      <w:r>
        <w:rPr>
          <w:rFonts w:ascii="仿宋_GB2312" w:eastAsia="仿宋_GB2312"/>
          <w:color w:val="auto"/>
          <w:sz w:val="22"/>
          <w:highlight w:val="yellow"/>
          <w:u w:val="single"/>
        </w:rPr>
        <w:t xml:space="preserve"> 19</w:t>
      </w:r>
      <w:r>
        <w:rPr>
          <w:rFonts w:hint="eastAsia" w:ascii="仿宋_GB2312" w:hAnsi="仿宋" w:eastAsia="仿宋_GB2312"/>
          <w:color w:val="0000FF"/>
          <w:sz w:val="21"/>
          <w:szCs w:val="24"/>
          <w:highlight w:val="yellow"/>
        </w:rPr>
        <w:t>日上午</w:t>
      </w:r>
      <w:r>
        <w:rPr>
          <w:rFonts w:ascii="仿宋_GB2312" w:eastAsia="仿宋_GB2312"/>
          <w:color w:val="0000FF"/>
          <w:sz w:val="22"/>
          <w:highlight w:val="yellow"/>
          <w:u w:val="single"/>
        </w:rPr>
        <w:t xml:space="preserve"> 9 </w:t>
      </w:r>
      <w:r>
        <w:rPr>
          <w:rFonts w:hint="eastAsia" w:ascii="仿宋_GB2312" w:hAnsi="仿宋" w:eastAsia="仿宋_GB2312"/>
          <w:color w:val="0000FF"/>
          <w:sz w:val="21"/>
          <w:szCs w:val="24"/>
          <w:highlight w:val="yellow"/>
        </w:rPr>
        <w:t>时</w:t>
      </w:r>
      <w:r>
        <w:rPr>
          <w:rFonts w:ascii="仿宋_GB2312" w:eastAsia="仿宋_GB2312"/>
          <w:color w:val="0000FF"/>
          <w:sz w:val="22"/>
          <w:highlight w:val="yellow"/>
          <w:u w:val="single"/>
        </w:rPr>
        <w:t xml:space="preserve"> 30 </w:t>
      </w:r>
      <w:r>
        <w:rPr>
          <w:rFonts w:hint="eastAsia" w:ascii="仿宋_GB2312" w:hAnsi="仿宋" w:eastAsia="仿宋_GB2312"/>
          <w:color w:val="0000FF"/>
          <w:sz w:val="21"/>
          <w:szCs w:val="24"/>
          <w:highlight w:val="yellow"/>
        </w:rPr>
        <w:t>分</w:t>
      </w:r>
      <w:r>
        <w:rPr>
          <w:rFonts w:hint="eastAsia" w:ascii="仿宋_GB2312" w:hAnsi="仿宋" w:eastAsia="仿宋_GB2312"/>
          <w:color w:val="auto"/>
          <w:sz w:val="21"/>
          <w:szCs w:val="24"/>
          <w:highlight w:val="yellow"/>
        </w:rPr>
        <w:t>，地点：义乌市商城大道</w:t>
      </w:r>
      <w:r>
        <w:rPr>
          <w:rFonts w:ascii="仿宋_GB2312" w:hAnsi="仿宋" w:eastAsia="仿宋_GB2312"/>
          <w:color w:val="auto"/>
          <w:sz w:val="21"/>
          <w:szCs w:val="24"/>
          <w:highlight w:val="yellow"/>
        </w:rPr>
        <w:t>N1号浙江大学医学院附属第四医院医学工程科。</w:t>
      </w:r>
    </w:p>
    <w:p>
      <w:pPr>
        <w:pStyle w:val="5"/>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ascii="仿宋_GB2312" w:hAnsi="仿宋" w:eastAsia="仿宋_GB2312"/>
          <w:color w:val="auto"/>
          <w:sz w:val="21"/>
          <w:szCs w:val="24"/>
          <w:highlight w:val="yellow"/>
        </w:rPr>
        <w:t>2022年</w:t>
      </w:r>
      <w:r>
        <w:rPr>
          <w:rFonts w:ascii="仿宋_GB2312" w:eastAsia="仿宋_GB2312"/>
          <w:color w:val="auto"/>
          <w:sz w:val="22"/>
          <w:highlight w:val="yellow"/>
          <w:u w:val="single"/>
        </w:rPr>
        <w:t xml:space="preserve"> 8</w:t>
      </w:r>
      <w:r>
        <w:rPr>
          <w:rFonts w:hint="eastAsia" w:ascii="仿宋_GB2312" w:hAnsi="仿宋" w:eastAsia="仿宋_GB2312"/>
          <w:color w:val="auto"/>
          <w:sz w:val="21"/>
          <w:szCs w:val="24"/>
          <w:highlight w:val="yellow"/>
        </w:rPr>
        <w:t>月</w:t>
      </w:r>
      <w:r>
        <w:rPr>
          <w:rFonts w:ascii="仿宋_GB2312" w:eastAsia="仿宋_GB2312"/>
          <w:color w:val="auto"/>
          <w:sz w:val="22"/>
          <w:highlight w:val="yellow"/>
          <w:u w:val="single"/>
        </w:rPr>
        <w:t xml:space="preserve"> 19</w:t>
      </w:r>
      <w:r>
        <w:rPr>
          <w:rFonts w:hint="eastAsia" w:ascii="仿宋_GB2312" w:hAnsi="仿宋" w:eastAsia="仿宋_GB2312"/>
          <w:color w:val="0000FF"/>
          <w:sz w:val="21"/>
          <w:szCs w:val="24"/>
          <w:highlight w:val="yellow"/>
        </w:rPr>
        <w:t>日上午</w:t>
      </w:r>
      <w:r>
        <w:rPr>
          <w:rFonts w:ascii="仿宋_GB2312" w:eastAsia="仿宋_GB2312"/>
          <w:color w:val="0000FF"/>
          <w:sz w:val="22"/>
          <w:highlight w:val="yellow"/>
          <w:u w:val="single"/>
        </w:rPr>
        <w:t xml:space="preserve"> 9 </w:t>
      </w:r>
      <w:r>
        <w:rPr>
          <w:rFonts w:hint="eastAsia" w:ascii="仿宋_GB2312" w:hAnsi="仿宋" w:eastAsia="仿宋_GB2312"/>
          <w:color w:val="0000FF"/>
          <w:sz w:val="21"/>
          <w:szCs w:val="24"/>
          <w:highlight w:val="yellow"/>
        </w:rPr>
        <w:t>时</w:t>
      </w:r>
      <w:r>
        <w:rPr>
          <w:rFonts w:ascii="仿宋_GB2312" w:eastAsia="仿宋_GB2312"/>
          <w:color w:val="0000FF"/>
          <w:sz w:val="22"/>
          <w:highlight w:val="yellow"/>
          <w:u w:val="single"/>
        </w:rPr>
        <w:t xml:space="preserve"> 30 </w:t>
      </w:r>
      <w:r>
        <w:rPr>
          <w:rFonts w:hint="eastAsia" w:ascii="仿宋_GB2312" w:hAnsi="仿宋" w:eastAsia="仿宋_GB2312"/>
          <w:color w:val="0000FF"/>
          <w:sz w:val="21"/>
          <w:szCs w:val="24"/>
          <w:highlight w:val="yellow"/>
        </w:rPr>
        <w:t>分</w:t>
      </w:r>
      <w:r>
        <w:rPr>
          <w:rFonts w:hint="eastAsia" w:ascii="仿宋_GB2312" w:hAnsi="仿宋" w:eastAsia="仿宋_GB2312"/>
          <w:color w:val="auto"/>
          <w:sz w:val="21"/>
          <w:szCs w:val="24"/>
          <w:highlight w:val="yellow"/>
        </w:rPr>
        <w:t>，地点：义乌市商城大道</w:t>
      </w:r>
      <w:r>
        <w:rPr>
          <w:rFonts w:ascii="仿宋_GB2312" w:hAnsi="仿宋" w:eastAsia="仿宋_GB2312"/>
          <w:color w:val="auto"/>
          <w:sz w:val="21"/>
          <w:szCs w:val="24"/>
          <w:highlight w:val="yellow"/>
        </w:rPr>
        <w:t>N1号浙江大学医学院附属第四医院医学工程科会议室。</w:t>
      </w:r>
    </w:p>
    <w:p>
      <w:pPr>
        <w:pStyle w:val="5"/>
        <w:spacing w:line="360" w:lineRule="auto"/>
        <w:ind w:firstLine="413" w:firstLineChars="196"/>
        <w:rPr>
          <w:rFonts w:ascii="仿宋_GB2312" w:hAnsi="仿宋" w:eastAsia="仿宋_GB2312"/>
          <w:b/>
          <w:color w:val="auto"/>
          <w:sz w:val="21"/>
          <w:szCs w:val="24"/>
        </w:rPr>
      </w:pPr>
      <w:r>
        <w:rPr>
          <w:rFonts w:hint="eastAsia" w:ascii="仿宋_GB2312" w:hAnsi="仿宋" w:eastAsia="仿宋_GB2312"/>
          <w:b/>
          <w:color w:val="auto"/>
          <w:sz w:val="21"/>
          <w:szCs w:val="24"/>
        </w:rPr>
        <w:t>9、其他事项：</w:t>
      </w:r>
    </w:p>
    <w:p>
      <w:pPr>
        <w:pStyle w:val="5"/>
        <w:spacing w:line="360" w:lineRule="auto"/>
        <w:ind w:firstLine="411" w:firstLineChars="196"/>
        <w:rPr>
          <w:rFonts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由于近期疫情形势，投标人不必到现场提交投标文件，投标文件可通过邮寄快递的方式递交。所有投标人须考虑物流等相关因素，合理计划邮寄时间，尽量在开标时间前一个工作日内送达指定地点，提交投标文件截止时间后送达的将被视为“逾期送达”。具体要求：</w:t>
      </w:r>
    </w:p>
    <w:p>
      <w:pPr>
        <w:snapToGrid w:val="0"/>
        <w:spacing w:line="288" w:lineRule="auto"/>
        <w:ind w:firstLine="420" w:firstLineChars="200"/>
        <w:jc w:val="left"/>
        <w:rPr>
          <w:rFonts w:ascii="仿宋_GB2312" w:hAnsi="宋体" w:eastAsia="仿宋_GB2312"/>
        </w:rPr>
      </w:pPr>
      <w:r>
        <w:rPr>
          <w:rFonts w:hint="eastAsia" w:ascii="仿宋_GB2312" w:hAnsi="宋体" w:eastAsia="仿宋_GB2312"/>
        </w:rPr>
        <w:t>1）邮寄快递地址：浙江省义乌市福田街道商城大道N1号 浙大四院住院部4楼医工科（模拟门诊内） 张工，0579-89935114；</w:t>
      </w:r>
    </w:p>
    <w:p>
      <w:pPr>
        <w:pStyle w:val="5"/>
        <w:spacing w:line="360" w:lineRule="auto"/>
        <w:ind w:firstLine="411" w:firstLineChars="196"/>
        <w:jc w:val="left"/>
        <w:rPr>
          <w:rFonts w:hint="eastAsia"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寄出后将快递单号、项目名称、公司名称、联系方式等相关信息发送至zhangjg91@126.com以便查收（特别说明：双休日和法定节假日不收件，投标人自行承担邮寄风险）；</w:t>
      </w:r>
    </w:p>
    <w:p>
      <w:pPr>
        <w:pStyle w:val="5"/>
        <w:spacing w:line="360" w:lineRule="auto"/>
        <w:ind w:firstLine="411" w:firstLineChars="196"/>
        <w:jc w:val="left"/>
        <w:rPr>
          <w:rFonts w:hint="eastAsia" w:ascii="仿宋_GB2312" w:hAnsi="宋体" w:eastAsia="仿宋_GB2312"/>
          <w:snapToGrid/>
          <w:color w:val="auto"/>
          <w:kern w:val="2"/>
          <w:sz w:val="21"/>
          <w:szCs w:val="24"/>
          <w:highlight w:val="yellow"/>
        </w:rPr>
      </w:pPr>
      <w:r>
        <w:rPr>
          <w:rFonts w:hint="eastAsia" w:ascii="仿宋_GB2312" w:hAnsi="宋体" w:eastAsia="仿宋_GB2312"/>
          <w:snapToGrid/>
          <w:color w:val="auto"/>
          <w:kern w:val="2"/>
          <w:sz w:val="21"/>
          <w:szCs w:val="24"/>
          <w:highlight w:val="yellow"/>
        </w:rPr>
        <w:t>若因为疫情影响快递已无法寄出，则投标人可将技术文件和商务文件（盖章）分别扫描成PDF后分别加密，再将加密后的技术文件和商务文件分别发送至zhangjg91@126.com，投标截止后，投标人将技术文件加密密码和声明书一并发送至zhangjg91@126.com，待技术评审结束后，投标人再将商务文件加密密码发送至zhangjg91@126.com。且快递恢复正常后第一时间补寄投标文件至医学工程科，文件内容要求与加密PDF内容完全一致。</w:t>
      </w:r>
    </w:p>
    <w:p>
      <w:pPr>
        <w:pStyle w:val="5"/>
        <w:spacing w:line="360" w:lineRule="auto"/>
        <w:ind w:firstLine="411" w:firstLineChars="196"/>
        <w:jc w:val="left"/>
        <w:rPr>
          <w:rFonts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11" w:firstLineChars="196"/>
        <w:jc w:val="left"/>
        <w:rPr>
          <w:rFonts w:ascii="仿宋_GB2312" w:hAnsi="宋体" w:eastAsia="仿宋_GB2312"/>
          <w:snapToGrid/>
          <w:color w:val="auto"/>
          <w:kern w:val="2"/>
          <w:sz w:val="21"/>
          <w:szCs w:val="24"/>
        </w:rPr>
      </w:pPr>
      <w:r>
        <w:rPr>
          <w:rFonts w:hint="eastAsia" w:ascii="仿宋_GB2312" w:hAnsi="宋体" w:eastAsia="仿宋_GB2312"/>
          <w:snapToGrid/>
          <w:color w:val="auto"/>
          <w:kern w:val="2"/>
          <w:sz w:val="21"/>
          <w:szCs w:val="24"/>
        </w:rPr>
        <w:t>3）评审现场如需投标人确认、澄清、说明等均通过指定的电子邮箱（zhangjg91@126.com）向投标人发送并要求在收到通知后半小时内以邮件形式作出确认、澄清、说明等。</w:t>
      </w:r>
    </w:p>
    <w:p>
      <w:pPr>
        <w:pStyle w:val="5"/>
        <w:spacing w:line="360" w:lineRule="auto"/>
        <w:ind w:firstLine="382" w:firstLineChars="181"/>
        <w:rPr>
          <w:rFonts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24"/>
        <w:snapToGrid w:val="0"/>
        <w:spacing w:before="0"/>
        <w:ind w:firstLine="420"/>
        <w:rPr>
          <w:rFonts w:ascii="仿宋_GB2312" w:hAnsi="仿宋" w:eastAsia="仿宋_GB2312"/>
          <w:b/>
          <w:sz w:val="21"/>
        </w:rPr>
      </w:pPr>
      <w:r>
        <w:rPr>
          <w:rFonts w:hint="eastAsia" w:ascii="仿宋_GB2312" w:hAnsi="宋体" w:eastAsia="仿宋_GB2312"/>
          <w:sz w:val="21"/>
          <w:szCs w:val="24"/>
        </w:rPr>
        <w:t>供应商认为采购文件、采购过程和中标、成交结果使自己的权益受到损害的，可以在采购文件公告发布之日起七个工作日内，以书面形式向</w:t>
      </w:r>
      <w:r>
        <w:rPr>
          <w:rFonts w:hint="eastAsia" w:ascii="仿宋_GB2312" w:hAnsi="ˎ̥" w:eastAsia="仿宋_GB2312"/>
          <w:sz w:val="21"/>
        </w:rPr>
        <w:t>采购机构</w:t>
      </w:r>
      <w:r>
        <w:rPr>
          <w:rFonts w:hint="eastAsia" w:ascii="仿宋_GB2312" w:hAnsi="宋体" w:eastAsia="仿宋_GB2312"/>
          <w:sz w:val="21"/>
          <w:szCs w:val="24"/>
        </w:rPr>
        <w:t>提出质疑。</w:t>
      </w:r>
    </w:p>
    <w:p>
      <w:pPr>
        <w:pStyle w:val="5"/>
        <w:spacing w:line="360" w:lineRule="auto"/>
        <w:ind w:firstLine="380" w:firstLineChars="181"/>
        <w:rPr>
          <w:rFonts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ascii="仿宋_GB2312" w:hAnsi="仿宋" w:eastAsia="仿宋_GB2312"/>
          <w:b/>
          <w:szCs w:val="24"/>
          <w:highlight w:val="yellow"/>
        </w:rPr>
      </w:pPr>
      <w:r>
        <w:rPr>
          <w:rFonts w:hint="eastAsia" w:ascii="仿宋_GB2312" w:eastAsia="仿宋_GB2312"/>
          <w:b/>
          <w:szCs w:val="24"/>
        </w:rPr>
        <w:t>10、项目联系人：</w:t>
      </w:r>
      <w:r>
        <w:rPr>
          <w:rFonts w:hint="eastAsia" w:ascii="仿宋_GB2312" w:eastAsia="仿宋_GB2312"/>
          <w:szCs w:val="24"/>
        </w:rPr>
        <w:t>义乌市商城大道N1号浙江大学医学院附属第四医院，</w:t>
      </w:r>
      <w:r>
        <w:rPr>
          <w:rFonts w:hint="eastAsia" w:ascii="仿宋_GB2312" w:eastAsia="仿宋_GB2312"/>
          <w:szCs w:val="24"/>
          <w:highlight w:val="yellow"/>
        </w:rPr>
        <w:t>联系人：</w:t>
      </w:r>
      <w:r>
        <w:rPr>
          <w:rFonts w:hint="eastAsia" w:ascii="仿宋_GB2312" w:eastAsia="仿宋_GB2312"/>
          <w:sz w:val="18"/>
          <w:highlight w:val="yellow"/>
          <w:u w:val="single"/>
        </w:rPr>
        <w:t xml:space="preserve">  张女士 </w:t>
      </w:r>
      <w:r>
        <w:rPr>
          <w:rFonts w:hint="eastAsia" w:ascii="仿宋_GB2312" w:eastAsia="仿宋_GB2312"/>
          <w:szCs w:val="24"/>
          <w:highlight w:val="yellow"/>
        </w:rPr>
        <w:t>，联系电话：</w:t>
      </w:r>
      <w:r>
        <w:rPr>
          <w:rFonts w:hint="eastAsia" w:ascii="仿宋_GB2312" w:eastAsia="仿宋_GB2312"/>
          <w:sz w:val="18"/>
          <w:highlight w:val="yellow"/>
          <w:u w:val="single"/>
        </w:rPr>
        <w:t xml:space="preserve">  </w:t>
      </w:r>
      <w:r>
        <w:rPr>
          <w:rFonts w:hint="eastAsia" w:ascii="仿宋_GB2312" w:hAnsi="宋体" w:eastAsia="仿宋_GB2312"/>
          <w:highlight w:val="yellow"/>
          <w:u w:val="single"/>
        </w:rPr>
        <w:t>0579-89935114</w:t>
      </w:r>
      <w:r>
        <w:rPr>
          <w:rFonts w:hint="eastAsia" w:ascii="仿宋_GB2312" w:hAnsi="Bodoni MT" w:eastAsia="仿宋_GB2312" w:cs="Arial"/>
          <w:bCs/>
          <w:snapToGrid w:val="0"/>
          <w:kern w:val="28"/>
          <w:szCs w:val="24"/>
          <w:highlight w:val="yellow"/>
        </w:rPr>
        <w:t>。</w:t>
      </w:r>
    </w:p>
    <w:p>
      <w:pPr>
        <w:spacing w:line="360" w:lineRule="auto"/>
        <w:ind w:firstLine="200"/>
        <w:jc w:val="center"/>
        <w:rPr>
          <w:rFonts w:ascii="仿宋_GB2312" w:hAnsi="仿宋" w:eastAsia="仿宋_GB2312"/>
        </w:rPr>
      </w:pPr>
      <w:r>
        <w:rPr>
          <w:rFonts w:hint="eastAsia" w:ascii="仿宋_GB2312" w:hAnsi="仿宋" w:eastAsia="仿宋_GB2312"/>
        </w:rPr>
        <w:t xml:space="preserve">                            </w:t>
      </w:r>
    </w:p>
    <w:p>
      <w:pPr>
        <w:spacing w:line="360" w:lineRule="auto"/>
        <w:ind w:firstLine="200"/>
        <w:jc w:val="right"/>
        <w:rPr>
          <w:rFonts w:ascii="仿宋_GB2312" w:hAnsi="仿宋" w:eastAsia="仿宋_GB2312"/>
        </w:rPr>
      </w:pPr>
      <w:r>
        <w:rPr>
          <w:rFonts w:hint="eastAsia" w:ascii="仿宋_GB2312" w:eastAsia="仿宋_GB2312"/>
        </w:rPr>
        <w:t>浙江大学医学院附属第四医院招标管理办公室</w:t>
      </w:r>
    </w:p>
    <w:p>
      <w:pPr>
        <w:pStyle w:val="9"/>
        <w:spacing w:line="360" w:lineRule="auto"/>
        <w:ind w:firstLine="420" w:firstLineChars="200"/>
        <w:jc w:val="right"/>
        <w:rPr>
          <w:rFonts w:ascii="仿宋_GB2312" w:hAnsi="仿宋" w:eastAsia="仿宋_GB2312"/>
          <w:szCs w:val="24"/>
          <w:highlight w:val="yellow"/>
        </w:rPr>
      </w:pPr>
      <w:r>
        <w:rPr>
          <w:rFonts w:hint="eastAsia" w:ascii="仿宋_GB2312" w:hAnsi="仿宋" w:eastAsia="仿宋_GB2312"/>
          <w:szCs w:val="24"/>
          <w:highlight w:val="yellow"/>
        </w:rPr>
        <w:t>二○二二年</w:t>
      </w:r>
      <w:r>
        <w:rPr>
          <w:rFonts w:hint="eastAsia" w:ascii="仿宋_GB2312" w:eastAsia="仿宋_GB2312"/>
          <w:sz w:val="18"/>
          <w:highlight w:val="yellow"/>
          <w:u w:val="single"/>
        </w:rPr>
        <w:t xml:space="preserve">  八  </w:t>
      </w:r>
      <w:r>
        <w:rPr>
          <w:rFonts w:hint="eastAsia" w:ascii="仿宋_GB2312" w:hAnsi="仿宋" w:eastAsia="仿宋_GB2312"/>
          <w:szCs w:val="24"/>
          <w:highlight w:val="yellow"/>
        </w:rPr>
        <w:t>月</w:t>
      </w:r>
      <w:r>
        <w:rPr>
          <w:rFonts w:hint="eastAsia" w:ascii="仿宋_GB2312" w:eastAsia="仿宋_GB2312"/>
          <w:sz w:val="18"/>
          <w:highlight w:val="yellow"/>
          <w:u w:val="single"/>
        </w:rPr>
        <w:t xml:space="preserve"> </w:t>
      </w:r>
      <w:r>
        <w:rPr>
          <w:rFonts w:hint="eastAsia" w:ascii="仿宋_GB2312" w:eastAsia="仿宋_GB2312"/>
          <w:color w:val="0000FF"/>
          <w:sz w:val="18"/>
          <w:highlight w:val="yellow"/>
          <w:u w:val="single"/>
        </w:rPr>
        <w:t xml:space="preserve"> 十 </w:t>
      </w:r>
      <w:r>
        <w:rPr>
          <w:rFonts w:hint="eastAsia" w:ascii="仿宋_GB2312" w:eastAsia="仿宋_GB2312"/>
          <w:sz w:val="18"/>
          <w:highlight w:val="yellow"/>
          <w:u w:val="single"/>
        </w:rPr>
        <w:t xml:space="preserve"> </w:t>
      </w:r>
      <w:r>
        <w:rPr>
          <w:rFonts w:hint="eastAsia" w:ascii="仿宋_GB2312" w:hAnsi="仿宋" w:eastAsia="仿宋_GB2312"/>
          <w:szCs w:val="24"/>
          <w:highlight w:val="yellow"/>
        </w:rPr>
        <w:t>日</w:t>
      </w:r>
    </w:p>
    <w:p>
      <w:pPr>
        <w:adjustRightInd/>
        <w:spacing w:line="360" w:lineRule="auto"/>
        <w:jc w:val="both"/>
        <w:outlineLvl w:val="0"/>
        <w:rPr>
          <w:rFonts w:ascii="仿宋_GB2312" w:hAnsi="仿宋" w:eastAsia="仿宋_GB2312"/>
          <w:b/>
          <w:sz w:val="36"/>
          <w:szCs w:val="20"/>
        </w:rPr>
      </w:pPr>
      <w:r>
        <w:rPr>
          <w:rFonts w:hint="eastAsia" w:ascii="仿宋_GB2312" w:hAnsi="仿宋" w:eastAsia="仿宋_GB2312"/>
          <w:sz w:val="24"/>
        </w:rPr>
        <w:br w:type="page"/>
      </w:r>
      <w:r>
        <w:rPr>
          <w:rFonts w:hint="eastAsia" w:ascii="仿宋_GB2312" w:hAnsi="仿宋" w:eastAsia="仿宋_GB2312"/>
          <w:b/>
          <w:sz w:val="36"/>
          <w:szCs w:val="20"/>
        </w:rPr>
        <w:t>第二部分</w:t>
      </w:r>
      <w:bookmarkEnd w:id="8"/>
      <w:r>
        <w:rPr>
          <w:rFonts w:hint="eastAsia" w:ascii="仿宋_GB2312" w:hAnsi="仿宋" w:eastAsia="仿宋_GB2312"/>
          <w:b/>
          <w:sz w:val="36"/>
          <w:szCs w:val="20"/>
        </w:rPr>
        <w:t xml:space="preserve"> 编制和提交采购响应文件须知</w:t>
      </w:r>
      <w:bookmarkEnd w:id="9"/>
    </w:p>
    <w:p>
      <w:pPr>
        <w:snapToGrid w:val="0"/>
        <w:spacing w:line="360" w:lineRule="auto"/>
        <w:jc w:val="center"/>
        <w:rPr>
          <w:rFonts w:ascii="仿宋_GB2312" w:hAnsi="宋体" w:eastAsia="仿宋_GB2312"/>
          <w:b/>
          <w:sz w:val="32"/>
          <w:szCs w:val="20"/>
        </w:rPr>
      </w:pPr>
      <w:r>
        <w:rPr>
          <w:rFonts w:hint="eastAsia" w:ascii="仿宋_GB2312" w:hAnsi="宋体" w:eastAsia="仿宋_GB2312"/>
          <w:b/>
          <w:sz w:val="32"/>
          <w:szCs w:val="20"/>
        </w:rPr>
        <w:t>前附表</w:t>
      </w:r>
    </w:p>
    <w:tbl>
      <w:tblPr>
        <w:tblStyle w:val="18"/>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vAlign w:val="center"/>
          </w:tcPr>
          <w:p>
            <w:pPr>
              <w:snapToGrid w:val="0"/>
              <w:jc w:val="center"/>
              <w:rPr>
                <w:rFonts w:ascii="仿宋" w:hAnsi="仿宋" w:eastAsia="仿宋" w:cs="宋体"/>
                <w:b/>
                <w:szCs w:val="21"/>
              </w:rPr>
            </w:pPr>
            <w:r>
              <w:rPr>
                <w:rFonts w:hint="eastAsia" w:ascii="仿宋" w:hAnsi="仿宋" w:eastAsia="仿宋" w:cs="宋体"/>
                <w:b/>
                <w:szCs w:val="21"/>
              </w:rPr>
              <w:t>序号</w:t>
            </w:r>
          </w:p>
        </w:tc>
        <w:tc>
          <w:tcPr>
            <w:tcW w:w="2092" w:type="dxa"/>
            <w:vAlign w:val="center"/>
          </w:tcPr>
          <w:p>
            <w:pPr>
              <w:snapToGrid w:val="0"/>
              <w:jc w:val="center"/>
              <w:rPr>
                <w:rFonts w:ascii="仿宋" w:hAnsi="仿宋" w:eastAsia="仿宋" w:cs="宋体"/>
                <w:b/>
                <w:szCs w:val="21"/>
              </w:rPr>
            </w:pPr>
            <w:r>
              <w:rPr>
                <w:rFonts w:hint="eastAsia" w:ascii="仿宋" w:hAnsi="仿宋" w:eastAsia="仿宋" w:cs="宋体"/>
                <w:b/>
                <w:szCs w:val="21"/>
              </w:rPr>
              <w:t>项 目</w:t>
            </w:r>
          </w:p>
        </w:tc>
        <w:tc>
          <w:tcPr>
            <w:tcW w:w="7169" w:type="dxa"/>
            <w:vAlign w:val="center"/>
          </w:tcPr>
          <w:p>
            <w:pPr>
              <w:snapToGrid w:val="0"/>
              <w:jc w:val="center"/>
              <w:rPr>
                <w:rFonts w:ascii="仿宋" w:hAnsi="仿宋" w:eastAsia="仿宋" w:cs="宋体"/>
                <w:b/>
                <w:szCs w:val="21"/>
              </w:rPr>
            </w:pPr>
            <w:r>
              <w:rPr>
                <w:rFonts w:hint="eastAsia" w:ascii="仿宋" w:hAnsi="仿宋" w:eastAsia="仿宋" w:cs="宋体"/>
                <w:b/>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招标人</w:t>
            </w:r>
          </w:p>
        </w:tc>
        <w:tc>
          <w:tcPr>
            <w:tcW w:w="7169" w:type="dxa"/>
            <w:vAlign w:val="center"/>
          </w:tcPr>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名    称：浙江大学国际健康医学研究院</w:t>
            </w:r>
          </w:p>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地    址：</w:t>
            </w:r>
            <w:r>
              <w:rPr>
                <w:rFonts w:hint="eastAsia" w:ascii="仿宋" w:hAnsi="仿宋" w:eastAsia="仿宋" w:cs="宋体"/>
                <w:szCs w:val="21"/>
              </w:rPr>
              <w:t>义乌市商城大道N1号</w:t>
            </w:r>
          </w:p>
          <w:p>
            <w:pPr>
              <w:snapToGrid w:val="0"/>
              <w:rPr>
                <w:rFonts w:ascii="仿宋" w:hAnsi="仿宋" w:eastAsia="仿宋" w:cs="宋体"/>
                <w:szCs w:val="21"/>
              </w:rPr>
            </w:pPr>
            <w:r>
              <w:rPr>
                <w:rFonts w:hint="eastAsia" w:ascii="仿宋" w:hAnsi="仿宋" w:eastAsia="仿宋" w:cs="宋体"/>
                <w:szCs w:val="21"/>
              </w:rPr>
              <w:t>联 系 人：张女士    联系电话：0579-89935114</w:t>
            </w:r>
          </w:p>
          <w:p>
            <w:pPr>
              <w:snapToGrid w:val="0"/>
              <w:rPr>
                <w:rFonts w:ascii="仿宋" w:hAnsi="仿宋" w:eastAsia="仿宋" w:cs="宋体"/>
                <w:szCs w:val="21"/>
              </w:rPr>
            </w:pPr>
            <w:r>
              <w:rPr>
                <w:rFonts w:hint="eastAsia" w:ascii="仿宋" w:hAnsi="仿宋" w:eastAsia="仿宋"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项目名称</w:t>
            </w:r>
          </w:p>
        </w:tc>
        <w:tc>
          <w:tcPr>
            <w:tcW w:w="7169" w:type="dxa"/>
            <w:vAlign w:val="center"/>
          </w:tcPr>
          <w:p>
            <w:pPr>
              <w:autoSpaceDE w:val="0"/>
              <w:autoSpaceDN w:val="0"/>
              <w:snapToGrid w:val="0"/>
              <w:ind w:right="266"/>
              <w:rPr>
                <w:rFonts w:ascii="仿宋" w:hAnsi="仿宋" w:eastAsia="仿宋" w:cs="宋体"/>
                <w:sz w:val="22"/>
                <w:szCs w:val="21"/>
              </w:rPr>
            </w:pPr>
            <w:r>
              <w:rPr>
                <w:rFonts w:hint="eastAsia" w:ascii="仿宋" w:hAnsi="仿宋" w:eastAsia="仿宋" w:cs="宋体"/>
                <w:kern w:val="0"/>
                <w:szCs w:val="21"/>
              </w:rPr>
              <w:t>浙江大学国际健康医学研究院2022-2023年度进口代理服务商遴选项目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招标范围</w:t>
            </w:r>
          </w:p>
        </w:tc>
        <w:tc>
          <w:tcPr>
            <w:tcW w:w="7169" w:type="dxa"/>
            <w:vAlign w:val="center"/>
          </w:tcPr>
          <w:p>
            <w:pPr>
              <w:autoSpaceDE w:val="0"/>
              <w:autoSpaceDN w:val="0"/>
              <w:snapToGrid w:val="0"/>
              <w:ind w:right="266"/>
              <w:rPr>
                <w:rFonts w:ascii="仿宋" w:hAnsi="仿宋" w:eastAsia="仿宋"/>
                <w:kern w:val="0"/>
              </w:rPr>
            </w:pPr>
            <w:r>
              <w:rPr>
                <w:rFonts w:hint="eastAsia" w:ascii="仿宋" w:hAnsi="仿宋" w:eastAsia="仿宋" w:cs="宋体"/>
                <w:kern w:val="0"/>
                <w:szCs w:val="21"/>
              </w:rPr>
              <w:t>浙江大学国际健康医学研究院2022-2023年度进口代理服务商遴选项目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5</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dstrike/>
                <w:szCs w:val="21"/>
              </w:rPr>
              <w:t>★</w:t>
            </w:r>
            <w:r>
              <w:rPr>
                <w:rFonts w:hint="eastAsia" w:ascii="仿宋" w:hAnsi="仿宋" w:eastAsia="仿宋" w:cs="宋体"/>
                <w:szCs w:val="21"/>
              </w:rPr>
              <w:t>投标人资格要求</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6</w:t>
            </w:r>
          </w:p>
        </w:tc>
        <w:tc>
          <w:tcPr>
            <w:tcW w:w="2092" w:type="dxa"/>
            <w:vAlign w:val="center"/>
          </w:tcPr>
          <w:p>
            <w:pPr>
              <w:snapToGrid w:val="0"/>
              <w:ind w:left="-149" w:leftChars="-71" w:right="-76" w:rightChars="-36"/>
              <w:jc w:val="center"/>
              <w:rPr>
                <w:rFonts w:ascii="仿宋" w:hAnsi="仿宋" w:eastAsia="仿宋" w:cs="宋体"/>
                <w:szCs w:val="21"/>
              </w:rPr>
            </w:pPr>
            <w:r>
              <w:rPr>
                <w:rFonts w:hint="eastAsia" w:ascii="仿宋" w:hAnsi="仿宋" w:eastAsia="仿宋" w:cs="宋体"/>
                <w:szCs w:val="21"/>
              </w:rPr>
              <w:t>是否接受联合体投标</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7</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招标答疑</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如有疑问，请投标人在</w:t>
            </w:r>
            <w:r>
              <w:rPr>
                <w:rFonts w:hint="eastAsia" w:ascii="仿宋" w:hAnsi="仿宋" w:eastAsia="仿宋" w:cs="宋体"/>
                <w:szCs w:val="21"/>
                <w:highlight w:val="yellow"/>
              </w:rPr>
              <w:t>2022年</w:t>
            </w:r>
            <w:r>
              <w:rPr>
                <w:rFonts w:ascii="仿宋" w:hAnsi="仿宋" w:eastAsia="仿宋" w:cs="宋体"/>
                <w:szCs w:val="21"/>
                <w:highlight w:val="yellow"/>
              </w:rPr>
              <w:t>8</w:t>
            </w:r>
            <w:r>
              <w:rPr>
                <w:rFonts w:hint="eastAsia" w:ascii="仿宋" w:hAnsi="仿宋" w:eastAsia="仿宋" w:cs="宋体"/>
                <w:szCs w:val="21"/>
                <w:highlight w:val="yellow"/>
              </w:rPr>
              <w:t>月</w:t>
            </w:r>
            <w:r>
              <w:rPr>
                <w:rFonts w:ascii="仿宋" w:hAnsi="仿宋" w:eastAsia="仿宋" w:cs="宋体"/>
                <w:szCs w:val="21"/>
                <w:highlight w:val="yellow"/>
              </w:rPr>
              <w:t>1</w:t>
            </w:r>
            <w:r>
              <w:rPr>
                <w:rFonts w:hint="eastAsia" w:ascii="仿宋" w:hAnsi="仿宋" w:eastAsia="仿宋" w:cs="宋体"/>
                <w:szCs w:val="21"/>
                <w:highlight w:val="yellow"/>
              </w:rPr>
              <w:t>8</w:t>
            </w:r>
            <w:r>
              <w:rPr>
                <w:rFonts w:hint="eastAsia" w:ascii="仿宋" w:hAnsi="仿宋" w:eastAsia="仿宋" w:cs="宋体"/>
                <w:color w:val="0000FF"/>
                <w:szCs w:val="21"/>
                <w:highlight w:val="yellow"/>
              </w:rPr>
              <w:t>日</w:t>
            </w:r>
            <w:r>
              <w:rPr>
                <w:rFonts w:hint="eastAsia" w:ascii="仿宋" w:hAnsi="仿宋" w:eastAsia="仿宋" w:cs="宋体"/>
                <w:szCs w:val="21"/>
                <w:highlight w:val="yellow"/>
              </w:rPr>
              <w:t>17时00分</w:t>
            </w:r>
            <w:r>
              <w:rPr>
                <w:rFonts w:hint="eastAsia" w:ascii="仿宋" w:hAnsi="仿宋" w:eastAsia="仿宋" w:cs="宋体"/>
                <w:szCs w:val="21"/>
              </w:rPr>
              <w:t>之前以书面盖章扫描形式发送电子邮件或传真至招标人，招标人将以书面方式回复所有已报名审核通过的单位。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8</w:t>
            </w:r>
          </w:p>
        </w:tc>
        <w:tc>
          <w:tcPr>
            <w:tcW w:w="2092" w:type="dxa"/>
            <w:vAlign w:val="center"/>
          </w:tcPr>
          <w:p>
            <w:pPr>
              <w:snapToGrid w:val="0"/>
              <w:jc w:val="center"/>
              <w:rPr>
                <w:rFonts w:ascii="仿宋" w:hAnsi="仿宋" w:eastAsia="仿宋" w:cs="宋体"/>
                <w:szCs w:val="21"/>
                <w:highlight w:val="yellow"/>
              </w:rPr>
            </w:pPr>
            <w:r>
              <w:rPr>
                <w:rFonts w:hint="eastAsia" w:ascii="仿宋" w:hAnsi="仿宋" w:eastAsia="仿宋" w:cs="宋体"/>
                <w:szCs w:val="21"/>
                <w:highlight w:val="yellow"/>
              </w:rPr>
              <w:t>投标文件份数</w:t>
            </w:r>
          </w:p>
        </w:tc>
        <w:tc>
          <w:tcPr>
            <w:tcW w:w="7169" w:type="dxa"/>
            <w:vAlign w:val="center"/>
          </w:tcPr>
          <w:p>
            <w:pPr>
              <w:snapToGrid w:val="0"/>
              <w:jc w:val="left"/>
              <w:rPr>
                <w:rFonts w:hint="eastAsia" w:ascii="仿宋" w:hAnsi="仿宋" w:eastAsia="仿宋" w:cs="宋体"/>
                <w:b/>
                <w:bCs/>
                <w:szCs w:val="21"/>
                <w:highlight w:val="yellow"/>
              </w:rPr>
            </w:pPr>
            <w:r>
              <w:rPr>
                <w:rFonts w:hint="eastAsia" w:ascii="仿宋" w:hAnsi="仿宋" w:eastAsia="仿宋" w:cs="宋体"/>
                <w:b/>
                <w:bCs/>
                <w:szCs w:val="21"/>
                <w:highlight w:val="yellow"/>
              </w:rPr>
              <w:t>正本</w:t>
            </w:r>
            <w:r>
              <w:rPr>
                <w:rFonts w:hint="eastAsia" w:ascii="仿宋" w:hAnsi="仿宋" w:eastAsia="仿宋" w:cs="宋体"/>
                <w:b/>
                <w:bCs/>
                <w:szCs w:val="21"/>
                <w:highlight w:val="yellow"/>
                <w:u w:val="single"/>
              </w:rPr>
              <w:t xml:space="preserve"> 1 </w:t>
            </w:r>
            <w:r>
              <w:rPr>
                <w:rFonts w:hint="eastAsia" w:ascii="仿宋" w:hAnsi="仿宋" w:eastAsia="仿宋" w:cs="宋体"/>
                <w:b/>
                <w:bCs/>
                <w:szCs w:val="21"/>
                <w:highlight w:val="yellow"/>
              </w:rPr>
              <w:t>份、副本</w:t>
            </w:r>
            <w:r>
              <w:rPr>
                <w:rFonts w:hint="eastAsia" w:ascii="仿宋" w:hAnsi="仿宋" w:eastAsia="仿宋" w:cs="宋体"/>
                <w:b/>
                <w:bCs/>
                <w:szCs w:val="21"/>
                <w:highlight w:val="yellow"/>
                <w:u w:val="single"/>
              </w:rPr>
              <w:t>2</w:t>
            </w:r>
            <w:r>
              <w:rPr>
                <w:rFonts w:hint="eastAsia" w:ascii="仿宋" w:hAnsi="仿宋" w:eastAsia="仿宋" w:cs="宋体"/>
                <w:b/>
                <w:bCs/>
                <w:szCs w:val="21"/>
                <w:highlight w:val="yellow"/>
              </w:rPr>
              <w:t>份</w:t>
            </w:r>
          </w:p>
          <w:p>
            <w:pPr>
              <w:snapToGrid w:val="0"/>
              <w:jc w:val="left"/>
              <w:rPr>
                <w:rFonts w:ascii="仿宋" w:hAnsi="仿宋" w:eastAsia="仿宋" w:cs="宋体"/>
                <w:szCs w:val="21"/>
                <w:highlight w:val="yellow"/>
              </w:rPr>
            </w:pPr>
            <w:r>
              <w:rPr>
                <w:rFonts w:hint="eastAsia" w:ascii="仿宋" w:hAnsi="仿宋" w:eastAsia="仿宋" w:cs="仿宋"/>
                <w:b/>
                <w:bCs/>
                <w:sz w:val="21"/>
                <w:highlight w:val="yellow"/>
              </w:rPr>
              <w:t>备注</w:t>
            </w:r>
            <w:r>
              <w:rPr>
                <w:rFonts w:hint="eastAsia" w:ascii="仿宋" w:hAnsi="仿宋" w:eastAsia="仿宋" w:cs="仿宋"/>
                <w:b/>
                <w:bCs/>
                <w:sz w:val="21"/>
                <w:highlight w:val="yellow"/>
                <w:lang w:val="en-US"/>
              </w:rPr>
              <w:t>:</w:t>
            </w:r>
            <w:r>
              <w:rPr>
                <w:rFonts w:hint="eastAsia" w:ascii="仿宋_GB2312" w:hAnsi="宋体" w:eastAsia="仿宋_GB2312"/>
                <w:sz w:val="21"/>
                <w:szCs w:val="24"/>
                <w:highlight w:val="yellow"/>
              </w:rPr>
              <w:t>若因为疫情</w:t>
            </w:r>
            <w:r>
              <w:rPr>
                <w:rFonts w:hint="eastAsia" w:ascii="仿宋_GB2312" w:hAnsi="宋体" w:eastAsia="仿宋_GB2312"/>
                <w:sz w:val="21"/>
                <w:szCs w:val="24"/>
                <w:highlight w:val="yellow"/>
                <w:lang w:val="en-US" w:eastAsia="zh-CN"/>
              </w:rPr>
              <w:t>导致标书无法送达</w:t>
            </w:r>
            <w:r>
              <w:rPr>
                <w:rFonts w:hint="eastAsia" w:ascii="仿宋_GB2312" w:hAnsi="宋体" w:eastAsia="仿宋_GB2312"/>
                <w:sz w:val="21"/>
                <w:szCs w:val="24"/>
                <w:highlight w:val="yellow"/>
              </w:rPr>
              <w:t>，则投标人可将技术文件和商务文件（盖章）分别扫描成PDF后分别加密，再将加密后的技术文件和商务文件分别发送至zhangjg91@126.com，投标截止后，投标人将技术文件加密密码和声明书一并发送至zhangjg91@126.com，待技术评审结束后，投标人再将商务文件加密密码发送至zhangjg91@126.com。且快递恢复正常后第一时间补寄投标文件至医学工程科，文件内容要求与加密PDF内容完全一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9</w:t>
            </w:r>
          </w:p>
        </w:tc>
        <w:tc>
          <w:tcPr>
            <w:tcW w:w="2092"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投标截止及开标</w:t>
            </w:r>
          </w:p>
          <w:p>
            <w:pPr>
              <w:snapToGrid w:val="0"/>
              <w:jc w:val="center"/>
              <w:rPr>
                <w:rFonts w:ascii="仿宋" w:hAnsi="仿宋" w:eastAsia="仿宋" w:cs="宋体"/>
                <w:szCs w:val="21"/>
              </w:rPr>
            </w:pPr>
            <w:r>
              <w:rPr>
                <w:rFonts w:hint="eastAsia" w:ascii="仿宋" w:hAnsi="仿宋" w:eastAsia="仿宋" w:cs="宋体"/>
                <w:szCs w:val="21"/>
              </w:rPr>
              <w:t>时间</w:t>
            </w:r>
          </w:p>
        </w:tc>
        <w:tc>
          <w:tcPr>
            <w:tcW w:w="7169" w:type="dxa"/>
            <w:tcBorders>
              <w:top w:val="single" w:color="000000" w:sz="6" w:space="0"/>
              <w:bottom w:val="single" w:color="000000" w:sz="6" w:space="0"/>
            </w:tcBorders>
            <w:shd w:val="clear" w:color="auto" w:fill="FFFFFF"/>
            <w:vAlign w:val="center"/>
          </w:tcPr>
          <w:p>
            <w:pPr>
              <w:pStyle w:val="9"/>
              <w:snapToGrid w:val="0"/>
              <w:jc w:val="left"/>
              <w:rPr>
                <w:rFonts w:ascii="仿宋" w:hAnsi="仿宋" w:eastAsia="仿宋" w:cs="宋体"/>
                <w:szCs w:val="21"/>
              </w:rPr>
            </w:pPr>
            <w:r>
              <w:rPr>
                <w:rFonts w:hint="eastAsia"/>
                <w:highlight w:val="yellow"/>
              </w:rPr>
              <w:t>2022年</w:t>
            </w:r>
            <w:r>
              <w:rPr>
                <w:highlight w:val="yellow"/>
              </w:rPr>
              <w:t>8</w:t>
            </w:r>
            <w:r>
              <w:rPr>
                <w:rFonts w:hint="eastAsia"/>
                <w:highlight w:val="yellow"/>
              </w:rPr>
              <w:t>月</w:t>
            </w:r>
            <w:r>
              <w:rPr>
                <w:highlight w:val="yellow"/>
              </w:rPr>
              <w:t>1</w:t>
            </w:r>
            <w:r>
              <w:rPr>
                <w:rFonts w:hint="eastAsia"/>
                <w:highlight w:val="yellow"/>
              </w:rPr>
              <w:t>9日09：30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10</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投标及开标地点</w:t>
            </w:r>
          </w:p>
        </w:tc>
        <w:tc>
          <w:tcPr>
            <w:tcW w:w="7169" w:type="dxa"/>
            <w:vAlign w:val="center"/>
          </w:tcPr>
          <w:p>
            <w:pPr>
              <w:snapToGrid w:val="0"/>
              <w:jc w:val="left"/>
              <w:rPr>
                <w:rFonts w:ascii="仿宋" w:hAnsi="仿宋" w:eastAsia="仿宋" w:cs="宋体"/>
                <w:szCs w:val="21"/>
              </w:rPr>
            </w:pPr>
            <w:r>
              <w:rPr>
                <w:rFonts w:hint="eastAsia" w:ascii="仿宋" w:hAnsi="仿宋" w:eastAsia="仿宋" w:cs="宋体"/>
                <w:kern w:val="0"/>
                <w:szCs w:val="21"/>
                <w:highlight w:val="yellow"/>
              </w:rPr>
              <w:t>浙江大学医学院附属第四医院医学工程科会议室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评标办法</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招标代理服务费</w:t>
            </w:r>
          </w:p>
        </w:tc>
        <w:tc>
          <w:tcPr>
            <w:tcW w:w="7169" w:type="dxa"/>
            <w:vAlign w:val="center"/>
          </w:tcPr>
          <w:p>
            <w:pPr>
              <w:snapToGrid w:val="0"/>
              <w:rPr>
                <w:rFonts w:ascii="仿宋" w:hAnsi="仿宋" w:eastAsia="仿宋" w:cs="宋体"/>
                <w:szCs w:val="21"/>
              </w:rPr>
            </w:pPr>
            <w:r>
              <w:rPr>
                <w:rFonts w:hint="eastAsia" w:ascii="仿宋" w:hAnsi="仿宋" w:eastAsia="仿宋" w:cs="宋体"/>
                <w:szCs w:val="21"/>
              </w:rPr>
              <w:t>无</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特别说明</w:t>
            </w:r>
          </w:p>
        </w:tc>
        <w:tc>
          <w:tcPr>
            <w:tcW w:w="7169" w:type="dxa"/>
            <w:vAlign w:val="center"/>
          </w:tcPr>
          <w:p>
            <w:pPr>
              <w:snapToGrid w:val="0"/>
              <w:rPr>
                <w:rFonts w:ascii="仿宋" w:hAnsi="仿宋" w:eastAsia="仿宋" w:cs="宋体"/>
                <w:szCs w:val="21"/>
              </w:rPr>
            </w:pPr>
            <w:r>
              <w:rPr>
                <w:rFonts w:hint="eastAsia" w:ascii="仿宋" w:hAnsi="仿宋" w:eastAsia="仿宋" w:cs="宋体"/>
                <w:szCs w:val="21"/>
              </w:rPr>
              <w:t>因遴选方式无专用的相关术语，故借用招投标的术语进行表达，因此本文中所有涉及与招投标有关的术语实际是指用于本项目的遴选，如有歧义由采购人负责解释。</w:t>
            </w:r>
          </w:p>
        </w:tc>
      </w:tr>
    </w:tbl>
    <w:p>
      <w:pPr>
        <w:adjustRightInd/>
        <w:spacing w:line="360" w:lineRule="auto"/>
        <w:outlineLvl w:val="0"/>
        <w:rPr>
          <w:rFonts w:ascii="仿宋_GB2312" w:hAnsi="仿宋" w:eastAsia="仿宋_GB2312"/>
          <w:b/>
          <w:sz w:val="32"/>
          <w:szCs w:val="20"/>
        </w:rPr>
      </w:pPr>
    </w:p>
    <w:p>
      <w:pPr>
        <w:adjustRightInd/>
        <w:spacing w:line="360" w:lineRule="auto"/>
        <w:ind w:firstLine="3845" w:firstLineChars="1197"/>
        <w:outlineLvl w:val="0"/>
        <w:rPr>
          <w:rFonts w:ascii="仿宋_GB2312" w:hAnsi="仿宋" w:eastAsia="仿宋_GB2312"/>
          <w:b/>
          <w:sz w:val="32"/>
          <w:szCs w:val="20"/>
        </w:rPr>
      </w:pPr>
      <w:r>
        <w:rPr>
          <w:rFonts w:hint="eastAsia" w:ascii="仿宋_GB2312" w:hAnsi="仿宋" w:eastAsia="仿宋_GB2312"/>
          <w:b/>
          <w:sz w:val="32"/>
          <w:szCs w:val="20"/>
        </w:rPr>
        <w:br w:type="page"/>
      </w:r>
      <w:r>
        <w:rPr>
          <w:rFonts w:hint="eastAsia" w:ascii="仿宋_GB2312" w:hAnsi="仿宋" w:eastAsia="仿宋_GB2312"/>
          <w:b/>
          <w:sz w:val="32"/>
          <w:szCs w:val="20"/>
        </w:rPr>
        <w:t>一、总则</w:t>
      </w:r>
      <w:bookmarkEnd w:id="10"/>
    </w:p>
    <w:p>
      <w:pPr>
        <w:pStyle w:val="9"/>
        <w:spacing w:line="360" w:lineRule="auto"/>
        <w:rPr>
          <w:rFonts w:ascii="仿宋_GB2312" w:hAnsi="仿宋" w:eastAsia="仿宋_GB2312"/>
          <w:b/>
          <w:szCs w:val="24"/>
        </w:rPr>
      </w:pPr>
      <w:bookmarkStart w:id="11" w:name="_Hlt74730295"/>
      <w:bookmarkEnd w:id="11"/>
      <w:bookmarkStart w:id="12" w:name="_Hlt74714665"/>
      <w:bookmarkEnd w:id="12"/>
      <w:bookmarkStart w:id="13" w:name="_Hlt74730208"/>
      <w:bookmarkStart w:id="14" w:name="_Hlt74730112"/>
      <w:r>
        <w:rPr>
          <w:rFonts w:hint="eastAsia" w:ascii="仿宋_GB2312" w:hAnsi="仿宋" w:eastAsia="仿宋_GB2312"/>
          <w:b/>
          <w:szCs w:val="24"/>
        </w:rPr>
        <w:t>1.1项目说明</w:t>
      </w:r>
    </w:p>
    <w:p>
      <w:pPr>
        <w:pStyle w:val="9"/>
        <w:spacing w:line="360" w:lineRule="auto"/>
        <w:rPr>
          <w:rFonts w:ascii="仿宋_GB2312" w:hAnsi="仿宋" w:eastAsia="仿宋_GB2312"/>
          <w:szCs w:val="24"/>
        </w:rPr>
      </w:pPr>
      <w:r>
        <w:rPr>
          <w:rFonts w:hint="eastAsia" w:ascii="仿宋_GB2312" w:hAnsi="仿宋" w:eastAsia="仿宋_GB2312"/>
          <w:szCs w:val="24"/>
        </w:rPr>
        <w:t>项目名称：</w:t>
      </w:r>
      <w:r>
        <w:rPr>
          <w:rFonts w:hint="eastAsia" w:ascii="仿宋_GB2312" w:hAnsi="宋体" w:eastAsia="仿宋_GB2312"/>
          <w:u w:val="single"/>
        </w:rPr>
        <w:t>浙江大学国际健康医学研究院2022-2023年度进口代理服务商遴选项目</w:t>
      </w:r>
    </w:p>
    <w:p>
      <w:pPr>
        <w:pStyle w:val="9"/>
        <w:spacing w:line="360" w:lineRule="auto"/>
        <w:rPr>
          <w:rFonts w:ascii="仿宋_GB2312" w:hAnsi="仿宋" w:eastAsia="仿宋_GB2312"/>
          <w:b/>
          <w:szCs w:val="24"/>
        </w:rPr>
      </w:pPr>
      <w:r>
        <w:rPr>
          <w:rFonts w:hint="eastAsia" w:ascii="仿宋_GB2312" w:hAnsi="仿宋" w:eastAsia="仿宋_GB2312"/>
          <w:b/>
          <w:szCs w:val="24"/>
        </w:rPr>
        <w:t>1.2有关单位和机构</w:t>
      </w:r>
    </w:p>
    <w:p>
      <w:pPr>
        <w:pStyle w:val="9"/>
        <w:spacing w:line="360" w:lineRule="auto"/>
        <w:rPr>
          <w:rFonts w:ascii="仿宋_GB2312" w:hAnsi="仿宋" w:eastAsia="仿宋_GB2312"/>
          <w:szCs w:val="24"/>
        </w:rPr>
      </w:pPr>
      <w:r>
        <w:rPr>
          <w:rFonts w:hint="eastAsia" w:ascii="仿宋_GB2312" w:hAnsi="仿宋" w:eastAsia="仿宋_GB2312"/>
          <w:szCs w:val="24"/>
        </w:rPr>
        <w:t>招标人：浙江大学国际健康医学研究院</w:t>
      </w:r>
    </w:p>
    <w:p>
      <w:pPr>
        <w:pStyle w:val="9"/>
        <w:spacing w:line="360" w:lineRule="auto"/>
        <w:rPr>
          <w:rFonts w:ascii="仿宋_GB2312" w:hAnsi="仿宋" w:eastAsia="仿宋_GB2312"/>
          <w:szCs w:val="24"/>
        </w:rPr>
      </w:pPr>
      <w:r>
        <w:rPr>
          <w:rFonts w:hint="eastAsia" w:ascii="仿宋_GB2312" w:hAnsi="仿宋" w:eastAsia="仿宋_GB2312"/>
          <w:b/>
          <w:szCs w:val="24"/>
        </w:rPr>
        <w:t>1.3资格审查方式</w:t>
      </w:r>
      <w:r>
        <w:rPr>
          <w:rFonts w:hint="eastAsia" w:ascii="仿宋_GB2312" w:hAnsi="仿宋" w:eastAsia="仿宋_GB2312"/>
          <w:szCs w:val="24"/>
        </w:rPr>
        <w:t>：资格后审</w:t>
      </w:r>
    </w:p>
    <w:p>
      <w:pPr>
        <w:pStyle w:val="9"/>
        <w:spacing w:line="360" w:lineRule="auto"/>
        <w:rPr>
          <w:rFonts w:ascii="仿宋_GB2312" w:hAnsi="仿宋" w:eastAsia="仿宋_GB2312"/>
          <w:b/>
          <w:szCs w:val="24"/>
        </w:rPr>
      </w:pPr>
      <w:r>
        <w:rPr>
          <w:rFonts w:hint="eastAsia" w:ascii="仿宋_GB2312" w:hAnsi="仿宋" w:eastAsia="仿宋_GB2312"/>
          <w:b/>
          <w:szCs w:val="24"/>
        </w:rPr>
        <w:t>1.4招标范围</w:t>
      </w:r>
    </w:p>
    <w:p>
      <w:pPr>
        <w:pStyle w:val="9"/>
        <w:spacing w:line="360" w:lineRule="auto"/>
        <w:rPr>
          <w:rFonts w:ascii="仿宋_GB2312" w:hAnsi="仿宋" w:eastAsia="仿宋_GB2312"/>
          <w:szCs w:val="24"/>
        </w:rPr>
      </w:pPr>
      <w:r>
        <w:rPr>
          <w:rFonts w:hint="eastAsia" w:ascii="仿宋_GB2312" w:hAnsi="仿宋" w:eastAsia="仿宋_GB2312"/>
          <w:szCs w:val="24"/>
        </w:rPr>
        <w:t xml:space="preserve"> </w:t>
      </w:r>
    </w:p>
    <w:tbl>
      <w:tblPr>
        <w:tblStyle w:val="18"/>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标项</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1</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rPr>
            </w:pPr>
            <w:r>
              <w:rPr>
                <w:rFonts w:hint="eastAsia" w:ascii="仿宋_GB2312" w:hAnsi="宋体" w:eastAsia="仿宋_GB2312"/>
                <w:kern w:val="0"/>
              </w:rPr>
              <w:t>浙江大学国际健康医学研究院2022-2023年度进口代理服务商遴选项目</w:t>
            </w:r>
          </w:p>
        </w:tc>
      </w:tr>
    </w:tbl>
    <w:p>
      <w:pPr>
        <w:tabs>
          <w:tab w:val="left" w:pos="3780"/>
        </w:tabs>
        <w:spacing w:line="360" w:lineRule="auto"/>
        <w:rPr>
          <w:rFonts w:ascii="仿宋_GB2312" w:hAnsi="仿宋" w:eastAsia="仿宋_GB2312"/>
        </w:rPr>
      </w:pPr>
      <w:r>
        <w:rPr>
          <w:rFonts w:hint="eastAsia" w:ascii="仿宋_GB2312" w:hAnsi="仿宋" w:eastAsia="仿宋_GB2312"/>
          <w:b/>
        </w:rPr>
        <w:t>1.</w:t>
      </w:r>
      <w:r>
        <w:rPr>
          <w:rFonts w:ascii="仿宋_GB2312" w:hAnsi="仿宋" w:eastAsia="仿宋_GB2312"/>
          <w:b/>
        </w:rPr>
        <w:t>5</w:t>
      </w:r>
      <w:r>
        <w:rPr>
          <w:rFonts w:hint="eastAsia" w:ascii="仿宋_GB2312" w:hAnsi="仿宋" w:eastAsia="仿宋_GB2312"/>
        </w:rPr>
        <w:t>采购文件</w:t>
      </w:r>
    </w:p>
    <w:p>
      <w:pPr>
        <w:tabs>
          <w:tab w:val="left" w:pos="3780"/>
        </w:tabs>
        <w:spacing w:line="360" w:lineRule="auto"/>
        <w:rPr>
          <w:rFonts w:ascii="仿宋_GB2312" w:eastAsia="仿宋_GB2312"/>
        </w:rPr>
      </w:pPr>
      <w:r>
        <w:rPr>
          <w:rFonts w:hint="eastAsia" w:ascii="仿宋_GB2312" w:hAnsi="宋体" w:eastAsia="仿宋_GB2312"/>
        </w:rPr>
        <w:t>投标人须对所投产品、方案、技术、服务等拥有</w:t>
      </w:r>
      <w:r>
        <w:rPr>
          <w:rFonts w:hint="eastAsia" w:ascii="仿宋_GB2312" w:hAnsi="宋体" w:eastAsia="仿宋_GB2312" w:cs="Vrinda"/>
        </w:rPr>
        <w:t>合法的占有和处置权，并对涉及项目的</w:t>
      </w:r>
      <w:r>
        <w:rPr>
          <w:rFonts w:hint="eastAsia" w:ascii="仿宋_GB2312" w:hAnsi="宋体" w:eastAsia="仿宋_GB2312"/>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kern w:val="0"/>
          <w:lang w:val="zh-CN"/>
        </w:rPr>
        <w:t>供应商</w:t>
      </w:r>
      <w:r>
        <w:rPr>
          <w:rFonts w:hint="eastAsia" w:ascii="仿宋_GB2312" w:eastAsia="仿宋_GB2312"/>
        </w:rPr>
        <w:t>应承担相应后果，</w:t>
      </w:r>
      <w:r>
        <w:rPr>
          <w:rFonts w:hint="eastAsia" w:ascii="仿宋_GB2312" w:eastAsia="仿宋_GB2312"/>
          <w:kern w:val="0"/>
          <w:lang w:val="zh-CN"/>
        </w:rPr>
        <w:t>并负责赔偿。</w:t>
      </w:r>
      <w:r>
        <w:rPr>
          <w:rFonts w:hint="eastAsia" w:ascii="仿宋_GB2312" w:eastAsia="仿宋_GB2312"/>
        </w:rPr>
        <w:t>供应商为执行本项目合同而提供的技术资料等归采购人所有。</w:t>
      </w:r>
    </w:p>
    <w:p>
      <w:pPr>
        <w:pStyle w:val="9"/>
        <w:spacing w:line="360" w:lineRule="auto"/>
        <w:rPr>
          <w:rFonts w:ascii="仿宋_GB2312" w:hAnsi="仿宋" w:eastAsia="仿宋_GB2312"/>
          <w:b/>
        </w:rPr>
      </w:pPr>
      <w:r>
        <w:rPr>
          <w:rFonts w:ascii="仿宋_GB2312" w:hAnsi="仿宋" w:eastAsia="仿宋_GB2312"/>
          <w:b/>
          <w:szCs w:val="24"/>
        </w:rPr>
        <w:t>1.6特别说明</w:t>
      </w:r>
    </w:p>
    <w:p>
      <w:pPr>
        <w:tabs>
          <w:tab w:val="left" w:pos="3780"/>
        </w:tabs>
        <w:spacing w:line="360" w:lineRule="auto"/>
        <w:rPr>
          <w:rFonts w:ascii="仿宋_GB2312" w:hAnsi="仿宋" w:eastAsia="仿宋_GB2312"/>
        </w:rPr>
      </w:pPr>
      <w:r>
        <w:rPr>
          <w:rFonts w:hint="eastAsia" w:ascii="仿宋_GB2312" w:hAnsi="仿宋" w:eastAsia="仿宋_GB2312"/>
        </w:rPr>
        <w:t>供应商应仔细阅读采购文件的所有内容，按照采购文件的要求提交响应文件，并对所提供的全部资料的真实性承担法律责任。</w:t>
      </w:r>
    </w:p>
    <w:p>
      <w:pPr>
        <w:pStyle w:val="9"/>
        <w:spacing w:line="360" w:lineRule="auto"/>
        <w:rPr>
          <w:rFonts w:ascii="仿宋_GB2312" w:hAnsi="仿宋" w:eastAsia="仿宋_GB2312"/>
          <w:b/>
          <w:szCs w:val="24"/>
        </w:rPr>
      </w:pPr>
      <w:bookmarkStart w:id="15" w:name="_Toc91899873"/>
      <w:r>
        <w:rPr>
          <w:rFonts w:hint="eastAsia" w:ascii="仿宋_GB2312" w:hAnsi="仿宋" w:eastAsia="仿宋_GB2312"/>
          <w:b/>
          <w:szCs w:val="24"/>
        </w:rPr>
        <w:t>1.</w:t>
      </w:r>
      <w:r>
        <w:rPr>
          <w:rFonts w:ascii="仿宋_GB2312" w:hAnsi="仿宋" w:eastAsia="仿宋_GB2312"/>
          <w:b/>
          <w:szCs w:val="24"/>
        </w:rPr>
        <w:t>7</w:t>
      </w:r>
      <w:r>
        <w:rPr>
          <w:rFonts w:hint="eastAsia" w:ascii="仿宋_GB2312" w:hAnsi="仿宋" w:eastAsia="仿宋_GB2312"/>
          <w:b/>
          <w:szCs w:val="24"/>
        </w:rPr>
        <w:t>采购方式</w:t>
      </w:r>
      <w:bookmarkEnd w:id="15"/>
    </w:p>
    <w:p>
      <w:pPr>
        <w:tabs>
          <w:tab w:val="left" w:pos="3780"/>
        </w:tabs>
        <w:spacing w:line="360" w:lineRule="auto"/>
        <w:ind w:firstLine="420" w:firstLineChars="200"/>
        <w:rPr>
          <w:rFonts w:ascii="仿宋_GB2312" w:hAnsi="仿宋" w:eastAsia="仿宋_GB2312"/>
        </w:rPr>
      </w:pPr>
      <w:r>
        <w:rPr>
          <w:rFonts w:hint="eastAsia" w:ascii="仿宋_GB2312" w:hAnsi="仿宋" w:eastAsia="仿宋_GB2312"/>
        </w:rPr>
        <w:t>单位自行组织。</w:t>
      </w:r>
      <w:bookmarkEnd w:id="13"/>
      <w:bookmarkEnd w:id="14"/>
      <w:bookmarkStart w:id="16" w:name="_Hlt68057669"/>
      <w:bookmarkEnd w:id="16"/>
      <w:bookmarkStart w:id="17" w:name="_Hlt68072990"/>
      <w:bookmarkEnd w:id="17"/>
      <w:bookmarkStart w:id="18" w:name="_Hlt75236290"/>
      <w:bookmarkEnd w:id="18"/>
      <w:bookmarkStart w:id="19" w:name="_Hlt74388212"/>
      <w:bookmarkEnd w:id="19"/>
      <w:bookmarkStart w:id="20" w:name="_Hlt68516771"/>
      <w:bookmarkEnd w:id="20"/>
      <w:bookmarkStart w:id="21" w:name="_Hlt74729768"/>
      <w:bookmarkEnd w:id="21"/>
      <w:bookmarkStart w:id="22" w:name="_Hlt74707468"/>
      <w:bookmarkEnd w:id="22"/>
      <w:bookmarkStart w:id="23" w:name="_Toc91899879"/>
    </w:p>
    <w:p>
      <w:pPr>
        <w:pStyle w:val="9"/>
        <w:spacing w:line="360" w:lineRule="auto"/>
        <w:rPr>
          <w:rFonts w:ascii="仿宋_GB2312" w:hAnsi="仿宋" w:eastAsia="仿宋_GB2312"/>
          <w:b/>
          <w:szCs w:val="24"/>
        </w:rPr>
      </w:pPr>
      <w:r>
        <w:rPr>
          <w:rFonts w:hint="eastAsia" w:ascii="仿宋_GB2312" w:hAnsi="仿宋" w:eastAsia="仿宋_GB2312"/>
          <w:b/>
          <w:szCs w:val="24"/>
        </w:rPr>
        <w:t>1.</w:t>
      </w:r>
      <w:r>
        <w:rPr>
          <w:rFonts w:ascii="仿宋_GB2312" w:hAnsi="仿宋" w:eastAsia="仿宋_GB2312"/>
          <w:b/>
          <w:szCs w:val="24"/>
        </w:rPr>
        <w:t>8</w:t>
      </w:r>
      <w:r>
        <w:rPr>
          <w:rFonts w:hint="eastAsia" w:ascii="仿宋_GB2312" w:hAnsi="仿宋" w:eastAsia="仿宋_GB2312"/>
          <w:b/>
          <w:szCs w:val="24"/>
        </w:rPr>
        <w:t>服务期限</w:t>
      </w:r>
    </w:p>
    <w:p>
      <w:pPr>
        <w:tabs>
          <w:tab w:val="left" w:pos="3780"/>
        </w:tabs>
        <w:spacing w:line="360" w:lineRule="auto"/>
        <w:ind w:firstLine="420" w:firstLineChars="200"/>
        <w:rPr>
          <w:rFonts w:ascii="仿宋_GB2312" w:hAnsi="仿宋" w:eastAsia="仿宋_GB2312"/>
          <w:highlight w:val="green"/>
        </w:rPr>
      </w:pPr>
      <w:r>
        <w:rPr>
          <w:rFonts w:hint="eastAsia" w:ascii="仿宋_GB2312" w:hAnsi="仿宋" w:eastAsia="仿宋_GB2312"/>
          <w:highlight w:val="green"/>
        </w:rPr>
        <w:t>一</w:t>
      </w:r>
      <w:r>
        <w:rPr>
          <w:rFonts w:ascii="仿宋_GB2312" w:hAnsi="仿宋" w:eastAsia="仿宋_GB2312"/>
          <w:highlight w:val="green"/>
        </w:rPr>
        <w:t>年。甲方可与</w:t>
      </w:r>
      <w:r>
        <w:rPr>
          <w:rFonts w:hint="eastAsia" w:ascii="仿宋_GB2312" w:hAnsi="仿宋" w:eastAsia="仿宋_GB2312"/>
          <w:highlight w:val="green"/>
        </w:rPr>
        <w:t>年度</w:t>
      </w:r>
      <w:r>
        <w:rPr>
          <w:rFonts w:ascii="仿宋_GB2312" w:hAnsi="仿宋" w:eastAsia="仿宋_GB2312"/>
          <w:highlight w:val="green"/>
        </w:rPr>
        <w:t>考核分数在90分（包括90分）以上的乙方续签合同。如续签，则续签合同期限不超过1年，续签不超过2次，全部合同累计时间最长3年，同时新一期费用与上一期相同。如因国家法律法规、政策变动或主管单位文件、命令、突发公告卫生事件等要求，甲方亦可提前终止合同，需提前30天书面通知乙方。</w:t>
      </w:r>
    </w:p>
    <w:p>
      <w:pPr>
        <w:pStyle w:val="17"/>
        <w:ind w:firstLine="240"/>
        <w:rPr>
          <w:lang w:val="en-US"/>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二、</w:t>
      </w:r>
      <w:bookmarkEnd w:id="23"/>
      <w:r>
        <w:rPr>
          <w:rFonts w:hint="eastAsia" w:ascii="仿宋_GB2312" w:hAnsi="仿宋" w:eastAsia="仿宋_GB2312"/>
          <w:b/>
          <w:sz w:val="32"/>
          <w:szCs w:val="20"/>
        </w:rPr>
        <w:t>投标须知</w:t>
      </w:r>
    </w:p>
    <w:p>
      <w:pPr>
        <w:pStyle w:val="9"/>
        <w:spacing w:line="360" w:lineRule="auto"/>
        <w:rPr>
          <w:rFonts w:ascii="仿宋_GB2312" w:hAnsi="仿宋" w:eastAsia="仿宋_GB2312"/>
          <w:b/>
          <w:szCs w:val="24"/>
        </w:rPr>
      </w:pPr>
      <w:bookmarkStart w:id="24" w:name="_Toc91899880"/>
      <w:bookmarkStart w:id="25" w:name="_Hlt74730307"/>
    </w:p>
    <w:p>
      <w:pPr>
        <w:pStyle w:val="9"/>
        <w:spacing w:line="360" w:lineRule="auto"/>
        <w:rPr>
          <w:rFonts w:ascii="仿宋_GB2312" w:hAnsi="仿宋" w:eastAsia="仿宋_GB2312"/>
          <w:b/>
          <w:szCs w:val="24"/>
        </w:rPr>
      </w:pPr>
      <w:r>
        <w:rPr>
          <w:rFonts w:hint="eastAsia" w:ascii="仿宋_GB2312" w:hAnsi="仿宋" w:eastAsia="仿宋_GB2312"/>
          <w:b/>
          <w:szCs w:val="24"/>
        </w:rPr>
        <w:t>2.1招标方式</w:t>
      </w:r>
    </w:p>
    <w:p>
      <w:pPr>
        <w:pStyle w:val="9"/>
        <w:spacing w:line="360" w:lineRule="auto"/>
        <w:rPr>
          <w:rFonts w:ascii="仿宋_GB2312" w:hAnsi="仿宋" w:eastAsia="仿宋_GB2312"/>
          <w:szCs w:val="21"/>
        </w:rPr>
      </w:pPr>
      <w:r>
        <w:rPr>
          <w:rFonts w:hint="eastAsia" w:ascii="仿宋_GB2312" w:hAnsi="仿宋" w:eastAsia="仿宋_GB2312"/>
          <w:sz w:val="18"/>
          <w:szCs w:val="18"/>
        </w:rPr>
        <w:t xml:space="preserve">    </w:t>
      </w:r>
      <w:r>
        <w:rPr>
          <w:rFonts w:hint="eastAsia" w:ascii="仿宋_GB2312" w:hAnsi="仿宋" w:eastAsia="仿宋_GB2312"/>
          <w:szCs w:val="21"/>
        </w:rPr>
        <w:t>本次招标参考《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2.2资格条件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2.2.1投标人资格要求见招标公告所述。</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2.2.2本项目采用资格后审方式确定合格投标人。</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2.3采购文件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2.3.1 采购文件内容：</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1)采购公告</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2)编制和提交采购响应文件须知</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3)评标办法及评分标准</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4)项目技术规范和服务要求</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5)采购合同主要条款</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6)应提交的有关格式范例</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除上述所列内容外，招标人单位的任何工作人员对投标人所作的任何口头解释、介绍、答复，只能供投标人参考，对招标人和投标人无任何约束力。</w:t>
      </w:r>
    </w:p>
    <w:p>
      <w:pPr>
        <w:pStyle w:val="9"/>
        <w:spacing w:line="360" w:lineRule="auto"/>
        <w:rPr>
          <w:rFonts w:ascii="仿宋_GB2312" w:hAnsi="仿宋" w:eastAsia="仿宋_GB2312"/>
          <w:b/>
          <w:szCs w:val="24"/>
        </w:rPr>
      </w:pPr>
      <w:r>
        <w:rPr>
          <w:rFonts w:hint="eastAsia" w:ascii="仿宋_GB2312" w:hAnsi="仿宋" w:eastAsia="仿宋_GB2312"/>
          <w:b/>
          <w:szCs w:val="24"/>
        </w:rPr>
        <w:t xml:space="preserve">    2.3.2审阅采购文件 </w:t>
      </w:r>
    </w:p>
    <w:p>
      <w:pPr>
        <w:pStyle w:val="9"/>
        <w:spacing w:line="360" w:lineRule="auto"/>
        <w:rPr>
          <w:rFonts w:ascii="仿宋_GB2312" w:hAnsi="仿宋" w:eastAsia="仿宋_GB2312"/>
          <w:szCs w:val="24"/>
        </w:rPr>
      </w:pPr>
      <w:r>
        <w:rPr>
          <w:rFonts w:hint="eastAsia" w:ascii="仿宋_GB2312" w:hAnsi="仿宋" w:eastAsia="仿宋_GB2312"/>
          <w:szCs w:val="24"/>
        </w:rPr>
        <w:t xml:space="preserve">    投标人应认真审阅采购文件中所有的须知、条件、格式、条款、规范，如果投标人的投标文件不能满足采购文件的要求，责任由投标人自负。不符合采购文件实质性要求的投标文件都将有可能被否决。</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2.3.3采购文件的澄清</w:t>
      </w:r>
    </w:p>
    <w:p>
      <w:pPr>
        <w:pStyle w:val="9"/>
        <w:spacing w:line="360" w:lineRule="auto"/>
        <w:rPr>
          <w:rFonts w:ascii="仿宋_GB2312" w:hAnsi="仿宋" w:eastAsia="仿宋_GB2312"/>
          <w:szCs w:val="24"/>
        </w:rPr>
      </w:pPr>
      <w:r>
        <w:rPr>
          <w:rFonts w:hint="eastAsia" w:ascii="仿宋_GB2312" w:hAnsi="仿宋" w:eastAsia="仿宋_GB2312"/>
          <w:szCs w:val="24"/>
        </w:rPr>
        <w:t xml:space="preserve">    要求澄清采购文件的投标人应按前附表规定执行。招标人将以书面、传真等方式至少在约定的开标时间前答复所有已获取采购文件的投标人。                       </w:t>
      </w:r>
    </w:p>
    <w:p>
      <w:pPr>
        <w:pStyle w:val="9"/>
        <w:spacing w:line="360" w:lineRule="auto"/>
        <w:ind w:firstLine="420" w:firstLineChars="199"/>
        <w:rPr>
          <w:rFonts w:ascii="仿宋_GB2312" w:hAnsi="仿宋" w:eastAsia="仿宋_GB2312"/>
          <w:b/>
          <w:szCs w:val="24"/>
        </w:rPr>
      </w:pPr>
      <w:r>
        <w:rPr>
          <w:rFonts w:hint="eastAsia" w:ascii="仿宋_GB2312" w:hAnsi="仿宋" w:eastAsia="仿宋_GB2312"/>
          <w:b/>
          <w:szCs w:val="24"/>
        </w:rPr>
        <w:t>2.4采购文件的修改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2.4.1招标人在投标截止日前的任何时间，可对采购文件进行修改。这种修改可能是招标人主动作出的，也可能是为了解答投标人要求澄清的问题而作出的。</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2.4.2补充文件将以书面、传真等方式发给所有获得采购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ascii="仿宋_GB2312" w:hAnsi="仿宋" w:eastAsia="仿宋_GB2312"/>
          <w:b/>
          <w:szCs w:val="24"/>
        </w:rPr>
      </w:pPr>
      <w:r>
        <w:rPr>
          <w:rFonts w:hint="eastAsia" w:ascii="仿宋_GB2312" w:hAnsi="仿宋" w:eastAsia="仿宋_GB2312"/>
          <w:b/>
          <w:szCs w:val="24"/>
        </w:rPr>
        <w:t>2.5采购文件的效力</w:t>
      </w:r>
    </w:p>
    <w:p>
      <w:pPr>
        <w:pStyle w:val="9"/>
        <w:spacing w:line="360" w:lineRule="auto"/>
        <w:rPr>
          <w:rFonts w:ascii="仿宋_GB2312" w:hAnsi="仿宋" w:eastAsia="仿宋_GB2312"/>
          <w:szCs w:val="24"/>
        </w:rPr>
      </w:pPr>
      <w:r>
        <w:rPr>
          <w:rFonts w:hint="eastAsia" w:ascii="仿宋_GB2312" w:hAnsi="仿宋" w:eastAsia="仿宋_GB2312"/>
          <w:szCs w:val="24"/>
        </w:rPr>
        <w:t xml:space="preserve">    采购文件是招标和投标的有效依据，也是中标后签订合同的依据，对招投标双方均具有约束力。凡不遵守采购文件规定的投标或对采购文件的实质性内容不响应者，其投标文件将可能被否决。</w:t>
      </w:r>
    </w:p>
    <w:p>
      <w:pPr>
        <w:pStyle w:val="9"/>
        <w:spacing w:line="360" w:lineRule="auto"/>
        <w:rPr>
          <w:rFonts w:ascii="仿宋_GB2312" w:hAnsi="仿宋" w:eastAsia="仿宋_GB2312"/>
          <w:b/>
          <w:sz w:val="24"/>
          <w:szCs w:val="24"/>
        </w:rPr>
      </w:pPr>
    </w:p>
    <w:bookmarkEnd w:id="24"/>
    <w:bookmarkEnd w:id="25"/>
    <w:p>
      <w:pPr>
        <w:pStyle w:val="7"/>
        <w:rPr>
          <w:rFonts w:ascii="仿宋_GB2312" w:hAnsi="仿宋" w:eastAsia="仿宋_GB2312"/>
          <w:sz w:val="18"/>
          <w:szCs w:val="18"/>
          <w:lang w:val="en-US"/>
        </w:rPr>
      </w:pPr>
      <w:r>
        <w:rPr>
          <w:rFonts w:hint="eastAsia" w:ascii="仿宋_GB2312" w:hAnsi="仿宋" w:eastAsia="仿宋_GB2312"/>
          <w:szCs w:val="24"/>
          <w:lang w:val="en-US"/>
        </w:rPr>
        <w:t xml:space="preserve">    </w:t>
      </w:r>
    </w:p>
    <w:p>
      <w:pPr>
        <w:adjustRightInd/>
        <w:spacing w:line="360" w:lineRule="auto"/>
        <w:jc w:val="center"/>
        <w:outlineLvl w:val="0"/>
        <w:rPr>
          <w:rFonts w:ascii="仿宋_GB2312" w:hAnsi="仿宋" w:eastAsia="仿宋_GB2312"/>
          <w:b/>
          <w:sz w:val="30"/>
          <w:szCs w:val="20"/>
        </w:rPr>
      </w:pPr>
      <w:bookmarkStart w:id="26" w:name="_Hlt75236011"/>
      <w:bookmarkEnd w:id="26"/>
      <w:bookmarkStart w:id="27" w:name="_Toc91899884"/>
      <w:r>
        <w:rPr>
          <w:rFonts w:hint="eastAsia" w:ascii="仿宋_GB2312" w:hAnsi="仿宋" w:eastAsia="仿宋_GB2312"/>
          <w:b/>
          <w:sz w:val="30"/>
          <w:szCs w:val="20"/>
        </w:rPr>
        <w:t>三、投标文件的编制</w:t>
      </w:r>
      <w:bookmarkEnd w:id="27"/>
    </w:p>
    <w:p>
      <w:pPr>
        <w:pStyle w:val="9"/>
        <w:spacing w:line="360" w:lineRule="auto"/>
        <w:rPr>
          <w:rFonts w:ascii="仿宋_GB2312" w:hAnsi="仿宋" w:eastAsia="仿宋_GB2312"/>
          <w:b/>
          <w:szCs w:val="24"/>
        </w:rPr>
      </w:pPr>
      <w:bookmarkStart w:id="28" w:name="_Toc86216991"/>
      <w:bookmarkStart w:id="29" w:name="_Toc91899892"/>
      <w:r>
        <w:rPr>
          <w:rFonts w:hint="eastAsia" w:ascii="仿宋_GB2312" w:hAnsi="仿宋" w:eastAsia="仿宋_GB2312"/>
          <w:b/>
          <w:szCs w:val="24"/>
        </w:rPr>
        <w:t>3.1投标文件的语言</w:t>
      </w:r>
    </w:p>
    <w:p>
      <w:pPr>
        <w:autoSpaceDE w:val="0"/>
        <w:autoSpaceDN w:val="0"/>
        <w:spacing w:line="360" w:lineRule="auto"/>
        <w:ind w:firstLine="420" w:firstLineChars="200"/>
        <w:rPr>
          <w:rFonts w:ascii="仿宋_GB2312" w:hAnsi="仿宋" w:eastAsia="仿宋_GB2312"/>
          <w:lang w:val="zh-CN"/>
        </w:rPr>
      </w:pPr>
      <w:r>
        <w:rPr>
          <w:rFonts w:hint="eastAsia" w:ascii="仿宋_GB2312" w:hAnsi="仿宋" w:eastAsia="仿宋_GB2312"/>
        </w:rPr>
        <w:t>投标文件及投标人与采购有关的来往通知、函件和文件均应使用中文。</w:t>
      </w:r>
    </w:p>
    <w:p>
      <w:pPr>
        <w:pStyle w:val="9"/>
        <w:spacing w:line="360" w:lineRule="auto"/>
        <w:rPr>
          <w:rFonts w:ascii="仿宋_GB2312" w:hAnsi="仿宋" w:eastAsia="仿宋_GB2312"/>
          <w:b/>
          <w:szCs w:val="24"/>
        </w:rPr>
      </w:pPr>
      <w:r>
        <w:rPr>
          <w:rFonts w:hint="eastAsia" w:ascii="仿宋_GB2312" w:hAnsi="仿宋" w:eastAsia="仿宋_GB2312"/>
          <w:b/>
          <w:szCs w:val="24"/>
        </w:rPr>
        <w:t>3.2投标文件的组成</w:t>
      </w:r>
    </w:p>
    <w:p>
      <w:pPr>
        <w:pStyle w:val="9"/>
        <w:snapToGrid w:val="0"/>
        <w:spacing w:line="360" w:lineRule="auto"/>
        <w:ind w:firstLine="420" w:firstLineChars="200"/>
        <w:rPr>
          <w:rFonts w:ascii="仿宋_GB2312" w:hAnsi="仿宋" w:eastAsia="仿宋_GB2312"/>
          <w:kern w:val="0"/>
          <w:szCs w:val="24"/>
          <w:lang w:val="zh-CN"/>
        </w:rPr>
      </w:pPr>
      <w:r>
        <w:rPr>
          <w:rFonts w:hint="eastAsia" w:ascii="仿宋_GB2312" w:hAnsi="仿宋" w:eastAsia="仿宋_GB2312"/>
          <w:kern w:val="0"/>
          <w:szCs w:val="24"/>
        </w:rPr>
        <w:t>投标文件应当包括以下主要内容：报价文件、资格文件、商务</w:t>
      </w:r>
      <w:r>
        <w:rPr>
          <w:rFonts w:hint="eastAsia" w:ascii="仿宋_GB2312" w:hAnsi="仿宋" w:eastAsia="仿宋_GB2312"/>
          <w:b/>
          <w:szCs w:val="24"/>
        </w:rPr>
        <w:t>技术文件</w:t>
      </w:r>
      <w:r>
        <w:rPr>
          <w:rFonts w:hint="eastAsia" w:ascii="仿宋_GB2312" w:hAnsi="仿宋" w:eastAsia="仿宋_GB2312"/>
          <w:szCs w:val="24"/>
        </w:rPr>
        <w:t>。</w:t>
      </w:r>
    </w:p>
    <w:p>
      <w:pPr>
        <w:pStyle w:val="9"/>
        <w:spacing w:line="360" w:lineRule="auto"/>
        <w:ind w:firstLine="420" w:firstLineChars="200"/>
        <w:rPr>
          <w:rFonts w:ascii="仿宋_GB2312" w:hAnsi="仿宋" w:eastAsia="仿宋_GB2312"/>
          <w:b/>
          <w:kern w:val="0"/>
          <w:szCs w:val="24"/>
          <w:lang w:val="zh-CN"/>
        </w:rPr>
      </w:pPr>
      <w:bookmarkStart w:id="30" w:name="_Hlt68072998"/>
      <w:bookmarkEnd w:id="30"/>
      <w:bookmarkStart w:id="31" w:name="_Hlt68403820"/>
      <w:bookmarkEnd w:id="31"/>
      <w:bookmarkStart w:id="32" w:name="_Hlt68073093"/>
      <w:bookmarkEnd w:id="32"/>
      <w:r>
        <w:rPr>
          <w:rFonts w:hint="eastAsia" w:ascii="仿宋_GB2312" w:hAnsi="仿宋" w:eastAsia="仿宋_GB2312"/>
          <w:kern w:val="0"/>
          <w:szCs w:val="24"/>
        </w:rPr>
        <w:t>采购文件</w:t>
      </w:r>
      <w:r>
        <w:rPr>
          <w:rFonts w:ascii="仿宋_GB2312" w:hAnsi="仿宋" w:eastAsia="仿宋_GB2312"/>
          <w:b/>
          <w:kern w:val="0"/>
          <w:szCs w:val="24"/>
          <w:lang w:val="zh-CN"/>
        </w:rPr>
        <w:t>3.2.1投标文件的组成</w:t>
      </w:r>
      <w:r>
        <w:rPr>
          <w:rFonts w:hint="eastAsia" w:ascii="仿宋_GB2312" w:hAnsi="仿宋" w:eastAsia="仿宋_GB2312"/>
          <w:b/>
          <w:kern w:val="0"/>
          <w:szCs w:val="24"/>
          <w:lang w:val="zh-CN"/>
        </w:rPr>
        <w:t>：</w:t>
      </w:r>
    </w:p>
    <w:p>
      <w:pPr>
        <w:snapToGrid w:val="0"/>
        <w:spacing w:line="360" w:lineRule="auto"/>
        <w:ind w:firstLine="413" w:firstLineChars="196"/>
        <w:jc w:val="left"/>
        <w:outlineLvl w:val="0"/>
        <w:rPr>
          <w:rFonts w:ascii="仿宋_GB2312" w:hAnsi="宋体" w:eastAsia="仿宋_GB2312"/>
          <w:b/>
        </w:rPr>
      </w:pPr>
      <w:r>
        <w:rPr>
          <w:rFonts w:hint="eastAsia" w:ascii="仿宋_GB2312" w:hAnsi="宋体" w:eastAsia="仿宋_GB2312"/>
          <w:b/>
        </w:rPr>
        <w:t>（一）报价文件</w:t>
      </w:r>
    </w:p>
    <w:p>
      <w:pPr>
        <w:pStyle w:val="17"/>
        <w:numPr>
          <w:ilvl w:val="0"/>
          <w:numId w:val="3"/>
        </w:numPr>
        <w:ind w:firstLineChars="0"/>
        <w:rPr>
          <w:rFonts w:ascii="仿宋" w:hAnsi="仿宋" w:eastAsia="仿宋" w:cs="仿宋"/>
          <w:bCs/>
        </w:rPr>
      </w:pPr>
      <w:r>
        <w:rPr>
          <w:rFonts w:hint="eastAsia" w:ascii="仿宋" w:hAnsi="仿宋" w:eastAsia="仿宋" w:cs="仿宋"/>
          <w:bCs/>
          <w:sz w:val="21"/>
          <w:lang w:val="en-US"/>
        </w:rPr>
        <w:t>报价一览表</w:t>
      </w:r>
    </w:p>
    <w:p>
      <w:pPr>
        <w:snapToGrid w:val="0"/>
        <w:spacing w:line="360" w:lineRule="auto"/>
        <w:ind w:left="210"/>
        <w:jc w:val="left"/>
        <w:outlineLvl w:val="0"/>
        <w:rPr>
          <w:rFonts w:ascii="仿宋_GB2312" w:hAnsi="宋体" w:eastAsia="仿宋_GB2312"/>
          <w:b/>
        </w:rPr>
      </w:pPr>
      <w:r>
        <w:rPr>
          <w:rFonts w:hint="eastAsia" w:ascii="仿宋_GB2312" w:hAnsi="宋体" w:eastAsia="仿宋_GB2312"/>
          <w:b/>
        </w:rPr>
        <w:t>（二）资格文件</w:t>
      </w:r>
    </w:p>
    <w:p>
      <w:pPr>
        <w:snapToGrid w:val="0"/>
        <w:spacing w:line="360" w:lineRule="auto"/>
        <w:ind w:firstLine="420" w:firstLineChars="200"/>
        <w:rPr>
          <w:rFonts w:ascii="仿宋" w:hAnsi="仿宋" w:eastAsia="仿宋" w:cs="仿宋"/>
          <w:bCs/>
          <w:szCs w:val="21"/>
        </w:rPr>
      </w:pPr>
      <w:r>
        <w:rPr>
          <w:rFonts w:hint="eastAsia" w:ascii="仿宋" w:hAnsi="仿宋" w:eastAsia="仿宋" w:cs="仿宋"/>
          <w:bCs/>
          <w:szCs w:val="21"/>
        </w:rPr>
        <w:t>资格审查要求的资格证明材料（均需加盖公章）：</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有效的法人或者其他组织的营业执照等证明文件</w:t>
      </w:r>
      <w:r>
        <w:rPr>
          <w:rFonts w:ascii="仿宋" w:hAnsi="仿宋" w:eastAsia="仿宋" w:cs="仿宋"/>
          <w:bCs/>
          <w:sz w:val="21"/>
          <w:lang w:val="en-US"/>
        </w:rPr>
        <w:t>/自然人的身份证明</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法定代表人资格证明书（详见格式）；</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法定代表人授权委托书（详见格式）；</w:t>
      </w:r>
    </w:p>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财务状况报告，依法缴纳税收和社会保障资金的相关材料（a、最近一个年度的经审计的财务报告或财务报表；b、2022年任意一个月缴纳税收的凭据等证明材料；c、2022年任意一个月缴纳社会保险的凭据（专用收据或社会保险缴纳清单等证明材料）；d、依法免税或不需缴纳社会保障资金的投标人，应提供相应的文件证明其依法免税或不需要缴纳社会保障资金；注：新成立的公司，提供情况说明；）</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进出口经营权资格证明材料：有效的《中华人民共和国海关报关单位注册登记证书》或海关进出口货物收发货人备案回执</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中国裁判文书网无行贿犯罪记录证明截图</w:t>
      </w:r>
    </w:p>
    <w:p>
      <w:pPr>
        <w:pStyle w:val="17"/>
        <w:numPr>
          <w:ilvl w:val="0"/>
          <w:numId w:val="4"/>
        </w:numPr>
        <w:ind w:firstLineChars="0"/>
        <w:rPr>
          <w:rFonts w:ascii="仿宋" w:hAnsi="仿宋" w:eastAsia="仿宋" w:cs="仿宋"/>
          <w:bCs/>
        </w:rPr>
      </w:pPr>
      <w:r>
        <w:rPr>
          <w:rFonts w:hint="eastAsia" w:ascii="仿宋" w:hAnsi="仿宋" w:eastAsia="仿宋" w:cs="仿宋"/>
          <w:bCs/>
          <w:sz w:val="21"/>
          <w:lang w:val="en-US"/>
        </w:rPr>
        <w:t>“信用中国”（www.creditchina.gov.cn)、中国政府采购网（www.ccgp.gov.cn）失信被执行人、重大税收违法案件当事人名单、政府采购严重违法失信行为记录名单的查询结果；</w:t>
      </w:r>
    </w:p>
    <w:p>
      <w:pPr>
        <w:snapToGrid w:val="0"/>
        <w:spacing w:line="360" w:lineRule="auto"/>
        <w:ind w:left="210"/>
        <w:jc w:val="left"/>
        <w:outlineLvl w:val="0"/>
        <w:rPr>
          <w:rFonts w:ascii="仿宋_GB2312" w:hAnsi="宋体" w:eastAsia="仿宋_GB2312"/>
          <w:b/>
        </w:rPr>
      </w:pPr>
      <w:r>
        <w:rPr>
          <w:rFonts w:hint="eastAsia" w:ascii="仿宋_GB2312" w:hAnsi="宋体" w:eastAsia="仿宋_GB2312"/>
          <w:b/>
        </w:rPr>
        <w:t>（三）商务技术文件</w:t>
      </w:r>
    </w:p>
    <w:p>
      <w:pPr>
        <w:pStyle w:val="17"/>
        <w:numPr>
          <w:ilvl w:val="0"/>
          <w:numId w:val="5"/>
        </w:numPr>
        <w:ind w:firstLineChars="0"/>
        <w:rPr>
          <w:rFonts w:ascii="仿宋" w:hAnsi="仿宋" w:eastAsia="仿宋" w:cs="仿宋"/>
          <w:bCs/>
        </w:rPr>
      </w:pPr>
      <w:r>
        <w:rPr>
          <w:rFonts w:hint="eastAsia" w:ascii="仿宋" w:hAnsi="仿宋" w:eastAsia="仿宋" w:cs="仿宋"/>
          <w:bCs/>
        </w:rPr>
        <w:t>评分索引表</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投标函（详见格式）；</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投标人声明</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投标人进口代理项目实施情况一览表</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服务方案</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对口工作人员一览表</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特别优惠承诺</w:t>
      </w:r>
    </w:p>
    <w:p>
      <w:pPr>
        <w:pStyle w:val="17"/>
        <w:numPr>
          <w:ilvl w:val="0"/>
          <w:numId w:val="5"/>
        </w:numPr>
        <w:ind w:firstLineChars="0"/>
        <w:rPr>
          <w:rFonts w:ascii="仿宋" w:hAnsi="仿宋" w:eastAsia="仿宋" w:cs="仿宋"/>
          <w:bCs/>
        </w:rPr>
      </w:pPr>
      <w:r>
        <w:rPr>
          <w:rFonts w:hint="eastAsia" w:ascii="仿宋" w:hAnsi="仿宋" w:eastAsia="仿宋" w:cs="仿宋"/>
          <w:bCs/>
          <w:sz w:val="21"/>
          <w:lang w:val="en-US"/>
        </w:rPr>
        <w:t>投标人认为的需要提供的其他材料（商务技术分评审相关证明材料）</w:t>
      </w:r>
    </w:p>
    <w:p>
      <w:pPr>
        <w:pStyle w:val="24"/>
        <w:snapToGrid w:val="0"/>
        <w:spacing w:before="0"/>
        <w:ind w:firstLine="0" w:firstLineChars="0"/>
        <w:outlineLvl w:val="0"/>
        <w:rPr>
          <w:rFonts w:ascii="仿宋_GB2312" w:hAnsi="宋体" w:eastAsia="仿宋_GB2312"/>
          <w:b/>
          <w:sz w:val="21"/>
          <w:szCs w:val="24"/>
        </w:rPr>
      </w:pPr>
      <w:bookmarkStart w:id="33" w:name="_Toc91899887"/>
    </w:p>
    <w:p>
      <w:pPr>
        <w:pStyle w:val="24"/>
        <w:snapToGrid w:val="0"/>
        <w:spacing w:before="0"/>
        <w:ind w:firstLine="0" w:firstLineChars="0"/>
        <w:outlineLvl w:val="0"/>
        <w:rPr>
          <w:rFonts w:ascii="仿宋_GB2312" w:hAnsi="宋体" w:eastAsia="仿宋_GB2312"/>
          <w:b/>
          <w:sz w:val="21"/>
          <w:szCs w:val="24"/>
        </w:rPr>
      </w:pPr>
      <w:r>
        <w:rPr>
          <w:rFonts w:hint="eastAsia" w:ascii="仿宋_GB2312" w:hAnsi="仿宋" w:eastAsia="仿宋_GB2312" w:cs="宋体"/>
          <w:szCs w:val="21"/>
        </w:rPr>
        <w:t>采购文件</w:t>
      </w:r>
      <w:r>
        <w:rPr>
          <w:rFonts w:hint="eastAsia" w:ascii="仿宋_GB2312" w:hAnsi="宋体" w:eastAsia="仿宋_GB2312"/>
          <w:b/>
          <w:sz w:val="21"/>
          <w:szCs w:val="24"/>
        </w:rPr>
        <w:t>3.</w:t>
      </w:r>
      <w:r>
        <w:rPr>
          <w:rFonts w:ascii="仿宋_GB2312" w:hAnsi="宋体" w:eastAsia="仿宋_GB2312"/>
          <w:b/>
          <w:sz w:val="21"/>
          <w:szCs w:val="24"/>
        </w:rPr>
        <w:t>3</w:t>
      </w:r>
      <w:r>
        <w:rPr>
          <w:rFonts w:hint="eastAsia" w:ascii="仿宋_GB2312" w:hAnsi="宋体" w:eastAsia="仿宋_GB2312"/>
          <w:b/>
          <w:sz w:val="21"/>
          <w:szCs w:val="24"/>
        </w:rPr>
        <w:t>投标有效期</w:t>
      </w:r>
    </w:p>
    <w:p>
      <w:pPr>
        <w:pStyle w:val="24"/>
        <w:spacing w:before="0"/>
        <w:ind w:firstLine="420"/>
        <w:rPr>
          <w:rFonts w:ascii="仿宋_GB2312" w:hAnsi="宋体" w:eastAsia="仿宋_GB2312"/>
          <w:sz w:val="21"/>
        </w:rPr>
      </w:pPr>
      <w:r>
        <w:rPr>
          <w:rFonts w:hint="eastAsia" w:ascii="仿宋_GB2312" w:hAnsi="宋体" w:eastAsia="仿宋_GB2312"/>
          <w:sz w:val="21"/>
        </w:rPr>
        <w:t>3.</w:t>
      </w:r>
      <w:r>
        <w:rPr>
          <w:rFonts w:ascii="仿宋_GB2312" w:hAnsi="宋体" w:eastAsia="仿宋_GB2312"/>
          <w:sz w:val="21"/>
        </w:rPr>
        <w:t>3</w:t>
      </w:r>
      <w:r>
        <w:rPr>
          <w:rFonts w:hint="eastAsia" w:ascii="仿宋_GB2312" w:hAnsi="宋体" w:eastAsia="仿宋_GB2312"/>
          <w:sz w:val="21"/>
        </w:rPr>
        <w:t>.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24"/>
        <w:spacing w:before="0"/>
        <w:ind w:firstLine="420"/>
        <w:rPr>
          <w:rFonts w:ascii="仿宋_GB2312" w:hAnsi="宋体" w:eastAsia="仿宋_GB2312"/>
          <w:sz w:val="21"/>
        </w:rPr>
      </w:pPr>
      <w:r>
        <w:rPr>
          <w:rFonts w:hint="eastAsia" w:ascii="仿宋_GB2312" w:hAnsi="宋体" w:eastAsia="仿宋_GB2312"/>
          <w:sz w:val="21"/>
        </w:rPr>
        <w:t>3.</w:t>
      </w:r>
      <w:r>
        <w:rPr>
          <w:rFonts w:ascii="仿宋_GB2312" w:hAnsi="宋体" w:eastAsia="仿宋_GB2312"/>
          <w:sz w:val="21"/>
        </w:rPr>
        <w:t>3</w:t>
      </w:r>
      <w:r>
        <w:rPr>
          <w:rFonts w:hint="eastAsia" w:ascii="仿宋_GB2312" w:hAnsi="宋体" w:eastAsia="仿宋_GB2312"/>
          <w:sz w:val="21"/>
        </w:rPr>
        <w:t>.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24"/>
        <w:spacing w:before="0"/>
        <w:ind w:firstLine="420"/>
        <w:rPr>
          <w:rFonts w:ascii="仿宋_GB2312" w:hAnsi="宋体" w:eastAsia="仿宋_GB2312"/>
          <w:sz w:val="21"/>
        </w:rPr>
      </w:pPr>
      <w:r>
        <w:rPr>
          <w:rFonts w:hint="eastAsia" w:ascii="仿宋_GB2312" w:hAnsi="宋体" w:eastAsia="仿宋_GB2312"/>
          <w:sz w:val="21"/>
        </w:rPr>
        <w:t>3.</w:t>
      </w:r>
      <w:r>
        <w:rPr>
          <w:rFonts w:ascii="仿宋_GB2312" w:hAnsi="宋体" w:eastAsia="仿宋_GB2312"/>
          <w:sz w:val="21"/>
        </w:rPr>
        <w:t>3</w:t>
      </w:r>
      <w:r>
        <w:rPr>
          <w:rFonts w:hint="eastAsia" w:ascii="仿宋_GB2312" w:hAnsi="宋体" w:eastAsia="仿宋_GB2312"/>
          <w:sz w:val="21"/>
        </w:rPr>
        <w:t>.3在原定投标有效期满之前，如果出现特殊情况，采购机构可以以书面形式通知投标人延长投标有效期。</w:t>
      </w:r>
    </w:p>
    <w:p>
      <w:pPr>
        <w:pStyle w:val="24"/>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w:t>
      </w:r>
      <w:r>
        <w:rPr>
          <w:rFonts w:ascii="仿宋_GB2312" w:hAnsi="宋体" w:eastAsia="仿宋_GB2312"/>
          <w:b/>
          <w:sz w:val="21"/>
          <w:szCs w:val="24"/>
        </w:rPr>
        <w:t>4</w:t>
      </w:r>
      <w:r>
        <w:rPr>
          <w:rFonts w:hint="eastAsia" w:ascii="仿宋_GB2312" w:hAnsi="宋体" w:eastAsia="仿宋_GB2312"/>
          <w:b/>
          <w:sz w:val="21"/>
          <w:szCs w:val="24"/>
        </w:rPr>
        <w:t>投标文件的编制和签署</w:t>
      </w:r>
    </w:p>
    <w:p>
      <w:pPr>
        <w:shd w:val="clear" w:color="auto" w:fill="7E7E7E" w:themeFill="background1" w:themeFillShade="7F"/>
        <w:snapToGrid w:val="0"/>
        <w:spacing w:line="360" w:lineRule="auto"/>
        <w:ind w:firstLine="420" w:firstLineChars="200"/>
        <w:rPr>
          <w:rFonts w:ascii="仿宋_GB2312" w:hAnsi="宋体" w:eastAsia="仿宋_GB2312"/>
          <w:szCs w:val="20"/>
        </w:rPr>
      </w:pPr>
      <w:r>
        <w:rPr>
          <w:rFonts w:hint="eastAsia" w:ascii="仿宋_GB2312" w:hAnsi="宋体" w:eastAsia="仿宋_GB2312"/>
          <w:szCs w:val="20"/>
        </w:rPr>
        <w:t>3.</w:t>
      </w:r>
      <w:r>
        <w:rPr>
          <w:rFonts w:ascii="仿宋_GB2312" w:hAnsi="宋体" w:eastAsia="仿宋_GB2312"/>
          <w:szCs w:val="20"/>
        </w:rPr>
        <w:t>4</w:t>
      </w:r>
      <w:r>
        <w:rPr>
          <w:rFonts w:hint="eastAsia" w:ascii="仿宋_GB2312" w:hAnsi="宋体" w:eastAsia="仿宋_GB2312"/>
          <w:szCs w:val="20"/>
        </w:rPr>
        <w:t>.1投标文件分为报价文件、资格文件、商务技术文件文件三部分，报价文件单独装订成册，资格文件和商务技术文件合并装订成册</w:t>
      </w:r>
      <w:r>
        <w:rPr>
          <w:rFonts w:hint="eastAsia" w:ascii="仿宋_GB2312" w:hAnsi="宋体" w:eastAsia="仿宋_GB2312"/>
          <w:b/>
          <w:szCs w:val="20"/>
        </w:rPr>
        <w:t>，活页装订将被拒绝（含订书钉装订）。</w:t>
      </w:r>
      <w:r>
        <w:rPr>
          <w:rFonts w:hint="eastAsia" w:ascii="仿宋_GB2312" w:hAnsi="宋体" w:eastAsia="仿宋_GB2312"/>
          <w:szCs w:val="20"/>
        </w:rPr>
        <w:t>各投标人在编制投标文件时请按照采购文件第六部分规定的格式进行，混乱的编排导致投标文件被误读或评标委员会查找不到有效文件是投标人的风险。</w:t>
      </w:r>
    </w:p>
    <w:bookmarkEnd w:id="33"/>
    <w:p>
      <w:pPr>
        <w:pStyle w:val="24"/>
        <w:snapToGrid w:val="0"/>
        <w:ind w:firstLine="420"/>
        <w:rPr>
          <w:rFonts w:ascii="仿宋_GB2312" w:hAnsi="仿宋" w:eastAsia="仿宋_GB2312"/>
          <w:sz w:val="21"/>
          <w:szCs w:val="24"/>
        </w:rPr>
      </w:pPr>
      <w:r>
        <w:rPr>
          <w:rFonts w:hint="eastAsia" w:ascii="仿宋_GB2312" w:hAnsi="仿宋" w:eastAsia="仿宋_GB2312"/>
          <w:sz w:val="21"/>
          <w:szCs w:val="24"/>
        </w:rPr>
        <w:t>3.</w:t>
      </w:r>
      <w:r>
        <w:rPr>
          <w:rFonts w:ascii="仿宋_GB2312" w:hAnsi="仿宋" w:eastAsia="仿宋_GB2312"/>
          <w:sz w:val="21"/>
          <w:szCs w:val="24"/>
        </w:rPr>
        <w:t>4</w:t>
      </w:r>
      <w:r>
        <w:rPr>
          <w:rFonts w:hint="eastAsia" w:ascii="仿宋_GB2312" w:hAnsi="仿宋" w:eastAsia="仿宋_GB2312"/>
          <w:sz w:val="21"/>
          <w:szCs w:val="24"/>
        </w:rPr>
        <w:t>.2 在投标文件外封面上均应：</w:t>
      </w:r>
    </w:p>
    <w:p>
      <w:pPr>
        <w:pStyle w:val="24"/>
        <w:snapToGrid w:val="0"/>
        <w:ind w:firstLine="420"/>
        <w:rPr>
          <w:rFonts w:ascii="仿宋_GB2312" w:hAnsi="仿宋" w:eastAsia="仿宋_GB2312"/>
          <w:sz w:val="21"/>
          <w:szCs w:val="24"/>
        </w:rPr>
      </w:pPr>
      <w:r>
        <w:rPr>
          <w:rFonts w:hint="eastAsia" w:ascii="仿宋_GB2312" w:hAnsi="仿宋" w:eastAsia="仿宋_GB2312"/>
          <w:sz w:val="21"/>
          <w:szCs w:val="24"/>
        </w:rPr>
        <w:t>1）写明招标项目名称、招标编号，投标人的名称内容。</w:t>
      </w:r>
    </w:p>
    <w:p>
      <w:pPr>
        <w:pStyle w:val="24"/>
        <w:snapToGrid w:val="0"/>
        <w:ind w:firstLine="420"/>
        <w:rPr>
          <w:rFonts w:ascii="仿宋_GB2312" w:hAnsi="仿宋" w:eastAsia="仿宋_GB2312"/>
          <w:sz w:val="21"/>
          <w:szCs w:val="24"/>
        </w:rPr>
      </w:pPr>
      <w:r>
        <w:rPr>
          <w:rFonts w:hint="eastAsia" w:ascii="仿宋_GB2312" w:hAnsi="仿宋" w:eastAsia="仿宋_GB2312"/>
          <w:sz w:val="21"/>
          <w:szCs w:val="24"/>
        </w:rPr>
        <w:t>2）写明“</w:t>
      </w:r>
      <w:r>
        <w:rPr>
          <w:rFonts w:hint="eastAsia" w:ascii="仿宋_GB2312" w:hAnsi="仿宋" w:eastAsia="仿宋_GB2312"/>
          <w:sz w:val="21"/>
          <w:szCs w:val="24"/>
          <w:u w:val="single"/>
        </w:rPr>
        <w:t xml:space="preserve">     </w:t>
      </w:r>
      <w:r>
        <w:rPr>
          <w:rFonts w:hint="eastAsia" w:ascii="仿宋_GB2312" w:hAnsi="仿宋" w:eastAsia="仿宋_GB2312"/>
          <w:sz w:val="21"/>
          <w:szCs w:val="24"/>
        </w:rPr>
        <w:t>年</w:t>
      </w:r>
      <w:r>
        <w:rPr>
          <w:rFonts w:hint="eastAsia" w:ascii="仿宋_GB2312" w:hAnsi="仿宋" w:eastAsia="仿宋_GB2312"/>
          <w:sz w:val="21"/>
          <w:szCs w:val="24"/>
          <w:u w:val="single"/>
        </w:rPr>
        <w:t>___</w:t>
      </w:r>
      <w:r>
        <w:rPr>
          <w:rFonts w:hint="eastAsia" w:ascii="仿宋_GB2312" w:hAnsi="仿宋" w:eastAsia="仿宋_GB2312"/>
          <w:sz w:val="21"/>
          <w:szCs w:val="24"/>
        </w:rPr>
        <w:t>月</w:t>
      </w:r>
      <w:r>
        <w:rPr>
          <w:rFonts w:hint="eastAsia" w:ascii="仿宋_GB2312" w:hAnsi="仿宋" w:eastAsia="仿宋_GB2312"/>
          <w:sz w:val="21"/>
          <w:szCs w:val="24"/>
          <w:u w:val="single"/>
        </w:rPr>
        <w:t>___</w:t>
      </w:r>
      <w:r>
        <w:rPr>
          <w:rFonts w:hint="eastAsia" w:ascii="仿宋_GB2312" w:hAnsi="仿宋" w:eastAsia="仿宋_GB2312"/>
          <w:sz w:val="21"/>
          <w:szCs w:val="24"/>
        </w:rPr>
        <w:t>日</w:t>
      </w:r>
      <w:r>
        <w:rPr>
          <w:rFonts w:hint="eastAsia" w:ascii="仿宋_GB2312" w:hAnsi="仿宋" w:eastAsia="仿宋_GB2312"/>
          <w:sz w:val="21"/>
          <w:szCs w:val="24"/>
          <w:u w:val="single"/>
        </w:rPr>
        <w:t>___</w:t>
      </w:r>
      <w:r>
        <w:rPr>
          <w:rFonts w:hint="eastAsia" w:ascii="仿宋_GB2312" w:hAnsi="仿宋" w:eastAsia="仿宋_GB2312"/>
          <w:sz w:val="21"/>
          <w:szCs w:val="24"/>
        </w:rPr>
        <w:t>时</w:t>
      </w:r>
      <w:r>
        <w:rPr>
          <w:rFonts w:hint="eastAsia" w:ascii="仿宋_GB2312" w:hAnsi="仿宋" w:eastAsia="仿宋_GB2312"/>
          <w:sz w:val="21"/>
          <w:szCs w:val="24"/>
          <w:u w:val="single"/>
        </w:rPr>
        <w:t>___</w:t>
      </w:r>
      <w:r>
        <w:rPr>
          <w:rFonts w:hint="eastAsia" w:ascii="仿宋_GB2312" w:hAnsi="仿宋" w:eastAsia="仿宋_GB2312"/>
          <w:sz w:val="21"/>
          <w:szCs w:val="24"/>
        </w:rPr>
        <w:t>分开标，此时间以前不得开封”字样。</w:t>
      </w:r>
    </w:p>
    <w:p>
      <w:pPr>
        <w:pStyle w:val="24"/>
        <w:snapToGrid w:val="0"/>
        <w:spacing w:before="0"/>
        <w:ind w:firstLine="420"/>
        <w:rPr>
          <w:rFonts w:ascii="仿宋_GB2312" w:hAnsi="仿宋" w:eastAsia="仿宋_GB2312"/>
          <w:sz w:val="21"/>
          <w:szCs w:val="24"/>
        </w:rPr>
      </w:pPr>
      <w:r>
        <w:rPr>
          <w:rFonts w:hint="eastAsia" w:ascii="仿宋_GB2312" w:hAnsi="仿宋" w:eastAsia="仿宋_GB2312"/>
          <w:sz w:val="21"/>
          <w:szCs w:val="24"/>
        </w:rPr>
        <w:t>3）在投标文件外封面上均应由法定代表人或委托代理人签字（或盖章）并加盖公章。</w:t>
      </w:r>
    </w:p>
    <w:p>
      <w:pPr>
        <w:pStyle w:val="24"/>
        <w:snapToGrid w:val="0"/>
        <w:spacing w:before="0"/>
        <w:ind w:firstLine="420"/>
        <w:rPr>
          <w:rFonts w:ascii="仿宋_GB2312" w:hAnsi="仿宋" w:eastAsia="仿宋_GB2312"/>
          <w:sz w:val="21"/>
          <w:szCs w:val="24"/>
        </w:rPr>
      </w:pPr>
      <w:r>
        <w:rPr>
          <w:rFonts w:hint="eastAsia" w:ascii="仿宋_GB2312" w:hAnsi="仿宋" w:eastAsia="仿宋_GB2312"/>
          <w:sz w:val="21"/>
          <w:szCs w:val="24"/>
        </w:rPr>
        <w:t>3.</w:t>
      </w:r>
      <w:r>
        <w:rPr>
          <w:rFonts w:ascii="仿宋_GB2312" w:hAnsi="仿宋" w:eastAsia="仿宋_GB2312"/>
          <w:sz w:val="21"/>
          <w:szCs w:val="24"/>
        </w:rPr>
        <w:t>4</w:t>
      </w:r>
      <w:r>
        <w:rPr>
          <w:rFonts w:hint="eastAsia" w:ascii="仿宋_GB2312" w:hAnsi="仿宋" w:eastAsia="仿宋_GB2312"/>
          <w:sz w:val="21"/>
          <w:szCs w:val="24"/>
        </w:rPr>
        <w:t>.3投标人按前附表规定的份数编制投标文件，并在封面上标明“正本”和“副本”。投标文件正本和副本如有不一致之处，以正本为准。</w:t>
      </w:r>
    </w:p>
    <w:p>
      <w:pPr>
        <w:pStyle w:val="24"/>
        <w:snapToGrid w:val="0"/>
        <w:spacing w:before="0"/>
        <w:ind w:firstLine="420"/>
        <w:rPr>
          <w:rFonts w:ascii="仿宋_GB2312" w:hAnsi="仿宋" w:eastAsia="仿宋_GB2312"/>
          <w:sz w:val="21"/>
          <w:szCs w:val="24"/>
        </w:rPr>
      </w:pPr>
      <w:r>
        <w:rPr>
          <w:rFonts w:hint="eastAsia" w:ascii="仿宋_GB2312" w:hAnsi="仿宋" w:eastAsia="仿宋_GB2312"/>
          <w:sz w:val="21"/>
        </w:rPr>
        <w:t>3.</w:t>
      </w:r>
      <w:r>
        <w:rPr>
          <w:rFonts w:ascii="仿宋_GB2312" w:hAnsi="仿宋" w:eastAsia="仿宋_GB2312"/>
          <w:sz w:val="21"/>
        </w:rPr>
        <w:t>4</w:t>
      </w:r>
      <w:r>
        <w:rPr>
          <w:rFonts w:hint="eastAsia" w:ascii="仿宋_GB2312" w:hAnsi="仿宋" w:eastAsia="仿宋_GB2312"/>
          <w:sz w:val="21"/>
        </w:rPr>
        <w:t>.4</w:t>
      </w:r>
      <w:r>
        <w:rPr>
          <w:rFonts w:hint="eastAsia" w:ascii="仿宋_GB2312" w:hAnsi="仿宋" w:eastAsia="仿宋_GB2312"/>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ascii="仿宋_GB2312" w:hAnsi="仿宋" w:eastAsia="仿宋_GB2312"/>
        </w:rPr>
      </w:pPr>
      <w:r>
        <w:rPr>
          <w:rFonts w:hint="eastAsia" w:ascii="仿宋_GB2312" w:hAnsi="仿宋" w:eastAsia="仿宋_GB2312"/>
        </w:rPr>
        <w:t>3.</w:t>
      </w:r>
      <w:r>
        <w:rPr>
          <w:rFonts w:ascii="仿宋_GB2312" w:hAnsi="仿宋" w:eastAsia="仿宋_GB2312"/>
        </w:rPr>
        <w:t>4</w:t>
      </w:r>
      <w:r>
        <w:rPr>
          <w:rFonts w:hint="eastAsia" w:ascii="仿宋_GB2312" w:hAnsi="仿宋" w:eastAsia="仿宋_GB2312"/>
        </w:rPr>
        <w:t>.5全套投标文件应无涂改和行间插字，除非这些删改是根据采购机构要求进行，或者是投标人造成的必须修改的错误。所修改处应由法定代表人或其授权代表签字盖章予以确认。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ascii="仿宋_GB2312" w:hAnsi="仿宋" w:eastAsia="仿宋_GB2312"/>
        </w:rPr>
      </w:pPr>
      <w:r>
        <w:rPr>
          <w:rFonts w:hint="eastAsia" w:ascii="仿宋_GB2312" w:hAnsi="仿宋" w:eastAsia="仿宋_GB2312"/>
        </w:rPr>
        <w:t>3.</w:t>
      </w:r>
      <w:r>
        <w:rPr>
          <w:rFonts w:ascii="仿宋_GB2312" w:hAnsi="仿宋" w:eastAsia="仿宋_GB2312"/>
        </w:rPr>
        <w:t>4</w:t>
      </w:r>
      <w:r>
        <w:rPr>
          <w:rFonts w:hint="eastAsia" w:ascii="仿宋_GB2312" w:hAnsi="仿宋" w:eastAsia="仿宋_GB2312"/>
        </w:rPr>
        <w:t>.6投标文件建议采用A4幅面，按顺序统一编目编码装订成册。</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四、投标文件的递交</w:t>
      </w:r>
      <w:bookmarkEnd w:id="28"/>
    </w:p>
    <w:bookmarkEnd w:id="29"/>
    <w:p>
      <w:pPr>
        <w:pStyle w:val="9"/>
        <w:spacing w:line="360" w:lineRule="auto"/>
        <w:rPr>
          <w:rFonts w:ascii="仿宋_GB2312" w:hAnsi="仿宋" w:eastAsia="仿宋_GB2312"/>
          <w:b/>
          <w:szCs w:val="24"/>
        </w:rPr>
      </w:pPr>
      <w:bookmarkStart w:id="34" w:name="_Toc164416483"/>
      <w:bookmarkStart w:id="35" w:name="第三部分"/>
      <w:r>
        <w:rPr>
          <w:rFonts w:hint="eastAsia" w:ascii="仿宋_GB2312" w:hAnsi="仿宋" w:eastAsia="仿宋_GB2312"/>
          <w:b/>
          <w:szCs w:val="24"/>
        </w:rPr>
        <w:t>4.1投标文件的密封与标志</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4.1.1投标文件须</w:t>
      </w:r>
      <w:r>
        <w:rPr>
          <w:rFonts w:hint="eastAsia" w:ascii="仿宋_GB2312" w:hAnsi="仿宋" w:eastAsia="仿宋_GB2312"/>
          <w:b/>
          <w:sz w:val="21"/>
          <w:szCs w:val="24"/>
        </w:rPr>
        <w:t>密封包装。</w:t>
      </w:r>
      <w:r>
        <w:rPr>
          <w:rFonts w:hint="eastAsia" w:ascii="仿宋_GB2312" w:hAnsi="仿宋" w:eastAsia="仿宋_GB2312"/>
          <w:sz w:val="21"/>
          <w:szCs w:val="24"/>
        </w:rPr>
        <w:t>没有密封包装的投标文件，将被当场拒绝。</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4.1.2投标文件包装封面物应写明项目名称、投标人全称。</w:t>
      </w:r>
    </w:p>
    <w:p>
      <w:pPr>
        <w:pStyle w:val="24"/>
        <w:spacing w:before="0"/>
        <w:ind w:firstLine="422"/>
        <w:rPr>
          <w:rFonts w:ascii="仿宋_GB2312" w:hAnsi="仿宋" w:eastAsia="仿宋_GB2312"/>
          <w:b/>
          <w:sz w:val="21"/>
          <w:szCs w:val="24"/>
        </w:rPr>
      </w:pPr>
      <w:r>
        <w:rPr>
          <w:rFonts w:hint="eastAsia" w:ascii="仿宋_GB2312" w:hAnsi="仿宋" w:eastAsia="仿宋_GB2312"/>
          <w:b/>
          <w:sz w:val="21"/>
          <w:szCs w:val="24"/>
        </w:rPr>
        <w:t>4</w:t>
      </w:r>
      <w:r>
        <w:rPr>
          <w:rFonts w:ascii="仿宋_GB2312" w:hAnsi="仿宋" w:eastAsia="仿宋_GB2312"/>
          <w:b/>
          <w:sz w:val="21"/>
          <w:szCs w:val="24"/>
        </w:rPr>
        <w:t>.1.3 报价文件单独密封包装</w:t>
      </w:r>
      <w:r>
        <w:rPr>
          <w:rFonts w:hint="eastAsia" w:ascii="仿宋_GB2312" w:hAnsi="仿宋" w:eastAsia="仿宋_GB2312"/>
          <w:b/>
          <w:sz w:val="21"/>
          <w:szCs w:val="24"/>
        </w:rPr>
        <w:t>，</w:t>
      </w:r>
      <w:r>
        <w:rPr>
          <w:rFonts w:ascii="仿宋_GB2312" w:hAnsi="仿宋" w:eastAsia="仿宋_GB2312"/>
          <w:b/>
          <w:sz w:val="21"/>
          <w:szCs w:val="24"/>
        </w:rPr>
        <w:t>非单独包装的做无效标处理</w:t>
      </w:r>
      <w:r>
        <w:rPr>
          <w:rFonts w:hint="eastAsia" w:ascii="仿宋_GB2312" w:hAnsi="仿宋" w:eastAsia="仿宋_GB2312"/>
          <w:b/>
          <w:sz w:val="21"/>
          <w:szCs w:val="24"/>
        </w:rPr>
        <w:t>。</w:t>
      </w:r>
    </w:p>
    <w:p>
      <w:pPr>
        <w:pStyle w:val="9"/>
        <w:spacing w:line="360" w:lineRule="auto"/>
        <w:rPr>
          <w:rFonts w:ascii="仿宋_GB2312" w:hAnsi="仿宋" w:eastAsia="仿宋_GB2312"/>
          <w:b/>
          <w:szCs w:val="24"/>
        </w:rPr>
      </w:pPr>
      <w:r>
        <w:rPr>
          <w:rFonts w:hint="eastAsia" w:ascii="仿宋_GB2312" w:hAnsi="仿宋" w:eastAsia="仿宋_GB2312"/>
          <w:b/>
          <w:szCs w:val="24"/>
        </w:rPr>
        <w:t>4.2投标截止期</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4.2.1</w:t>
      </w:r>
      <w:r>
        <w:rPr>
          <w:rFonts w:hint="eastAsia" w:ascii="仿宋_GB2312" w:eastAsia="仿宋_GB2312"/>
          <w:sz w:val="21"/>
        </w:rPr>
        <w:t>投标人应按“招标公告”规定的时间、地点将投标文件递交给</w:t>
      </w:r>
      <w:r>
        <w:rPr>
          <w:rFonts w:hint="eastAsia" w:ascii="仿宋_GB2312" w:hAnsi="宋体" w:eastAsia="仿宋_GB2312"/>
          <w:sz w:val="21"/>
          <w:szCs w:val="24"/>
        </w:rPr>
        <w:t>采购机构</w:t>
      </w:r>
      <w:r>
        <w:rPr>
          <w:rFonts w:hint="eastAsia" w:ascii="仿宋_GB2312" w:eastAsia="仿宋_GB2312"/>
          <w:sz w:val="21"/>
        </w:rPr>
        <w:t>，</w:t>
      </w:r>
      <w:r>
        <w:rPr>
          <w:rFonts w:hint="eastAsia" w:ascii="仿宋_GB2312" w:hAnsi="宋体" w:eastAsia="仿宋_GB2312"/>
          <w:sz w:val="21"/>
          <w:szCs w:val="24"/>
        </w:rPr>
        <w:t>采购机构</w:t>
      </w:r>
      <w:r>
        <w:rPr>
          <w:rFonts w:hint="eastAsia" w:ascii="仿宋_GB2312" w:eastAsia="仿宋_GB2312"/>
          <w:sz w:val="21"/>
        </w:rPr>
        <w:t>将拒绝接受逾期送达的投标文件。</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ascii="仿宋_GB2312" w:hAnsi="仿宋" w:eastAsia="仿宋_GB2312"/>
          <w:b/>
          <w:szCs w:val="24"/>
        </w:rPr>
      </w:pPr>
      <w:r>
        <w:rPr>
          <w:rFonts w:hint="eastAsia" w:ascii="仿宋_GB2312" w:hAnsi="仿宋" w:eastAsia="仿宋_GB2312"/>
          <w:b/>
          <w:szCs w:val="24"/>
        </w:rPr>
        <w:t>4.3. 投标文件的补充、修改、撤回</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4.3.2 投标人的补充、修改文件，应按本须知规定编制、密封、标志和递交，如果一份投标文件有几份函件时，应注明哪一份有效，否则所作修改视为无效。</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4.3.3投标人对投标文件的修改均要加以说明，否则其修改将被视为无效。</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24"/>
        <w:spacing w:before="0"/>
        <w:ind w:firstLine="420"/>
        <w:rPr>
          <w:rFonts w:ascii="仿宋_GB2312" w:hAnsi="仿宋" w:eastAsia="仿宋_GB2312"/>
          <w:sz w:val="21"/>
          <w:szCs w:val="24"/>
        </w:rPr>
      </w:pPr>
      <w:r>
        <w:rPr>
          <w:rFonts w:hint="eastAsia" w:ascii="仿宋_GB2312" w:hAnsi="仿宋" w:eastAsia="仿宋_GB2312"/>
          <w:sz w:val="21"/>
          <w:szCs w:val="24"/>
        </w:rPr>
        <w:t>4.3.5</w:t>
      </w:r>
      <w:r>
        <w:rPr>
          <w:rFonts w:hint="eastAsia" w:ascii="仿宋_GB2312" w:eastAsia="仿宋_GB2312"/>
          <w:sz w:val="21"/>
        </w:rPr>
        <w:t>在</w:t>
      </w:r>
      <w:r>
        <w:rPr>
          <w:rFonts w:hint="eastAsia" w:ascii="仿宋_GB2312" w:hAnsi="宋体" w:eastAsia="仿宋_GB2312"/>
          <w:sz w:val="21"/>
        </w:rPr>
        <w:t>开标后规定的投标有效期内</w:t>
      </w:r>
      <w:r>
        <w:rPr>
          <w:rFonts w:hint="eastAsia" w:ascii="仿宋_GB2312" w:hAnsi="仿宋" w:eastAsia="仿宋_GB2312"/>
          <w:sz w:val="21"/>
          <w:szCs w:val="24"/>
        </w:rPr>
        <w:t>，投标人不能撤回投标文件.</w:t>
      </w:r>
    </w:p>
    <w:p>
      <w:pPr>
        <w:pStyle w:val="24"/>
        <w:spacing w:before="0"/>
        <w:ind w:firstLine="480"/>
        <w:rPr>
          <w:rFonts w:ascii="仿宋_GB2312" w:hAnsi="仿宋" w:eastAsia="仿宋_GB2312"/>
          <w:szCs w:val="24"/>
        </w:rPr>
      </w:pPr>
    </w:p>
    <w:p>
      <w:pPr>
        <w:adjustRightInd/>
        <w:spacing w:line="360" w:lineRule="auto"/>
        <w:jc w:val="center"/>
        <w:outlineLvl w:val="0"/>
        <w:rPr>
          <w:rFonts w:ascii="仿宋_GB2312" w:hAnsi="仿宋" w:eastAsia="仿宋_GB2312"/>
          <w:b/>
          <w:sz w:val="32"/>
          <w:szCs w:val="20"/>
        </w:rPr>
      </w:pPr>
      <w:bookmarkStart w:id="36" w:name="_Toc91899897"/>
      <w:r>
        <w:rPr>
          <w:rFonts w:hint="eastAsia" w:ascii="仿宋_GB2312" w:hAnsi="仿宋" w:eastAsia="仿宋_GB2312"/>
          <w:b/>
          <w:sz w:val="32"/>
          <w:szCs w:val="20"/>
        </w:rPr>
        <w:t>五、开标</w:t>
      </w:r>
      <w:bookmarkEnd w:id="36"/>
    </w:p>
    <w:p>
      <w:pPr>
        <w:pStyle w:val="9"/>
        <w:spacing w:line="360" w:lineRule="auto"/>
        <w:rPr>
          <w:rFonts w:ascii="仿宋_GB2312" w:hAnsi="仿宋" w:eastAsia="仿宋_GB2312"/>
          <w:b/>
          <w:szCs w:val="24"/>
        </w:rPr>
      </w:pPr>
      <w:r>
        <w:rPr>
          <w:rFonts w:hint="eastAsia" w:ascii="仿宋_GB2312" w:hAnsi="仿宋" w:eastAsia="仿宋_GB2312"/>
          <w:b/>
          <w:szCs w:val="24"/>
        </w:rPr>
        <w:t>5.1 开标</w:t>
      </w:r>
    </w:p>
    <w:p>
      <w:pPr>
        <w:pStyle w:val="24"/>
        <w:spacing w:before="0"/>
        <w:ind w:firstLine="420"/>
        <w:rPr>
          <w:rFonts w:ascii="仿宋_GB2312" w:hAnsi="宋体" w:eastAsia="仿宋_GB2312" w:cs="宋体"/>
          <w:kern w:val="0"/>
          <w:sz w:val="21"/>
          <w:szCs w:val="24"/>
        </w:rPr>
      </w:pPr>
      <w:r>
        <w:rPr>
          <w:rFonts w:hint="eastAsia" w:ascii="仿宋_GB2312" w:hAnsi="仿宋" w:eastAsia="仿宋_GB2312"/>
          <w:sz w:val="21"/>
          <w:szCs w:val="24"/>
        </w:rPr>
        <w:t>5.1.1</w:t>
      </w:r>
      <w:r>
        <w:rPr>
          <w:rFonts w:hint="eastAsia" w:ascii="仿宋_GB2312" w:eastAsia="仿宋_GB2312"/>
          <w:sz w:val="21"/>
        </w:rPr>
        <w:t>采购机构将于“招标公告”规定的开标时间</w:t>
      </w:r>
      <w:r>
        <w:rPr>
          <w:rFonts w:hint="eastAsia" w:ascii="仿宋_GB2312" w:hAnsi="仿宋" w:eastAsia="仿宋_GB2312"/>
          <w:sz w:val="21"/>
          <w:szCs w:val="24"/>
        </w:rPr>
        <w:t>，由招标人主持，在采购文件规定的地点公开进行。</w:t>
      </w:r>
      <w:r>
        <w:rPr>
          <w:rFonts w:hint="eastAsia" w:ascii="仿宋_GB2312" w:hAnsi="宋体" w:eastAsia="仿宋_GB2312"/>
          <w:sz w:val="21"/>
          <w:szCs w:val="24"/>
        </w:rPr>
        <w:t xml:space="preserve"> </w:t>
      </w:r>
      <w:r>
        <w:rPr>
          <w:rFonts w:hint="eastAsia" w:ascii="仿宋_GB2312" w:eastAsia="仿宋_GB2312"/>
          <w:b/>
          <w:sz w:val="21"/>
          <w:szCs w:val="24"/>
        </w:rPr>
        <w:t>各投标人法定代表人或其授权代表应准时参加</w:t>
      </w:r>
      <w:r>
        <w:rPr>
          <w:rFonts w:hint="eastAsia" w:ascii="仿宋_GB2312" w:eastAsia="仿宋_GB2312"/>
          <w:sz w:val="21"/>
          <w:szCs w:val="24"/>
        </w:rPr>
        <w:t>，</w:t>
      </w:r>
      <w:r>
        <w:rPr>
          <w:rFonts w:hint="eastAsia" w:ascii="仿宋_GB2312" w:eastAsia="仿宋_GB2312"/>
          <w:b/>
          <w:sz w:val="21"/>
          <w:szCs w:val="24"/>
        </w:rPr>
        <w:t>携带本人有效证件原件，投标文件中按要求提供法定代表人授权书（法定代表人参加的除外）。</w:t>
      </w:r>
      <w:r>
        <w:rPr>
          <w:rFonts w:hint="eastAsia" w:ascii="仿宋_GB2312" w:eastAsia="仿宋_GB2312"/>
          <w:sz w:val="21"/>
          <w:szCs w:val="24"/>
        </w:rPr>
        <w:t>投标人</w:t>
      </w:r>
      <w:r>
        <w:rPr>
          <w:rFonts w:hint="eastAsia" w:ascii="仿宋_GB2312" w:hAnsi="宋体" w:eastAsia="仿宋_GB2312" w:cs="宋体"/>
          <w:kern w:val="0"/>
          <w:sz w:val="21"/>
          <w:szCs w:val="24"/>
        </w:rPr>
        <w:t>如不派授权代表或法定代表人参加开标大会的，事后不得对采购相关人员、开标过程和开标结果提出异议。</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5.1.4投标人在投标截止时间前递交投标文件撤回函的，招标人应在开标时宣读撤回函，并将其投标文件及其投标保证金及时退还投标人。</w:t>
      </w:r>
    </w:p>
    <w:p>
      <w:pPr>
        <w:pStyle w:val="25"/>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25"/>
        <w:spacing w:before="0" w:line="360" w:lineRule="auto"/>
        <w:ind w:left="0" w:firstLine="480"/>
        <w:rPr>
          <w:rFonts w:ascii="仿宋_GB2312" w:hAnsi="仿宋" w:eastAsia="仿宋_GB2312"/>
          <w:b/>
          <w:bCs/>
          <w:sz w:val="21"/>
          <w:szCs w:val="24"/>
        </w:rPr>
      </w:pPr>
      <w:r>
        <w:rPr>
          <w:rFonts w:hint="eastAsia" w:ascii="仿宋_GB2312" w:hAnsi="仿宋" w:eastAsia="仿宋_GB2312"/>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仿宋_GB2312" w:hAnsi="仿宋" w:eastAsia="仿宋_GB2312"/>
        </w:rPr>
      </w:pPr>
      <w:r>
        <w:rPr>
          <w:rFonts w:hint="eastAsia" w:ascii="仿宋_GB2312" w:hAnsi="仿宋" w:eastAsia="仿宋_GB2312"/>
        </w:rPr>
        <w:t>5.1.7开标时，采购机构将对投标文件进行初步检查，并将相关情况报告评标委员会。投标文件存在下列情况之一者，投标文件将被拒收（原封退回）：</w:t>
      </w:r>
    </w:p>
    <w:p>
      <w:pPr>
        <w:numPr>
          <w:ilvl w:val="0"/>
          <w:numId w:val="6"/>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投标文件逾期送达的或者未送达指定地点的；</w:t>
      </w:r>
    </w:p>
    <w:p>
      <w:pPr>
        <w:numPr>
          <w:ilvl w:val="0"/>
          <w:numId w:val="6"/>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投标文件未按采购文件要求密封的；</w:t>
      </w:r>
    </w:p>
    <w:p>
      <w:pPr>
        <w:autoSpaceDE w:val="0"/>
        <w:autoSpaceDN w:val="0"/>
        <w:spacing w:line="360" w:lineRule="auto"/>
        <w:ind w:firstLine="420" w:firstLineChars="200"/>
        <w:rPr>
          <w:rFonts w:ascii="仿宋_GB2312" w:hAnsi="仿宋" w:eastAsia="仿宋_GB2312"/>
        </w:rPr>
      </w:pPr>
      <w:r>
        <w:rPr>
          <w:rFonts w:hint="eastAsia" w:ascii="仿宋_GB2312" w:hAnsi="仿宋" w:eastAsia="仿宋_GB2312"/>
        </w:rPr>
        <w:t>5.1.8经开标后递交至评标委员会的投标文件，仍需接受相关资格性审查和符合性审查，并有可能在评标过程中被判断为无效。</w:t>
      </w:r>
    </w:p>
    <w:p>
      <w:pPr>
        <w:pStyle w:val="24"/>
        <w:spacing w:before="0"/>
        <w:ind w:firstLine="420"/>
        <w:rPr>
          <w:rFonts w:ascii="仿宋_GB2312" w:hAnsi="仿宋" w:eastAsia="仿宋_GB2312"/>
          <w:sz w:val="21"/>
          <w:szCs w:val="24"/>
        </w:rPr>
      </w:pPr>
      <w:bookmarkStart w:id="37" w:name="_Hlt75236101"/>
      <w:bookmarkEnd w:id="37"/>
      <w:bookmarkStart w:id="38" w:name="_Toc91899902"/>
      <w:r>
        <w:rPr>
          <w:rFonts w:hint="eastAsia" w:ascii="仿宋_GB2312" w:hAnsi="仿宋" w:eastAsia="仿宋_GB2312"/>
          <w:sz w:val="21"/>
          <w:szCs w:val="24"/>
        </w:rPr>
        <w:t>5.1.9 开标后，不论投标人中标与否，投标文件均不退回。</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六、评标</w:t>
      </w:r>
      <w:bookmarkEnd w:id="38"/>
    </w:p>
    <w:p>
      <w:pPr>
        <w:pStyle w:val="9"/>
        <w:spacing w:line="360" w:lineRule="auto"/>
        <w:rPr>
          <w:rFonts w:ascii="仿宋_GB2312" w:hAnsi="仿宋" w:eastAsia="仿宋_GB2312"/>
          <w:b/>
          <w:sz w:val="22"/>
          <w:szCs w:val="24"/>
        </w:rPr>
      </w:pPr>
      <w:bookmarkStart w:id="39" w:name="_Toc91899903"/>
      <w:r>
        <w:rPr>
          <w:rFonts w:hint="eastAsia" w:ascii="仿宋_GB2312" w:hAnsi="仿宋" w:eastAsia="仿宋_GB2312"/>
          <w:b/>
          <w:sz w:val="22"/>
          <w:szCs w:val="24"/>
        </w:rPr>
        <w:t>6.1 评标原则</w:t>
      </w:r>
    </w:p>
    <w:p>
      <w:pPr>
        <w:pStyle w:val="9"/>
        <w:spacing w:line="360" w:lineRule="auto"/>
        <w:ind w:firstLine="431" w:firstLineChars="196"/>
        <w:rPr>
          <w:rFonts w:ascii="仿宋_GB2312" w:hAnsi="仿宋" w:eastAsia="仿宋_GB2312"/>
          <w:b/>
          <w:sz w:val="22"/>
          <w:szCs w:val="24"/>
        </w:rPr>
      </w:pPr>
      <w:r>
        <w:rPr>
          <w:rFonts w:hint="eastAsia" w:ascii="仿宋_GB2312" w:hAnsi="仿宋" w:eastAsia="仿宋_GB2312"/>
          <w:sz w:val="22"/>
          <w:szCs w:val="24"/>
        </w:rPr>
        <w:t>6.1.1 竞争优选；</w:t>
      </w:r>
    </w:p>
    <w:p>
      <w:pPr>
        <w:autoSpaceDE w:val="0"/>
        <w:autoSpaceDN w:val="0"/>
        <w:spacing w:line="360" w:lineRule="auto"/>
        <w:ind w:firstLine="440" w:firstLineChars="200"/>
        <w:rPr>
          <w:rFonts w:ascii="仿宋_GB2312" w:hAnsi="仿宋" w:eastAsia="仿宋_GB2312"/>
          <w:sz w:val="22"/>
        </w:rPr>
      </w:pPr>
      <w:r>
        <w:rPr>
          <w:rFonts w:hint="eastAsia" w:ascii="仿宋_GB2312" w:hAnsi="仿宋" w:eastAsia="仿宋_GB2312"/>
          <w:sz w:val="22"/>
        </w:rPr>
        <w:t xml:space="preserve">6.1.2 </w:t>
      </w:r>
      <w:r>
        <w:rPr>
          <w:rFonts w:hint="eastAsia" w:ascii="仿宋_GB2312" w:hAnsi="仿宋" w:eastAsia="仿宋_GB2312"/>
          <w:sz w:val="22"/>
          <w:lang w:val="zh-CN"/>
        </w:rPr>
        <w:t>坚持公开</w:t>
      </w:r>
      <w:r>
        <w:rPr>
          <w:rFonts w:hint="eastAsia" w:ascii="仿宋_GB2312" w:hAnsi="仿宋" w:eastAsia="仿宋_GB2312"/>
          <w:sz w:val="22"/>
        </w:rPr>
        <w:t>、公平、公正、科学合理</w:t>
      </w:r>
      <w:r>
        <w:rPr>
          <w:rFonts w:hint="eastAsia" w:ascii="仿宋_GB2312" w:hAnsi="仿宋" w:eastAsia="仿宋_GB2312"/>
          <w:sz w:val="22"/>
          <w:lang w:val="zh-CN"/>
        </w:rPr>
        <w:t>的原则；</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 xml:space="preserve">.3 </w:t>
      </w:r>
      <w:r>
        <w:rPr>
          <w:rFonts w:hint="eastAsia" w:ascii="仿宋_GB2312" w:hAnsi="仿宋" w:eastAsia="仿宋_GB2312"/>
          <w:sz w:val="22"/>
        </w:rPr>
        <w:t>价格合理，方案、产品先进可行；</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.4 反对不正当竞争。</w:t>
      </w:r>
    </w:p>
    <w:p>
      <w:pPr>
        <w:pStyle w:val="24"/>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6.2 评标组织</w:t>
      </w:r>
    </w:p>
    <w:p>
      <w:pPr>
        <w:pStyle w:val="9"/>
        <w:spacing w:line="360" w:lineRule="auto"/>
        <w:ind w:firstLine="431" w:firstLineChars="196"/>
        <w:rPr>
          <w:rFonts w:ascii="仿宋_GB2312" w:hAnsi="仿宋" w:eastAsia="仿宋_GB2312"/>
          <w:sz w:val="22"/>
          <w:szCs w:val="24"/>
          <w:highlight w:val="yellow"/>
        </w:rPr>
      </w:pPr>
      <w:r>
        <w:rPr>
          <w:rFonts w:hint="eastAsia" w:ascii="仿宋_GB2312" w:hAnsi="仿宋" w:eastAsia="仿宋_GB2312"/>
          <w:sz w:val="22"/>
          <w:szCs w:val="24"/>
          <w:highlight w:val="yellow"/>
        </w:rPr>
        <w:t>评标工作由招标人依法组建的评标委员会负责，评标委员会成员为3人或以上单数。</w:t>
      </w:r>
    </w:p>
    <w:p>
      <w:pPr>
        <w:pStyle w:val="9"/>
        <w:spacing w:line="360" w:lineRule="auto"/>
        <w:ind w:firstLine="431" w:firstLineChars="196"/>
        <w:rPr>
          <w:rFonts w:ascii="仿宋_GB2312" w:hAnsi="仿宋" w:eastAsia="仿宋_GB2312"/>
          <w:sz w:val="22"/>
          <w:szCs w:val="24"/>
        </w:rPr>
      </w:pPr>
      <w:r>
        <w:rPr>
          <w:rFonts w:hint="eastAsia" w:ascii="仿宋_GB2312" w:hAnsi="仿宋" w:eastAsia="仿宋_GB2312"/>
          <w:sz w:val="22"/>
          <w:szCs w:val="24"/>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24"/>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6.3 评标办法</w:t>
      </w:r>
    </w:p>
    <w:p>
      <w:pPr>
        <w:spacing w:line="360" w:lineRule="auto"/>
        <w:ind w:firstLine="428" w:firstLineChars="194"/>
        <w:rPr>
          <w:rFonts w:ascii="仿宋_GB2312" w:hAnsi="宋体" w:eastAsia="仿宋_GB2312"/>
          <w:b/>
          <w:sz w:val="22"/>
        </w:rPr>
      </w:pPr>
      <w:r>
        <w:rPr>
          <w:rFonts w:hint="eastAsia" w:ascii="仿宋_GB2312" w:hAnsi="仿宋" w:eastAsia="仿宋_GB2312"/>
          <w:b/>
          <w:kern w:val="0"/>
          <w:sz w:val="22"/>
          <w:szCs w:val="20"/>
        </w:rPr>
        <w:t>本项目评标办法是综合评分法，具体评标内容及评分标准等详见采购文件第三部分。评标委员会按照客观、公正、科学、择优的原则，根据采购文件确定的评标标准、办法，以采购文件规定的因素为评价指标，并将各指标量化记分</w:t>
      </w:r>
    </w:p>
    <w:p>
      <w:pPr>
        <w:snapToGrid w:val="0"/>
        <w:spacing w:line="360" w:lineRule="auto"/>
        <w:rPr>
          <w:rFonts w:ascii="仿宋_GB2312" w:hAnsi="宋体" w:eastAsia="仿宋_GB2312"/>
          <w:b/>
          <w:sz w:val="22"/>
        </w:rPr>
      </w:pPr>
      <w:r>
        <w:rPr>
          <w:rFonts w:hint="eastAsia" w:ascii="仿宋_GB2312" w:hAnsi="仿宋" w:eastAsia="仿宋_GB2312"/>
          <w:b/>
          <w:sz w:val="22"/>
        </w:rPr>
        <w:t>6.4</w:t>
      </w:r>
      <w:r>
        <w:rPr>
          <w:rFonts w:hint="eastAsia" w:ascii="仿宋_GB2312" w:hAnsi="宋体" w:eastAsia="仿宋_GB2312"/>
          <w:b/>
          <w:sz w:val="22"/>
        </w:rPr>
        <w:t xml:space="preserve"> 投标文件审查</w:t>
      </w:r>
    </w:p>
    <w:p>
      <w:pPr>
        <w:snapToGrid w:val="0"/>
        <w:spacing w:line="360" w:lineRule="auto"/>
        <w:ind w:firstLine="440" w:firstLineChars="200"/>
        <w:rPr>
          <w:rFonts w:ascii="仿宋_GB2312" w:hAnsi="仿宋" w:eastAsia="仿宋_GB2312"/>
          <w:sz w:val="22"/>
        </w:rPr>
      </w:pPr>
      <w:r>
        <w:rPr>
          <w:rFonts w:hint="eastAsia" w:ascii="仿宋_GB2312" w:hAnsi="仿宋" w:eastAsia="仿宋_GB2312"/>
          <w:sz w:val="22"/>
        </w:rPr>
        <w:t>6.4.1投标文件资格性审查：评标委员会依据法律法规和采购文件的规定，对投标文件中的资格证明、投标保证金等进行审查，以确定投标人是否具备投标资格。</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6.4.2 投标文件符合性审查：评标委员会依据采购文件的规定，从投标文件的有效性、完整性和对采购文件的响应程度进行审查，以确定是否对采购文件的要求作出实质性响应。</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6.4.3 实质性响应的投标应该是与采购文件要求的主要条款相符，没有重大偏离或保留的投标。所谓重大偏离或保留是指影响合同的内容、项目建设质量，或者在实质上与采购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ascii="仿宋_GB2312" w:hAnsi="仿宋" w:eastAsia="仿宋_GB2312"/>
          <w:sz w:val="22"/>
        </w:rPr>
      </w:pPr>
      <w:r>
        <w:rPr>
          <w:rFonts w:hint="eastAsia" w:ascii="仿宋_GB2312" w:hAnsi="仿宋" w:eastAsia="仿宋_GB2312"/>
          <w:sz w:val="22"/>
        </w:rPr>
        <w:t xml:space="preserve">6.4.4 如果投标文件没有实质上响应采购文件的要求，评标委员会将判定无效，投标人不得通过修改或撤销不合要求的偏离或保留而使其投标成为实质性响应的投标。 </w:t>
      </w:r>
    </w:p>
    <w:p>
      <w:pPr>
        <w:spacing w:line="360" w:lineRule="auto"/>
        <w:rPr>
          <w:rFonts w:ascii="仿宋_GB2312" w:hAnsi="仿宋" w:eastAsia="仿宋_GB2312"/>
          <w:sz w:val="22"/>
        </w:rPr>
      </w:pPr>
      <w:r>
        <w:rPr>
          <w:rFonts w:hint="eastAsia" w:ascii="仿宋_GB2312" w:hAnsi="仿宋" w:eastAsia="仿宋_GB2312"/>
          <w:sz w:val="22"/>
        </w:rPr>
        <w:t xml:space="preserve"> 6.5</w:t>
      </w:r>
      <w:r>
        <w:rPr>
          <w:rFonts w:hint="eastAsia" w:ascii="仿宋_GB2312" w:hAnsi="宋体" w:eastAsia="仿宋_GB2312"/>
          <w:b/>
          <w:sz w:val="22"/>
        </w:rPr>
        <w:t>修正原则</w:t>
      </w:r>
    </w:p>
    <w:p>
      <w:pPr>
        <w:spacing w:line="360" w:lineRule="auto"/>
        <w:rPr>
          <w:rFonts w:ascii="仿宋_GB2312" w:hAnsi="仿宋" w:eastAsia="仿宋_GB2312"/>
          <w:sz w:val="22"/>
        </w:rPr>
      </w:pPr>
      <w:r>
        <w:rPr>
          <w:rFonts w:hint="eastAsia" w:ascii="仿宋_GB2312" w:hAnsi="仿宋" w:eastAsia="仿宋_GB2312"/>
          <w:sz w:val="22"/>
        </w:rPr>
        <w:t>评标委员会对投标文件的报价文件进行审核，对发现计算、书写等错误的，按以下原则进行修正：</w:t>
      </w:r>
    </w:p>
    <w:p>
      <w:pPr>
        <w:spacing w:line="360" w:lineRule="auto"/>
        <w:ind w:firstLine="420"/>
        <w:rPr>
          <w:rFonts w:ascii="仿宋_GB2312" w:hAnsi="仿宋" w:eastAsia="仿宋_GB2312"/>
          <w:szCs w:val="21"/>
        </w:rPr>
      </w:pPr>
      <w:r>
        <w:rPr>
          <w:rFonts w:hint="eastAsia" w:ascii="仿宋_GB2312" w:hAnsi="仿宋" w:eastAsia="仿宋_GB2312"/>
          <w:szCs w:val="21"/>
        </w:rPr>
        <w:t>6.5.1大写金额与小写金额不一致的，以大写金额为准；</w:t>
      </w:r>
    </w:p>
    <w:p>
      <w:pPr>
        <w:spacing w:line="360" w:lineRule="auto"/>
        <w:ind w:firstLine="420"/>
        <w:rPr>
          <w:rFonts w:ascii="仿宋_GB2312" w:hAnsi="仿宋" w:eastAsia="仿宋_GB2312"/>
          <w:szCs w:val="21"/>
        </w:rPr>
      </w:pPr>
      <w:r>
        <w:rPr>
          <w:rFonts w:hint="eastAsia" w:ascii="仿宋_GB2312" w:hAnsi="仿宋" w:eastAsia="仿宋_GB2312"/>
          <w:szCs w:val="21"/>
        </w:rPr>
        <w:t>6.5.2总价金额与按单价汇总金额不一致的，以单价金额计算结果为准；</w:t>
      </w:r>
    </w:p>
    <w:p>
      <w:pPr>
        <w:spacing w:line="360" w:lineRule="auto"/>
        <w:ind w:firstLine="420"/>
        <w:rPr>
          <w:rFonts w:ascii="仿宋_GB2312" w:hAnsi="仿宋" w:eastAsia="仿宋_GB2312"/>
          <w:szCs w:val="21"/>
        </w:rPr>
      </w:pPr>
      <w:r>
        <w:rPr>
          <w:rFonts w:hint="eastAsia" w:ascii="仿宋_GB2312" w:hAnsi="仿宋" w:eastAsia="仿宋_GB2312"/>
          <w:szCs w:val="21"/>
        </w:rPr>
        <w:t>6.5.3单价金额小数点有明显错位的，应以总价为准，并修改单价；</w:t>
      </w:r>
    </w:p>
    <w:p>
      <w:pPr>
        <w:snapToGrid w:val="0"/>
        <w:spacing w:line="360" w:lineRule="auto"/>
        <w:ind w:firstLine="420"/>
        <w:rPr>
          <w:rFonts w:ascii="仿宋_GB2312" w:hAnsi="仿宋" w:eastAsia="仿宋_GB2312"/>
          <w:szCs w:val="21"/>
          <w:lang w:val="zh-CN"/>
        </w:rPr>
      </w:pPr>
      <w:r>
        <w:rPr>
          <w:rFonts w:hint="eastAsia" w:ascii="仿宋_GB2312" w:hAnsi="仿宋" w:eastAsia="仿宋_GB2312"/>
          <w:szCs w:val="21"/>
        </w:rPr>
        <w:t>6.5.4以修正后的总价作为投标报价</w:t>
      </w:r>
      <w:r>
        <w:rPr>
          <w:rFonts w:hint="eastAsia" w:ascii="仿宋_GB2312" w:hAnsi="宋体" w:eastAsia="仿宋_GB2312"/>
          <w:szCs w:val="21"/>
        </w:rPr>
        <w:t>。</w:t>
      </w:r>
    </w:p>
    <w:p>
      <w:pPr>
        <w:pStyle w:val="24"/>
        <w:snapToGrid w:val="0"/>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6.6 投标文件的澄清</w:t>
      </w:r>
    </w:p>
    <w:p>
      <w:pPr>
        <w:pStyle w:val="24"/>
        <w:snapToGrid w:val="0"/>
        <w:spacing w:before="0"/>
        <w:ind w:firstLine="420"/>
        <w:rPr>
          <w:rFonts w:ascii="仿宋_GB2312" w:hAnsi="仿宋" w:eastAsia="仿宋_GB2312"/>
          <w:sz w:val="21"/>
          <w:szCs w:val="21"/>
        </w:rPr>
      </w:pPr>
      <w:r>
        <w:rPr>
          <w:rFonts w:hint="eastAsia" w:ascii="仿宋_GB2312" w:hAnsi="仿宋" w:eastAsia="仿宋_GB2312"/>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20" w:hanging="420" w:hangingChars="199"/>
        <w:rPr>
          <w:rFonts w:ascii="仿宋_GB2312" w:eastAsia="仿宋_GB2312"/>
          <w:b/>
          <w:spacing w:val="20"/>
          <w:sz w:val="21"/>
          <w:szCs w:val="21"/>
        </w:rPr>
      </w:pPr>
      <w:r>
        <w:rPr>
          <w:rFonts w:hint="eastAsia" w:ascii="仿宋_GB2312" w:eastAsia="仿宋_GB2312"/>
          <w:b/>
          <w:sz w:val="21"/>
          <w:szCs w:val="21"/>
        </w:rPr>
        <w:t>6.7</w:t>
      </w:r>
      <w:r>
        <w:rPr>
          <w:rFonts w:hint="eastAsia" w:ascii="仿宋_GB2312" w:eastAsia="仿宋_GB2312"/>
          <w:b/>
          <w:spacing w:val="20"/>
          <w:sz w:val="21"/>
          <w:szCs w:val="21"/>
        </w:rPr>
        <w:t>无效标</w:t>
      </w:r>
    </w:p>
    <w:p>
      <w:pPr>
        <w:pStyle w:val="8"/>
        <w:spacing w:line="360" w:lineRule="auto"/>
        <w:ind w:firstLine="525" w:firstLineChars="250"/>
        <w:rPr>
          <w:rFonts w:ascii="仿宋_GB2312" w:hAnsi="仿宋" w:eastAsia="仿宋_GB2312"/>
          <w:sz w:val="21"/>
          <w:szCs w:val="21"/>
        </w:rPr>
      </w:pPr>
      <w:r>
        <w:rPr>
          <w:rFonts w:hint="eastAsia" w:ascii="仿宋_GB2312" w:hAnsi="仿宋" w:eastAsia="仿宋_GB2312"/>
          <w:sz w:val="21"/>
          <w:szCs w:val="21"/>
        </w:rPr>
        <w:t>投标文件有下列情况之一的，其投标文件作无效处理：</w:t>
      </w:r>
    </w:p>
    <w:p>
      <w:pPr>
        <w:spacing w:line="360" w:lineRule="auto"/>
        <w:ind w:firstLine="420" w:firstLineChars="200"/>
        <w:rPr>
          <w:rFonts w:ascii="仿宋_GB2312" w:hAnsi="仿宋" w:eastAsia="仿宋_GB2312"/>
          <w:szCs w:val="21"/>
        </w:rPr>
      </w:pPr>
      <w:r>
        <w:rPr>
          <w:rFonts w:hint="eastAsia" w:ascii="仿宋_GB2312" w:hAnsi="仿宋" w:eastAsia="仿宋_GB2312" w:cs="仿宋_GB2312"/>
          <w:szCs w:val="21"/>
        </w:rPr>
        <w:t>（1）投标文件未按采购文件要求加盖单位印章或投标人的法定代表人（或其委托代理人）未按采购文件要求签字或盖章的；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（2）投标文件中法定代表人授权书所载内容与本项目内容有异的；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（3）投标文件组成漏项或未按规定的格式编制或投标文件正、副本份数不足，内容不全或内容字迹模糊辨认不清的；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（4）投标人不具备投标资格的，或者未按规定交纳投标保证金的；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（5）投标报价明显高于市场价或低于成本价，且不能提供书面证明材料说明原因的；</w:t>
      </w:r>
    </w:p>
    <w:p>
      <w:pPr>
        <w:spacing w:line="360" w:lineRule="auto"/>
        <w:ind w:firstLine="420" w:firstLineChars="200"/>
        <w:rPr>
          <w:rFonts w:ascii="仿宋_GB2312" w:eastAsia="仿宋_GB2312"/>
          <w:szCs w:val="21"/>
        </w:rPr>
      </w:pPr>
      <w:r>
        <w:rPr>
          <w:rFonts w:hint="eastAsia" w:ascii="仿宋_GB2312" w:eastAsia="仿宋_GB2312"/>
          <w:szCs w:val="21"/>
        </w:rPr>
        <w:t>（6）投标报价高于本项目采购预算的；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（7）投标人未按采购文件变更通知编制投标文件的；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（8）《投标（开标）一览表》和《投标报价明细清单》填写不完整或字迹不能辨认的；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（9）经评标委员会审核，投标人的资质、业绩、人员等条件不满足采购文件载明的实质性条件；</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（10）投标人拒绝按采购文件第6.5条修正原则对投标文件进行修改的；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（11）投标人提供虚假材料投标的；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（12）经评标委员会审核，投标人的投标文件有类同或有串标嫌疑的；</w:t>
      </w:r>
    </w:p>
    <w:p>
      <w:pPr>
        <w:pStyle w:val="8"/>
        <w:snapToGrid w:val="0"/>
        <w:spacing w:line="360" w:lineRule="auto"/>
        <w:ind w:firstLine="420"/>
        <w:rPr>
          <w:rFonts w:ascii="仿宋_GB2312" w:eastAsia="仿宋_GB2312"/>
          <w:sz w:val="21"/>
          <w:szCs w:val="21"/>
        </w:rPr>
      </w:pPr>
      <w:r>
        <w:rPr>
          <w:rFonts w:hint="eastAsia" w:ascii="仿宋_GB2312" w:eastAsia="仿宋_GB2312"/>
          <w:sz w:val="21"/>
          <w:szCs w:val="21"/>
        </w:rPr>
        <w:t>（13）参与本次招标活动前三年内，投标人在</w:t>
      </w:r>
      <w:r>
        <w:rPr>
          <w:rFonts w:hint="eastAsia" w:ascii="仿宋_GB2312" w:eastAsia="仿宋_GB2312"/>
          <w:kern w:val="0"/>
          <w:sz w:val="21"/>
          <w:szCs w:val="21"/>
        </w:rPr>
        <w:t>政府采购领域中</w:t>
      </w:r>
      <w:r>
        <w:rPr>
          <w:rFonts w:hint="eastAsia" w:ascii="仿宋_GB2312" w:eastAsia="仿宋_GB2312"/>
          <w:sz w:val="21"/>
          <w:szCs w:val="21"/>
        </w:rPr>
        <w:t>，在项目招标、投标和合同履约期间存在违法以及违反政府采购供应商行为规范且情节严重的。</w:t>
      </w:r>
    </w:p>
    <w:p>
      <w:pPr>
        <w:pStyle w:val="24"/>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6.8废标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根据《中华人民共和国政府采购法》第三十六条之规定，在采购中，出现下列情形之一的，应予废标：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(1) 出现影响采购公正的违法、违规行为的；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(2) 投标人的报价均超过了采购预算，采购人不能支付的；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(3) 因重大变故，采购任务取消的。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废标后，采购机构应当将废标理由通知所有投标人。</w:t>
      </w:r>
    </w:p>
    <w:p>
      <w:pPr>
        <w:pStyle w:val="24"/>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6.9. 评标内容的保密</w:t>
      </w:r>
    </w:p>
    <w:p>
      <w:pPr>
        <w:pStyle w:val="24"/>
        <w:snapToGrid w:val="0"/>
        <w:spacing w:before="0"/>
        <w:ind w:firstLine="420"/>
        <w:rPr>
          <w:rFonts w:ascii="仿宋_GB2312" w:hAnsi="仿宋" w:eastAsia="仿宋_GB2312"/>
          <w:sz w:val="21"/>
          <w:szCs w:val="21"/>
        </w:rPr>
      </w:pPr>
      <w:r>
        <w:rPr>
          <w:rFonts w:hint="eastAsia" w:ascii="仿宋_GB2312" w:hAnsi="仿宋" w:eastAsia="仿宋_GB2312"/>
          <w:sz w:val="21"/>
          <w:szCs w:val="21"/>
        </w:rPr>
        <w:t>6.9.1  公开开标后，直到宣布中标人止，凡属于审查、澄清、评价和比较投标的所有资料，都不应向投标人或与评标无关的其他人泄露。</w:t>
      </w:r>
    </w:p>
    <w:p>
      <w:pPr>
        <w:pStyle w:val="24"/>
        <w:snapToGrid w:val="0"/>
        <w:spacing w:before="0"/>
        <w:ind w:firstLine="420"/>
        <w:rPr>
          <w:rFonts w:ascii="仿宋_GB2312" w:hAnsi="仿宋" w:eastAsia="仿宋_GB2312"/>
          <w:sz w:val="21"/>
          <w:szCs w:val="21"/>
        </w:rPr>
      </w:pPr>
      <w:r>
        <w:rPr>
          <w:rFonts w:hint="eastAsia" w:ascii="仿宋_GB2312" w:hAnsi="仿宋" w:eastAsia="仿宋_GB2312"/>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七、定 标</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7.1 授标建议</w:t>
      </w:r>
    </w:p>
    <w:p>
      <w:pPr>
        <w:snapToGrid w:val="0"/>
        <w:spacing w:line="360" w:lineRule="auto"/>
        <w:ind w:left="120" w:leftChars="57" w:firstLine="420" w:firstLineChars="200"/>
        <w:rPr>
          <w:rFonts w:ascii="仿宋_GB2312" w:hAnsi="仿宋" w:eastAsia="仿宋_GB2312"/>
        </w:rPr>
      </w:pPr>
      <w:r>
        <w:rPr>
          <w:rFonts w:hint="eastAsia" w:ascii="仿宋_GB2312" w:hAnsi="仿宋" w:eastAsia="仿宋_GB2312"/>
        </w:rPr>
        <w:t>评标委员会将根据采购文件和有关规定，履行评标工作职责，以评标原则和评标办法为标准，全面衡量各投标人对采购文件的响应情况。对实质上响应采购文件的投标人，</w:t>
      </w:r>
      <w:r>
        <w:rPr>
          <w:rFonts w:hint="eastAsia" w:ascii="仿宋_GB2312" w:hAnsi="仿宋" w:eastAsia="仿宋_GB2312"/>
          <w:kern w:val="28"/>
          <w:lang w:val="zh-CN"/>
        </w:rPr>
        <w:t>以打分的方法</w:t>
      </w:r>
      <w:r>
        <w:rPr>
          <w:rFonts w:hint="eastAsia" w:ascii="仿宋_GB2312" w:hAnsi="仿宋" w:eastAsia="仿宋_GB2312"/>
        </w:rPr>
        <w:t>，排出推荐中标的投标人的先后顺序</w:t>
      </w:r>
      <w:r>
        <w:rPr>
          <w:rFonts w:hint="eastAsia" w:ascii="仿宋_GB2312" w:hAnsi="仿宋" w:eastAsia="仿宋_GB2312"/>
          <w:lang w:val="zh-CN"/>
        </w:rPr>
        <w:t>，并按</w:t>
      </w:r>
      <w:r>
        <w:rPr>
          <w:rFonts w:hint="eastAsia" w:ascii="仿宋_GB2312" w:hAnsi="仿宋" w:eastAsia="仿宋_GB2312"/>
        </w:rPr>
        <w:t>顺序</w:t>
      </w:r>
      <w:r>
        <w:rPr>
          <w:rFonts w:hint="eastAsia" w:ascii="仿宋_GB2312" w:hAnsi="仿宋" w:eastAsia="仿宋_GB2312"/>
          <w:lang w:val="zh-CN"/>
        </w:rPr>
        <w:t>提出授标建议</w:t>
      </w:r>
      <w:r>
        <w:rPr>
          <w:rFonts w:hint="eastAsia" w:ascii="仿宋_GB2312" w:hAnsi="仿宋" w:eastAsia="仿宋_GB2312"/>
        </w:rPr>
        <w:t>。评标结果经采购人确认，最终确定中标人。</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7.2中标通知</w:t>
      </w:r>
    </w:p>
    <w:p>
      <w:pPr>
        <w:tabs>
          <w:tab w:val="left" w:pos="0"/>
        </w:tabs>
        <w:spacing w:line="360" w:lineRule="auto"/>
        <w:ind w:firstLine="480"/>
        <w:rPr>
          <w:rFonts w:ascii="仿宋_GB2312" w:hAnsi="宋体" w:eastAsia="仿宋_GB2312"/>
        </w:rPr>
      </w:pPr>
      <w:r>
        <w:rPr>
          <w:rFonts w:hint="eastAsia" w:ascii="仿宋_GB2312" w:hAnsi="宋体" w:eastAsia="仿宋_GB2312"/>
        </w:rPr>
        <w:t>7.2.1</w:t>
      </w:r>
      <w:r>
        <w:rPr>
          <w:rFonts w:hint="eastAsia" w:ascii="仿宋_GB2312" w:eastAsia="仿宋_GB2312"/>
        </w:rPr>
        <w:t>确定预中标人后，采购人将在发布招标公告的网站上公布评标结果，并</w:t>
      </w:r>
      <w:r>
        <w:rPr>
          <w:rFonts w:hint="eastAsia" w:ascii="仿宋_GB2312" w:hAnsi="宋体" w:eastAsia="仿宋_GB2312"/>
        </w:rPr>
        <w:t>将中标结果在指定媒体上公示3个工作日，公示期内如无异议，</w:t>
      </w:r>
      <w:r>
        <w:rPr>
          <w:rFonts w:hint="eastAsia" w:ascii="仿宋_GB2312" w:eastAsia="仿宋_GB2312"/>
        </w:rPr>
        <w:t>采购机构</w:t>
      </w:r>
      <w:r>
        <w:rPr>
          <w:rFonts w:hint="eastAsia" w:ascii="仿宋_GB2312" w:hAnsi="宋体" w:eastAsia="仿宋_GB2312"/>
        </w:rPr>
        <w:t>向预中标人签发中标通知书。</w:t>
      </w:r>
    </w:p>
    <w:p>
      <w:pPr>
        <w:tabs>
          <w:tab w:val="left" w:pos="0"/>
        </w:tabs>
        <w:spacing w:line="360" w:lineRule="auto"/>
        <w:ind w:firstLine="480"/>
        <w:rPr>
          <w:rFonts w:ascii="仿宋_GB2312" w:hAnsi="宋体" w:eastAsia="仿宋_GB2312"/>
        </w:rPr>
      </w:pPr>
      <w:r>
        <w:rPr>
          <w:rFonts w:hint="eastAsia" w:ascii="仿宋_GB2312" w:hAnsi="仿宋" w:eastAsia="仿宋_GB2312"/>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ascii="仿宋_GB2312" w:hAnsi="宋体" w:eastAsia="仿宋_GB2312"/>
        </w:rPr>
      </w:pPr>
      <w:r>
        <w:rPr>
          <w:rFonts w:hint="eastAsia" w:ascii="仿宋_GB2312" w:hAnsi="宋体" w:eastAsia="仿宋_GB2312"/>
        </w:rPr>
        <w:t>在</w:t>
      </w:r>
      <w:r>
        <w:rPr>
          <w:rFonts w:hint="eastAsia" w:ascii="仿宋_GB2312" w:eastAsia="仿宋_GB2312"/>
        </w:rPr>
        <w:t>采购机构</w:t>
      </w:r>
      <w:r>
        <w:rPr>
          <w:rFonts w:hint="eastAsia" w:ascii="仿宋_GB2312" w:hAnsi="宋体" w:eastAsia="仿宋_GB2312"/>
        </w:rPr>
        <w:t>发出中标通知书前，中标人有违反有关法律法规和本项目要求行为的，则取消其预中标资格，不再退还其投标保证金，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预中标公示单位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7.2.2投标人全部接受合同条件并签订合同后，中标通知书亦成为合同的组成部分。</w:t>
      </w:r>
    </w:p>
    <w:p>
      <w:pPr>
        <w:tabs>
          <w:tab w:val="left" w:pos="0"/>
        </w:tabs>
        <w:spacing w:line="360" w:lineRule="auto"/>
        <w:ind w:firstLine="480"/>
        <w:rPr>
          <w:rFonts w:ascii="仿宋_GB2312" w:hAnsi="宋体" w:eastAsia="仿宋_GB2312"/>
        </w:rPr>
      </w:pPr>
      <w:r>
        <w:rPr>
          <w:rFonts w:hint="eastAsia" w:ascii="仿宋_GB2312" w:hAnsi="宋体" w:eastAsia="仿宋_GB2312"/>
        </w:rPr>
        <w:t>7.2.3如中标人拒绝承担中标的项目，或提出采购机构不能接受的条件，致使合同无法签订，采购机构将取消其中标资格，不再退还其投标保证金，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7.2.4在中标人签订合同并生效后，中标人即为供应商，</w:t>
      </w:r>
      <w:r>
        <w:rPr>
          <w:rFonts w:hint="eastAsia" w:ascii="仿宋_GB2312" w:hAnsi="仿宋" w:eastAsia="仿宋_GB2312"/>
        </w:rPr>
        <w:t>采购机构及时将未中标的结果通知其他投标人</w:t>
      </w:r>
      <w:r>
        <w:rPr>
          <w:rFonts w:hint="eastAsia" w:ascii="仿宋_GB2312" w:hAnsi="宋体" w:eastAsia="仿宋_GB2312"/>
        </w:rPr>
        <w:t>。</w:t>
      </w:r>
    </w:p>
    <w:p>
      <w:pPr>
        <w:snapToGrid w:val="0"/>
        <w:spacing w:line="360" w:lineRule="auto"/>
        <w:ind w:left="120" w:leftChars="57" w:firstLine="482" w:firstLineChars="150"/>
        <w:jc w:val="center"/>
        <w:rPr>
          <w:rFonts w:ascii="仿宋_GB2312" w:hAnsi="仿宋" w:eastAsia="仿宋_GB2312"/>
          <w:b/>
          <w:sz w:val="32"/>
        </w:rPr>
      </w:pPr>
    </w:p>
    <w:p>
      <w:pPr>
        <w:snapToGrid w:val="0"/>
        <w:spacing w:line="360" w:lineRule="auto"/>
        <w:ind w:left="120" w:leftChars="57" w:firstLine="482" w:firstLineChars="150"/>
        <w:jc w:val="center"/>
        <w:rPr>
          <w:rFonts w:ascii="仿宋_GB2312" w:hAnsi="仿宋" w:eastAsia="仿宋_GB2312"/>
          <w:b/>
          <w:sz w:val="32"/>
        </w:rPr>
      </w:pPr>
      <w:r>
        <w:rPr>
          <w:rFonts w:hint="eastAsia" w:ascii="仿宋_GB2312" w:hAnsi="仿宋" w:eastAsia="仿宋_GB2312"/>
          <w:b/>
          <w:sz w:val="32"/>
        </w:rPr>
        <w:t>八、合同签订及其他</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8.1 合同的签订</w:t>
      </w:r>
    </w:p>
    <w:p>
      <w:pPr>
        <w:snapToGrid w:val="0"/>
        <w:spacing w:line="360" w:lineRule="auto"/>
        <w:ind w:firstLine="420" w:firstLineChars="200"/>
        <w:rPr>
          <w:rFonts w:ascii="仿宋_GB2312" w:hAnsi="仿宋" w:eastAsia="仿宋_GB2312"/>
        </w:rPr>
      </w:pPr>
      <w:r>
        <w:rPr>
          <w:rFonts w:hint="eastAsia" w:ascii="仿宋_GB2312" w:hAnsi="仿宋" w:eastAsia="仿宋_GB2312"/>
        </w:rPr>
        <w:t>8.1.1合同将由采购人与经评审最终确定的中标人结合本项目具体情况协商后签订。采购文件第五部分《采购合同主要条款》为采购人提出的主要条款，投标人在投标文件中应对其进行确认或拒绝。如投标人在其投标文件中未做拒绝或提出修改要求的，采购人将视作认同。</w:t>
      </w:r>
    </w:p>
    <w:p>
      <w:pPr>
        <w:pStyle w:val="24"/>
        <w:snapToGrid w:val="0"/>
        <w:spacing w:before="0"/>
        <w:ind w:firstLine="420"/>
        <w:rPr>
          <w:rFonts w:ascii="仿宋_GB2312" w:hAnsi="仿宋" w:eastAsia="仿宋_GB2312"/>
          <w:kern w:val="0"/>
          <w:sz w:val="21"/>
          <w:lang w:val="zh-CN"/>
        </w:rPr>
      </w:pPr>
      <w:r>
        <w:rPr>
          <w:rFonts w:hint="eastAsia" w:ascii="仿宋_GB2312" w:hAnsi="仿宋" w:eastAsia="仿宋_GB2312"/>
          <w:kern w:val="0"/>
          <w:sz w:val="21"/>
          <w:lang w:val="zh-CN"/>
        </w:rPr>
        <w:t>8.1.2中标人按规定的日期、时间、地点，由法定代表人或其授权代表与采购人代表签订合同，经招标人和中标人盖章并经双方法定代表人或授权代理人签字（盖章）后生效。</w:t>
      </w:r>
    </w:p>
    <w:p>
      <w:pPr>
        <w:pStyle w:val="24"/>
        <w:snapToGrid w:val="0"/>
        <w:spacing w:before="0"/>
        <w:ind w:firstLine="420"/>
        <w:rPr>
          <w:rFonts w:ascii="仿宋_GB2312" w:hAnsi="仿宋" w:eastAsia="仿宋_GB2312"/>
          <w:kern w:val="0"/>
          <w:sz w:val="21"/>
          <w:lang w:val="zh-CN"/>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九、质疑与投诉</w:t>
      </w:r>
    </w:p>
    <w:p>
      <w:pPr>
        <w:pStyle w:val="24"/>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9.1供应商询问</w:t>
      </w:r>
    </w:p>
    <w:p>
      <w:pPr>
        <w:pStyle w:val="24"/>
        <w:snapToGrid w:val="0"/>
        <w:spacing w:before="0"/>
        <w:ind w:firstLine="420"/>
        <w:rPr>
          <w:rFonts w:ascii="仿宋_GB2312" w:hAnsi="仿宋" w:eastAsia="仿宋_GB2312"/>
          <w:sz w:val="21"/>
          <w:lang w:val="zh-CN"/>
        </w:rPr>
      </w:pPr>
      <w:r>
        <w:rPr>
          <w:rFonts w:hint="eastAsia" w:ascii="仿宋_GB2312" w:hAnsi="仿宋" w:eastAsia="仿宋_GB2312"/>
          <w:sz w:val="21"/>
          <w:lang w:val="zh-CN"/>
        </w:rPr>
        <w:t>供应商对政府采购活动事项有疑问的，可以向采购机构提出询问，采购机构应当及时作出答复，但答复的内容不得涉及商业秘密。</w:t>
      </w:r>
    </w:p>
    <w:p>
      <w:pPr>
        <w:pStyle w:val="24"/>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9.2供应商质疑</w:t>
      </w:r>
    </w:p>
    <w:p>
      <w:pPr>
        <w:pStyle w:val="24"/>
        <w:snapToGrid w:val="0"/>
        <w:spacing w:before="0"/>
        <w:ind w:firstLine="420"/>
        <w:rPr>
          <w:rFonts w:ascii="仿宋_GB2312" w:hAnsi="仿宋" w:eastAsia="仿宋_GB2312"/>
          <w:b/>
          <w:sz w:val="21"/>
        </w:rPr>
      </w:pPr>
      <w:r>
        <w:rPr>
          <w:rFonts w:hint="eastAsia" w:ascii="仿宋_GB2312" w:hAnsi="仿宋" w:eastAsia="仿宋_GB2312"/>
          <w:sz w:val="21"/>
        </w:rPr>
        <w:t>9.2.1</w:t>
      </w:r>
      <w:r>
        <w:rPr>
          <w:rFonts w:hint="eastAsia" w:ascii="仿宋_GB2312" w:hAnsi="宋体" w:eastAsia="仿宋_GB2312"/>
          <w:sz w:val="21"/>
          <w:szCs w:val="24"/>
        </w:rPr>
        <w:t>供应商认为采购文件、采购过程和中标、成交结果使自己的权益受到损害的，可以在招标公告发出之日起七个工作日内，以书面形式向</w:t>
      </w:r>
      <w:r>
        <w:rPr>
          <w:rFonts w:hint="eastAsia" w:ascii="仿宋_GB2312" w:hAnsi="ˎ̥" w:eastAsia="仿宋_GB2312"/>
          <w:sz w:val="21"/>
        </w:rPr>
        <w:t>采购人</w:t>
      </w:r>
      <w:r>
        <w:rPr>
          <w:rFonts w:hint="eastAsia" w:ascii="仿宋_GB2312" w:hAnsi="宋体" w:eastAsia="仿宋_GB2312"/>
          <w:sz w:val="21"/>
          <w:szCs w:val="24"/>
        </w:rPr>
        <w:t>提出质疑。</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9.2.2供应商提交的质疑书需一式三份，由法定代表人签字（或盖章）并加盖单位公章。质疑书至少应包括下列主要内容：</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（1）质疑人的名称、地址、邮政编码、联系人、联系电话，以及被质疑人名称及联系方式；</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（2）被质疑采购项目名称、编号及采购内容；</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（3）具体的质疑事项及事实依据；</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（4）认为自己合法权益受到损害或可能受到损害的相关证据材料；</w:t>
      </w:r>
    </w:p>
    <w:p>
      <w:pPr>
        <w:pStyle w:val="24"/>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（5）提出质疑的日期。</w:t>
      </w:r>
    </w:p>
    <w:p>
      <w:pPr>
        <w:pStyle w:val="24"/>
        <w:snapToGrid w:val="0"/>
        <w:spacing w:before="0"/>
        <w:ind w:firstLine="420"/>
        <w:rPr>
          <w:rFonts w:ascii="仿宋_GB2312" w:hAnsi="仿宋" w:eastAsia="仿宋_GB2312"/>
          <w:sz w:val="21"/>
        </w:rPr>
      </w:pPr>
      <w:r>
        <w:rPr>
          <w:rFonts w:hint="eastAsia" w:ascii="仿宋_GB2312" w:eastAsia="仿宋_GB2312"/>
          <w:sz w:val="21"/>
        </w:rPr>
        <w:t>9.2.3</w:t>
      </w:r>
      <w:r>
        <w:rPr>
          <w:rFonts w:hint="eastAsia" w:ascii="仿宋_GB2312" w:hAnsi="仿宋" w:eastAsia="仿宋_GB2312"/>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24"/>
        <w:snapToGrid w:val="0"/>
        <w:spacing w:before="0"/>
        <w:ind w:firstLine="420"/>
        <w:rPr>
          <w:rFonts w:ascii="仿宋_GB2312" w:eastAsia="仿宋_GB2312"/>
          <w:sz w:val="21"/>
        </w:rPr>
      </w:pPr>
      <w:r>
        <w:rPr>
          <w:rFonts w:hint="eastAsia" w:ascii="仿宋_GB2312" w:hAnsi="宋体" w:eastAsia="仿宋_GB2312"/>
          <w:sz w:val="21"/>
        </w:rPr>
        <w:t>9.2.4质疑投诉属于以下情况之一的，将不予受理：</w:t>
      </w:r>
    </w:p>
    <w:p>
      <w:pPr>
        <w:spacing w:line="420" w:lineRule="exact"/>
        <w:ind w:firstLine="420" w:firstLineChars="200"/>
        <w:rPr>
          <w:rFonts w:ascii="仿宋_GB2312" w:hAnsi="宋体" w:eastAsia="仿宋_GB2312"/>
        </w:rPr>
      </w:pPr>
      <w:r>
        <w:rPr>
          <w:rFonts w:hint="eastAsia" w:ascii="仿宋_GB2312" w:hAnsi="宋体" w:eastAsia="仿宋_GB2312"/>
        </w:rPr>
        <w:t>(1).质疑投诉人不是所投诉项目的参与者，或者与质疑投诉项目无任何利害关系。</w:t>
      </w:r>
    </w:p>
    <w:p>
      <w:pPr>
        <w:spacing w:line="420" w:lineRule="exact"/>
        <w:ind w:firstLine="420" w:firstLineChars="200"/>
        <w:rPr>
          <w:rFonts w:ascii="仿宋_GB2312" w:hAnsi="宋体" w:eastAsia="仿宋_GB2312"/>
        </w:rPr>
      </w:pPr>
      <w:r>
        <w:rPr>
          <w:rFonts w:hint="eastAsia" w:ascii="仿宋_GB2312" w:hAnsi="宋体" w:eastAsia="仿宋_GB2312"/>
        </w:rPr>
        <w:t>(2).质疑投诉事项不具体，且未提供有效线索，难以查证。</w:t>
      </w:r>
    </w:p>
    <w:p>
      <w:pPr>
        <w:spacing w:line="420" w:lineRule="exact"/>
        <w:ind w:firstLine="420" w:firstLineChars="200"/>
        <w:rPr>
          <w:rFonts w:ascii="仿宋_GB2312" w:hAnsi="宋体" w:eastAsia="仿宋_GB2312"/>
        </w:rPr>
      </w:pPr>
      <w:r>
        <w:rPr>
          <w:rFonts w:hint="eastAsia" w:ascii="仿宋_GB2312" w:hAnsi="宋体" w:eastAsia="仿宋_GB2312"/>
        </w:rPr>
        <w:t>(3).未提供书面质疑或者质疑未加盖公章的；投诉人为法人或者其他组织，其投诉书未经法定代表人或者主要负责人签字并加盖公章的。</w:t>
      </w:r>
    </w:p>
    <w:p>
      <w:pPr>
        <w:spacing w:line="420" w:lineRule="exact"/>
        <w:ind w:firstLine="420" w:firstLineChars="200"/>
        <w:rPr>
          <w:rFonts w:ascii="仿宋_GB2312" w:hAnsi="宋体" w:eastAsia="仿宋_GB2312"/>
        </w:rPr>
      </w:pPr>
      <w:r>
        <w:rPr>
          <w:rFonts w:hint="eastAsia" w:ascii="仿宋_GB2312" w:hAnsi="宋体" w:eastAsia="仿宋_GB2312"/>
        </w:rPr>
        <w:t xml:space="preserve">(4).已超过采购文件规定质疑投诉提出期限的事项。 </w:t>
      </w:r>
    </w:p>
    <w:p>
      <w:pPr>
        <w:spacing w:line="420" w:lineRule="exact"/>
        <w:ind w:firstLine="420" w:firstLineChars="200"/>
        <w:rPr>
          <w:rFonts w:ascii="仿宋_GB2312" w:hAnsi="宋体" w:eastAsia="仿宋_GB2312"/>
        </w:rPr>
      </w:pPr>
      <w:r>
        <w:rPr>
          <w:rFonts w:hint="eastAsia" w:ascii="仿宋_GB2312" w:hAnsi="宋体" w:eastAsia="仿宋_GB2312"/>
        </w:rPr>
        <w:t>(5).投诉事项已作出处理决定，并且投诉人没有提出新的证据；</w:t>
      </w:r>
    </w:p>
    <w:p>
      <w:pPr>
        <w:spacing w:line="420" w:lineRule="exact"/>
        <w:ind w:firstLine="420" w:firstLineChars="200"/>
        <w:rPr>
          <w:rFonts w:ascii="仿宋_GB2312" w:hAnsi="宋体" w:eastAsia="仿宋_GB2312"/>
        </w:rPr>
      </w:pPr>
      <w:r>
        <w:rPr>
          <w:rFonts w:hint="eastAsia" w:ascii="仿宋_GB2312" w:hAnsi="宋体" w:eastAsia="仿宋_GB2312"/>
        </w:rPr>
        <w:t>(6).质疑投诉的事项已经进入行政复议或者行政诉讼程序的；投诉事项应先提出质疑而没有提出质疑的。</w:t>
      </w:r>
    </w:p>
    <w:p>
      <w:pPr>
        <w:pStyle w:val="24"/>
        <w:snapToGrid w:val="0"/>
        <w:spacing w:before="0"/>
        <w:ind w:firstLine="420"/>
        <w:rPr>
          <w:rFonts w:ascii="仿宋_GB2312" w:hAnsi="仿宋" w:eastAsia="仿宋_GB2312"/>
          <w:sz w:val="21"/>
        </w:rPr>
      </w:pPr>
      <w:r>
        <w:rPr>
          <w:rFonts w:hint="eastAsia" w:ascii="仿宋_GB2312" w:hAnsi="宋体" w:eastAsia="仿宋_GB2312"/>
          <w:sz w:val="21"/>
        </w:rPr>
        <w:t>(7).不符合《政府采购供应商投诉处理办法》（财政部令第20号）和《关于印发&lt;浙江省政府采购供应商质疑处理办法&gt;的通知》（浙财采监〔2012〕18号）等有关规定的质疑投诉。</w:t>
      </w:r>
    </w:p>
    <w:p>
      <w:pPr>
        <w:pStyle w:val="24"/>
        <w:snapToGrid w:val="0"/>
        <w:spacing w:before="0"/>
        <w:ind w:firstLine="360"/>
        <w:rPr>
          <w:rFonts w:ascii="仿宋_GB2312" w:eastAsia="仿宋_GB2312"/>
          <w:sz w:val="18"/>
          <w:szCs w:val="18"/>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十、解释权</w:t>
      </w:r>
    </w:p>
    <w:p>
      <w:pPr>
        <w:pStyle w:val="24"/>
        <w:snapToGrid w:val="0"/>
        <w:spacing w:before="0"/>
        <w:ind w:firstLine="0" w:firstLineChars="0"/>
        <w:rPr>
          <w:rFonts w:ascii="仿宋_GB2312" w:hAnsi="仿宋" w:eastAsia="仿宋_GB2312"/>
          <w:sz w:val="21"/>
        </w:rPr>
      </w:pPr>
      <w:r>
        <w:rPr>
          <w:rFonts w:hint="eastAsia" w:ascii="仿宋_GB2312" w:eastAsia="仿宋_GB2312"/>
          <w:b/>
          <w:sz w:val="21"/>
        </w:rPr>
        <w:t>10.1</w:t>
      </w:r>
      <w:r>
        <w:rPr>
          <w:rFonts w:hint="eastAsia" w:ascii="仿宋_GB2312" w:eastAsia="仿宋_GB2312"/>
          <w:sz w:val="21"/>
        </w:rPr>
        <w:t>凡涉及本采购文件的解释权均属于浙江大学国际健康医学研究院。</w:t>
      </w:r>
    </w:p>
    <w:bookmarkEnd w:id="39"/>
    <w:p>
      <w:pPr>
        <w:adjustRightInd/>
        <w:spacing w:line="360" w:lineRule="auto"/>
        <w:jc w:val="center"/>
        <w:rPr>
          <w:rFonts w:ascii="仿宋_GB2312" w:eastAsia="仿宋_GB2312"/>
          <w:b/>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linePitch="312" w:charSpace="0"/>
        </w:sectPr>
      </w:pPr>
    </w:p>
    <w:p>
      <w:pPr>
        <w:adjustRightInd/>
        <w:spacing w:line="360" w:lineRule="auto"/>
        <w:jc w:val="center"/>
        <w:rPr>
          <w:rFonts w:ascii="仿宋_GB2312" w:hAnsi="仿宋" w:eastAsia="仿宋_GB2312"/>
          <w:b/>
          <w:sz w:val="36"/>
          <w:szCs w:val="36"/>
        </w:rPr>
      </w:pPr>
      <w:r>
        <w:rPr>
          <w:rFonts w:hint="eastAsia" w:ascii="仿宋_GB2312" w:eastAsia="仿宋_GB2312"/>
          <w:b/>
          <w:sz w:val="36"/>
          <w:szCs w:val="36"/>
        </w:rPr>
        <w:t xml:space="preserve">第三部分   </w:t>
      </w:r>
      <w:bookmarkEnd w:id="34"/>
      <w:bookmarkEnd w:id="35"/>
      <w:bookmarkStart w:id="40" w:name="_Toc184310317"/>
      <w:bookmarkEnd w:id="40"/>
      <w:bookmarkStart w:id="41" w:name="_Toc184312071"/>
      <w:bookmarkEnd w:id="41"/>
      <w:bookmarkStart w:id="42" w:name="_Toc184313279"/>
      <w:bookmarkEnd w:id="42"/>
      <w:bookmarkStart w:id="43" w:name="_Toc184314481"/>
      <w:bookmarkEnd w:id="43"/>
      <w:bookmarkStart w:id="44" w:name="_Toc184312097"/>
      <w:bookmarkEnd w:id="44"/>
      <w:bookmarkStart w:id="45" w:name="_Toc184313257"/>
      <w:bookmarkEnd w:id="45"/>
      <w:bookmarkStart w:id="46" w:name="_Toc184313258"/>
      <w:bookmarkEnd w:id="46"/>
      <w:bookmarkStart w:id="47" w:name="_Toc184308057"/>
      <w:bookmarkEnd w:id="47"/>
      <w:bookmarkStart w:id="48" w:name="_Toc184314425"/>
      <w:bookmarkEnd w:id="48"/>
      <w:bookmarkStart w:id="49" w:name="_Toc184312075"/>
      <w:bookmarkEnd w:id="49"/>
      <w:bookmarkStart w:id="50" w:name="_Toc184308052"/>
      <w:bookmarkEnd w:id="50"/>
      <w:bookmarkStart w:id="51" w:name="_Toc184313270"/>
      <w:bookmarkEnd w:id="51"/>
      <w:bookmarkStart w:id="52" w:name="_Toc184312105"/>
      <w:bookmarkEnd w:id="52"/>
      <w:bookmarkStart w:id="53" w:name="_Toc184313242"/>
      <w:bookmarkEnd w:id="53"/>
      <w:bookmarkStart w:id="54" w:name="_Toc184310283"/>
      <w:bookmarkEnd w:id="54"/>
      <w:bookmarkStart w:id="55" w:name="_Toc184314456"/>
      <w:bookmarkEnd w:id="55"/>
      <w:bookmarkStart w:id="56" w:name="_Toc184313288"/>
      <w:bookmarkEnd w:id="56"/>
      <w:bookmarkStart w:id="57" w:name="_Toc184312102"/>
      <w:bookmarkEnd w:id="57"/>
      <w:bookmarkStart w:id="58" w:name="_Toc184313272"/>
      <w:bookmarkEnd w:id="58"/>
      <w:bookmarkStart w:id="59" w:name="_Toc184314464"/>
      <w:bookmarkEnd w:id="59"/>
      <w:bookmarkStart w:id="60" w:name="_Toc184312088"/>
      <w:bookmarkEnd w:id="60"/>
      <w:bookmarkStart w:id="61" w:name="_Toc184313284"/>
      <w:bookmarkEnd w:id="61"/>
      <w:bookmarkStart w:id="62" w:name="_Toc184313310"/>
      <w:bookmarkEnd w:id="62"/>
      <w:bookmarkStart w:id="63" w:name="_Toc184308093"/>
      <w:bookmarkEnd w:id="63"/>
      <w:bookmarkStart w:id="64" w:name="_Toc184312109"/>
      <w:bookmarkEnd w:id="64"/>
      <w:bookmarkStart w:id="65" w:name="_Toc184313298"/>
      <w:bookmarkEnd w:id="65"/>
      <w:bookmarkStart w:id="66" w:name="_Toc184314424"/>
      <w:bookmarkEnd w:id="66"/>
      <w:bookmarkStart w:id="67" w:name="_Toc184313274"/>
      <w:bookmarkEnd w:id="67"/>
      <w:bookmarkStart w:id="68" w:name="_Toc184313238"/>
      <w:bookmarkEnd w:id="68"/>
      <w:bookmarkStart w:id="69" w:name="_Toc184313246"/>
      <w:bookmarkEnd w:id="69"/>
      <w:bookmarkStart w:id="70" w:name="_Toc184312118"/>
      <w:bookmarkEnd w:id="70"/>
      <w:bookmarkStart w:id="71" w:name="_Toc184314423"/>
      <w:bookmarkEnd w:id="71"/>
      <w:bookmarkStart w:id="72" w:name="_Toc184310302"/>
      <w:bookmarkEnd w:id="72"/>
      <w:bookmarkStart w:id="73" w:name="_Toc184312132"/>
      <w:bookmarkEnd w:id="73"/>
      <w:bookmarkStart w:id="74" w:name="_Toc184313267"/>
      <w:bookmarkEnd w:id="74"/>
      <w:bookmarkStart w:id="75" w:name="_Toc184314428"/>
      <w:bookmarkEnd w:id="75"/>
      <w:bookmarkStart w:id="76" w:name="_Toc184314431"/>
      <w:bookmarkEnd w:id="76"/>
      <w:bookmarkStart w:id="77" w:name="_Toc184310328"/>
      <w:bookmarkEnd w:id="77"/>
      <w:bookmarkStart w:id="78" w:name="_Toc184314426"/>
      <w:bookmarkEnd w:id="78"/>
      <w:bookmarkStart w:id="79" w:name="_Toc184312084"/>
      <w:bookmarkEnd w:id="79"/>
      <w:bookmarkStart w:id="80" w:name="_Toc184308102"/>
      <w:bookmarkEnd w:id="80"/>
      <w:bookmarkStart w:id="81" w:name="_Toc184314462"/>
      <w:bookmarkEnd w:id="81"/>
      <w:bookmarkStart w:id="82" w:name="_Toc184314442"/>
      <w:bookmarkEnd w:id="82"/>
      <w:bookmarkStart w:id="83" w:name="_Toc184313308"/>
      <w:bookmarkEnd w:id="83"/>
      <w:bookmarkStart w:id="84" w:name="_Toc184310344"/>
      <w:bookmarkEnd w:id="84"/>
      <w:bookmarkStart w:id="85" w:name="_Toc184310334"/>
      <w:bookmarkEnd w:id="85"/>
      <w:bookmarkStart w:id="86" w:name="_Toc184310298"/>
      <w:bookmarkEnd w:id="86"/>
      <w:bookmarkStart w:id="87" w:name="_Toc184308090"/>
      <w:bookmarkEnd w:id="87"/>
      <w:bookmarkStart w:id="88" w:name="_Toc184312122"/>
      <w:bookmarkEnd w:id="88"/>
      <w:bookmarkStart w:id="89" w:name="_Toc184308104"/>
      <w:bookmarkEnd w:id="89"/>
      <w:bookmarkStart w:id="90" w:name="_Toc184312079"/>
      <w:bookmarkEnd w:id="90"/>
      <w:bookmarkStart w:id="91" w:name="_Toc184312098"/>
      <w:bookmarkEnd w:id="91"/>
      <w:bookmarkStart w:id="92" w:name="_Toc184314430"/>
      <w:bookmarkEnd w:id="92"/>
      <w:bookmarkStart w:id="93" w:name="_Toc184313260"/>
      <w:bookmarkEnd w:id="93"/>
      <w:bookmarkStart w:id="94" w:name="_Toc184314447"/>
      <w:bookmarkEnd w:id="94"/>
      <w:bookmarkStart w:id="95" w:name="_Toc184312069"/>
      <w:bookmarkEnd w:id="95"/>
      <w:bookmarkStart w:id="96" w:name="_Toc184314479"/>
      <w:bookmarkEnd w:id="96"/>
      <w:bookmarkStart w:id="97" w:name="_Toc184310323"/>
      <w:bookmarkEnd w:id="97"/>
      <w:bookmarkStart w:id="98" w:name="_Toc184314436"/>
      <w:bookmarkEnd w:id="98"/>
      <w:bookmarkStart w:id="99" w:name="_Toc184314420"/>
      <w:bookmarkEnd w:id="99"/>
      <w:bookmarkStart w:id="100" w:name="_Toc184308084"/>
      <w:bookmarkEnd w:id="100"/>
      <w:bookmarkStart w:id="101" w:name="_Toc184310282"/>
      <w:bookmarkEnd w:id="101"/>
      <w:bookmarkStart w:id="102" w:name="_Toc184313305"/>
      <w:bookmarkEnd w:id="102"/>
      <w:bookmarkStart w:id="103" w:name="_Toc184314441"/>
      <w:bookmarkEnd w:id="103"/>
      <w:bookmarkStart w:id="104" w:name="_Toc184312138"/>
      <w:bookmarkEnd w:id="104"/>
      <w:bookmarkStart w:id="105" w:name="_Toc184308079"/>
      <w:bookmarkEnd w:id="105"/>
      <w:bookmarkStart w:id="106" w:name="_Toc184312124"/>
      <w:bookmarkEnd w:id="106"/>
      <w:bookmarkStart w:id="107" w:name="_Toc184314458"/>
      <w:bookmarkEnd w:id="107"/>
      <w:bookmarkStart w:id="108" w:name="_Toc184310280"/>
      <w:bookmarkEnd w:id="108"/>
      <w:bookmarkStart w:id="109" w:name="_Toc184312120"/>
      <w:bookmarkEnd w:id="109"/>
      <w:bookmarkStart w:id="110" w:name="_Toc184308040"/>
      <w:bookmarkEnd w:id="110"/>
      <w:bookmarkStart w:id="111" w:name="_Toc184312117"/>
      <w:bookmarkEnd w:id="111"/>
      <w:bookmarkStart w:id="112" w:name="_Toc184312089"/>
      <w:bookmarkEnd w:id="112"/>
      <w:bookmarkStart w:id="113" w:name="_Toc184312108"/>
      <w:bookmarkEnd w:id="113"/>
      <w:bookmarkStart w:id="114" w:name="_Toc184310331"/>
      <w:bookmarkEnd w:id="114"/>
      <w:bookmarkStart w:id="115" w:name="_Toc184310277"/>
      <w:bookmarkEnd w:id="115"/>
      <w:bookmarkStart w:id="116" w:name="_Toc184313254"/>
      <w:bookmarkEnd w:id="116"/>
      <w:bookmarkStart w:id="117" w:name="_Toc184312072"/>
      <w:bookmarkEnd w:id="117"/>
      <w:bookmarkStart w:id="118" w:name="_Toc184310342"/>
      <w:bookmarkEnd w:id="118"/>
      <w:bookmarkStart w:id="119" w:name="_Toc184314460"/>
      <w:bookmarkEnd w:id="119"/>
      <w:bookmarkStart w:id="120" w:name="_Toc184308068"/>
      <w:bookmarkEnd w:id="120"/>
      <w:bookmarkStart w:id="121" w:name="_Toc184313251"/>
      <w:bookmarkEnd w:id="121"/>
      <w:bookmarkStart w:id="122" w:name="_Toc184310340"/>
      <w:bookmarkEnd w:id="122"/>
      <w:bookmarkStart w:id="123" w:name="_Toc184314480"/>
      <w:bookmarkEnd w:id="123"/>
      <w:bookmarkStart w:id="124" w:name="_Toc184308103"/>
      <w:bookmarkEnd w:id="124"/>
      <w:bookmarkStart w:id="125" w:name="_Toc184314439"/>
      <w:bookmarkEnd w:id="125"/>
      <w:bookmarkStart w:id="126" w:name="_Toc184308065"/>
      <w:bookmarkEnd w:id="126"/>
      <w:bookmarkStart w:id="127" w:name="_Toc184314468"/>
      <w:bookmarkEnd w:id="127"/>
      <w:bookmarkStart w:id="128" w:name="_Toc184308096"/>
      <w:bookmarkEnd w:id="128"/>
      <w:bookmarkStart w:id="129" w:name="_Toc184308089"/>
      <w:bookmarkEnd w:id="129"/>
      <w:bookmarkStart w:id="130" w:name="_Toc184310330"/>
      <w:bookmarkEnd w:id="130"/>
      <w:bookmarkStart w:id="131" w:name="_Toc184314467"/>
      <w:bookmarkEnd w:id="131"/>
      <w:bookmarkStart w:id="132" w:name="_Toc184312113"/>
      <w:bookmarkEnd w:id="132"/>
      <w:bookmarkStart w:id="133" w:name="_Toc184312121"/>
      <w:bookmarkEnd w:id="133"/>
      <w:bookmarkStart w:id="134" w:name="_Toc184313273"/>
      <w:bookmarkEnd w:id="134"/>
      <w:bookmarkStart w:id="135" w:name="_Toc184314410"/>
      <w:bookmarkEnd w:id="135"/>
      <w:bookmarkStart w:id="136" w:name="_Toc184312076"/>
      <w:bookmarkEnd w:id="136"/>
      <w:bookmarkStart w:id="137" w:name="_Toc184310297"/>
      <w:bookmarkEnd w:id="137"/>
      <w:bookmarkStart w:id="138" w:name="_Toc184312112"/>
      <w:bookmarkEnd w:id="138"/>
      <w:bookmarkStart w:id="139" w:name="_Toc184312107"/>
      <w:bookmarkEnd w:id="139"/>
      <w:bookmarkStart w:id="140" w:name="_Toc184310310"/>
      <w:bookmarkEnd w:id="140"/>
      <w:bookmarkStart w:id="141" w:name="_Toc184314448"/>
      <w:bookmarkEnd w:id="141"/>
      <w:bookmarkStart w:id="142" w:name="_Toc184308036"/>
      <w:bookmarkEnd w:id="142"/>
      <w:bookmarkStart w:id="143" w:name="_Toc184314446"/>
      <w:bookmarkEnd w:id="143"/>
      <w:bookmarkStart w:id="144" w:name="_Toc184310291"/>
      <w:bookmarkEnd w:id="144"/>
      <w:bookmarkStart w:id="145" w:name="_Toc184308069"/>
      <w:bookmarkEnd w:id="145"/>
      <w:bookmarkStart w:id="146" w:name="_Toc184308044"/>
      <w:bookmarkEnd w:id="146"/>
      <w:bookmarkStart w:id="147" w:name="_Toc184310281"/>
      <w:bookmarkEnd w:id="147"/>
      <w:bookmarkStart w:id="148" w:name="_Toc184312115"/>
      <w:bookmarkEnd w:id="148"/>
      <w:bookmarkStart w:id="149" w:name="_Toc184312099"/>
      <w:bookmarkEnd w:id="149"/>
      <w:bookmarkStart w:id="150" w:name="_Toc184310325"/>
      <w:bookmarkEnd w:id="150"/>
      <w:bookmarkStart w:id="151" w:name="_Toc184314412"/>
      <w:bookmarkEnd w:id="151"/>
      <w:bookmarkStart w:id="152" w:name="_Toc184313247"/>
      <w:bookmarkEnd w:id="152"/>
      <w:bookmarkStart w:id="153" w:name="_Toc184314471"/>
      <w:bookmarkEnd w:id="153"/>
      <w:bookmarkStart w:id="154" w:name="_Toc184314443"/>
      <w:bookmarkEnd w:id="154"/>
      <w:bookmarkStart w:id="155" w:name="_Toc184312106"/>
      <w:bookmarkEnd w:id="155"/>
      <w:bookmarkStart w:id="156" w:name="_Toc184308038"/>
      <w:bookmarkEnd w:id="156"/>
      <w:bookmarkStart w:id="157" w:name="_Toc184310336"/>
      <w:bookmarkEnd w:id="157"/>
      <w:bookmarkStart w:id="158" w:name="_Toc184312091"/>
      <w:bookmarkEnd w:id="158"/>
      <w:bookmarkStart w:id="159" w:name="_Toc184314451"/>
      <w:bookmarkEnd w:id="159"/>
      <w:bookmarkStart w:id="160" w:name="_Toc184313278"/>
      <w:bookmarkEnd w:id="160"/>
      <w:bookmarkStart w:id="161" w:name="_Toc184310285"/>
      <w:bookmarkEnd w:id="161"/>
      <w:bookmarkStart w:id="162" w:name="_Toc184312116"/>
      <w:bookmarkEnd w:id="162"/>
      <w:bookmarkStart w:id="163" w:name="_Toc184314419"/>
      <w:bookmarkEnd w:id="163"/>
      <w:bookmarkStart w:id="164" w:name="_Toc184310293"/>
      <w:bookmarkEnd w:id="164"/>
      <w:bookmarkStart w:id="165" w:name="_Toc184310321"/>
      <w:bookmarkEnd w:id="165"/>
      <w:bookmarkStart w:id="166" w:name="_Toc184312103"/>
      <w:bookmarkEnd w:id="166"/>
      <w:bookmarkStart w:id="167" w:name="_Toc184314418"/>
      <w:bookmarkEnd w:id="167"/>
      <w:bookmarkStart w:id="168" w:name="_Toc184313304"/>
      <w:bookmarkEnd w:id="168"/>
      <w:bookmarkStart w:id="169" w:name="_Toc184308049"/>
      <w:bookmarkEnd w:id="169"/>
      <w:bookmarkStart w:id="170" w:name="_Toc184314465"/>
      <w:bookmarkEnd w:id="170"/>
      <w:bookmarkStart w:id="171" w:name="_Toc184314452"/>
      <w:bookmarkEnd w:id="171"/>
      <w:bookmarkStart w:id="172" w:name="_Toc184313261"/>
      <w:bookmarkEnd w:id="172"/>
      <w:bookmarkStart w:id="173" w:name="_Toc184308058"/>
      <w:bookmarkEnd w:id="173"/>
      <w:bookmarkStart w:id="174" w:name="_Toc184310333"/>
      <w:bookmarkEnd w:id="174"/>
      <w:bookmarkStart w:id="175" w:name="_Toc184314438"/>
      <w:bookmarkEnd w:id="175"/>
      <w:bookmarkStart w:id="176" w:name="_Toc184310274"/>
      <w:bookmarkEnd w:id="176"/>
      <w:bookmarkStart w:id="177" w:name="_Toc184312090"/>
      <w:bookmarkEnd w:id="177"/>
      <w:bookmarkStart w:id="178" w:name="_Toc184310289"/>
      <w:bookmarkEnd w:id="178"/>
      <w:bookmarkStart w:id="179" w:name="_Toc184314463"/>
      <w:bookmarkEnd w:id="179"/>
      <w:bookmarkStart w:id="180" w:name="_Toc184313262"/>
      <w:bookmarkEnd w:id="180"/>
      <w:bookmarkStart w:id="181" w:name="_Toc184313268"/>
      <w:bookmarkEnd w:id="181"/>
      <w:bookmarkStart w:id="182" w:name="_Toc184314474"/>
      <w:bookmarkEnd w:id="182"/>
      <w:bookmarkStart w:id="183" w:name="_Toc184313282"/>
      <w:bookmarkEnd w:id="183"/>
      <w:bookmarkStart w:id="184" w:name="_Toc184310338"/>
      <w:bookmarkEnd w:id="184"/>
      <w:bookmarkStart w:id="185" w:name="_Toc184310294"/>
      <w:bookmarkEnd w:id="185"/>
      <w:bookmarkStart w:id="186" w:name="_Toc184313239"/>
      <w:bookmarkEnd w:id="186"/>
      <w:bookmarkStart w:id="187" w:name="_Toc184308094"/>
      <w:bookmarkEnd w:id="187"/>
      <w:bookmarkStart w:id="188" w:name="_Toc184313243"/>
      <w:bookmarkEnd w:id="188"/>
      <w:bookmarkStart w:id="189" w:name="_Toc184313300"/>
      <w:bookmarkEnd w:id="189"/>
      <w:bookmarkStart w:id="190" w:name="_Toc184310273"/>
      <w:bookmarkEnd w:id="190"/>
      <w:bookmarkStart w:id="191" w:name="_Toc184313249"/>
      <w:bookmarkEnd w:id="191"/>
      <w:bookmarkStart w:id="192" w:name="_Toc184313244"/>
      <w:bookmarkEnd w:id="192"/>
      <w:bookmarkStart w:id="193" w:name="_Toc184314411"/>
      <w:bookmarkEnd w:id="193"/>
      <w:bookmarkStart w:id="194" w:name="_Toc184312126"/>
      <w:bookmarkEnd w:id="194"/>
      <w:bookmarkStart w:id="195" w:name="_Toc184312131"/>
      <w:bookmarkEnd w:id="195"/>
      <w:bookmarkStart w:id="196" w:name="_Toc184314459"/>
      <w:bookmarkEnd w:id="196"/>
      <w:bookmarkStart w:id="197" w:name="_Toc184308074"/>
      <w:bookmarkEnd w:id="197"/>
      <w:bookmarkStart w:id="198" w:name="_Toc184308073"/>
      <w:bookmarkEnd w:id="198"/>
      <w:bookmarkStart w:id="199" w:name="_Toc184310329"/>
      <w:bookmarkEnd w:id="199"/>
      <w:bookmarkStart w:id="200" w:name="_Toc184310288"/>
      <w:bookmarkEnd w:id="200"/>
      <w:bookmarkStart w:id="201" w:name="_Toc184312101"/>
      <w:bookmarkEnd w:id="201"/>
      <w:bookmarkStart w:id="202" w:name="_Toc184312128"/>
      <w:bookmarkEnd w:id="202"/>
      <w:bookmarkStart w:id="203" w:name="_Toc184314457"/>
      <w:bookmarkEnd w:id="203"/>
      <w:bookmarkStart w:id="204" w:name="_Toc184313248"/>
      <w:bookmarkEnd w:id="204"/>
      <w:bookmarkStart w:id="205" w:name="_Toc184310320"/>
      <w:bookmarkEnd w:id="205"/>
      <w:bookmarkStart w:id="206" w:name="_Toc184312100"/>
      <w:bookmarkEnd w:id="206"/>
      <w:bookmarkStart w:id="207" w:name="_Toc184312129"/>
      <w:bookmarkEnd w:id="207"/>
      <w:bookmarkStart w:id="208" w:name="_Toc184310311"/>
      <w:bookmarkEnd w:id="208"/>
      <w:bookmarkStart w:id="209" w:name="_Toc184313294"/>
      <w:bookmarkEnd w:id="209"/>
      <w:bookmarkStart w:id="210" w:name="_Toc184308095"/>
      <w:bookmarkEnd w:id="210"/>
      <w:bookmarkStart w:id="211" w:name="_Toc184313266"/>
      <w:bookmarkEnd w:id="211"/>
      <w:bookmarkStart w:id="212" w:name="_Toc184308048"/>
      <w:bookmarkEnd w:id="212"/>
      <w:bookmarkStart w:id="213" w:name="_Toc184310313"/>
      <w:bookmarkEnd w:id="213"/>
      <w:bookmarkStart w:id="214" w:name="_Toc184313255"/>
      <w:bookmarkEnd w:id="214"/>
      <w:bookmarkStart w:id="215" w:name="_Toc184308062"/>
      <w:bookmarkEnd w:id="215"/>
      <w:bookmarkStart w:id="216" w:name="_Toc184310287"/>
      <w:bookmarkEnd w:id="216"/>
      <w:bookmarkStart w:id="217" w:name="_Toc184312070"/>
      <w:bookmarkEnd w:id="217"/>
      <w:bookmarkStart w:id="218" w:name="_Toc184313299"/>
      <w:bookmarkEnd w:id="218"/>
      <w:bookmarkStart w:id="219" w:name="_Toc184308060"/>
      <w:bookmarkEnd w:id="219"/>
      <w:bookmarkStart w:id="220" w:name="_Toc184312133"/>
      <w:bookmarkEnd w:id="220"/>
      <w:bookmarkStart w:id="221" w:name="_Toc184314435"/>
      <w:bookmarkEnd w:id="221"/>
      <w:bookmarkStart w:id="222" w:name="_Toc184310279"/>
      <w:bookmarkEnd w:id="222"/>
      <w:bookmarkStart w:id="223" w:name="_Toc184308097"/>
      <w:bookmarkEnd w:id="223"/>
      <w:bookmarkStart w:id="224" w:name="_Toc184312139"/>
      <w:bookmarkEnd w:id="224"/>
      <w:bookmarkStart w:id="225" w:name="_Toc184310337"/>
      <w:bookmarkEnd w:id="225"/>
      <w:bookmarkStart w:id="226" w:name="_Toc184312114"/>
      <w:bookmarkEnd w:id="226"/>
      <w:bookmarkStart w:id="227" w:name="_Toc184314421"/>
      <w:bookmarkEnd w:id="227"/>
      <w:bookmarkStart w:id="228" w:name="_Toc184312104"/>
      <w:bookmarkEnd w:id="228"/>
      <w:bookmarkStart w:id="229" w:name="_Toc184310286"/>
      <w:bookmarkEnd w:id="229"/>
      <w:bookmarkStart w:id="230" w:name="_Toc184313296"/>
      <w:bookmarkEnd w:id="230"/>
      <w:bookmarkStart w:id="231" w:name="_Toc184314455"/>
      <w:bookmarkEnd w:id="231"/>
      <w:bookmarkStart w:id="232" w:name="_Toc184308042"/>
      <w:bookmarkEnd w:id="232"/>
      <w:bookmarkStart w:id="233" w:name="_Toc184310303"/>
      <w:bookmarkEnd w:id="233"/>
      <w:bookmarkStart w:id="234" w:name="_Toc184308059"/>
      <w:bookmarkEnd w:id="234"/>
      <w:bookmarkStart w:id="235" w:name="_Toc184308105"/>
      <w:bookmarkEnd w:id="235"/>
      <w:bookmarkStart w:id="236" w:name="_Toc184312080"/>
      <w:bookmarkEnd w:id="236"/>
      <w:bookmarkStart w:id="237" w:name="_Toc184310307"/>
      <w:bookmarkEnd w:id="237"/>
      <w:bookmarkStart w:id="238" w:name="_Toc184310296"/>
      <w:bookmarkEnd w:id="238"/>
      <w:bookmarkStart w:id="239" w:name="_Toc184310278"/>
      <w:bookmarkEnd w:id="239"/>
      <w:bookmarkStart w:id="240" w:name="_Toc184308063"/>
      <w:bookmarkEnd w:id="240"/>
      <w:bookmarkStart w:id="241" w:name="_Toc184313275"/>
      <w:bookmarkEnd w:id="241"/>
      <w:bookmarkStart w:id="242" w:name="_Toc184310332"/>
      <w:bookmarkEnd w:id="242"/>
      <w:bookmarkStart w:id="243" w:name="_Toc184310312"/>
      <w:bookmarkEnd w:id="243"/>
      <w:bookmarkStart w:id="244" w:name="_Toc184308082"/>
      <w:bookmarkEnd w:id="244"/>
      <w:bookmarkStart w:id="245" w:name="_Toc184312134"/>
      <w:bookmarkEnd w:id="245"/>
      <w:bookmarkStart w:id="246" w:name="_Toc184313277"/>
      <w:bookmarkEnd w:id="246"/>
      <w:bookmarkStart w:id="247" w:name="_Toc184313287"/>
      <w:bookmarkEnd w:id="247"/>
      <w:bookmarkStart w:id="248" w:name="_Toc184314429"/>
      <w:bookmarkEnd w:id="248"/>
      <w:bookmarkStart w:id="249" w:name="_Toc184310318"/>
      <w:bookmarkEnd w:id="249"/>
      <w:bookmarkStart w:id="250" w:name="_Toc184312111"/>
      <w:bookmarkEnd w:id="250"/>
      <w:bookmarkStart w:id="251" w:name="_Toc184308088"/>
      <w:bookmarkEnd w:id="251"/>
      <w:bookmarkStart w:id="252" w:name="_Toc184314416"/>
      <w:bookmarkEnd w:id="252"/>
      <w:bookmarkStart w:id="253" w:name="_Toc184308086"/>
      <w:bookmarkEnd w:id="253"/>
      <w:bookmarkStart w:id="254" w:name="_Toc184308043"/>
      <w:bookmarkEnd w:id="254"/>
      <w:bookmarkStart w:id="255" w:name="_Toc184312136"/>
      <w:bookmarkEnd w:id="255"/>
      <w:bookmarkStart w:id="256" w:name="_Toc184312110"/>
      <w:bookmarkEnd w:id="256"/>
      <w:bookmarkStart w:id="257" w:name="_Toc184314470"/>
      <w:bookmarkEnd w:id="257"/>
      <w:bookmarkStart w:id="258" w:name="_Toc184313293"/>
      <w:bookmarkEnd w:id="258"/>
      <w:bookmarkStart w:id="259" w:name="_Toc184314477"/>
      <w:bookmarkEnd w:id="259"/>
      <w:bookmarkStart w:id="260" w:name="_Toc184313297"/>
      <w:bookmarkEnd w:id="260"/>
      <w:bookmarkStart w:id="261" w:name="_Toc184308080"/>
      <w:bookmarkEnd w:id="261"/>
      <w:bookmarkStart w:id="262" w:name="_Toc184313290"/>
      <w:bookmarkEnd w:id="262"/>
      <w:bookmarkStart w:id="263" w:name="_Toc184313295"/>
      <w:bookmarkEnd w:id="263"/>
      <w:bookmarkStart w:id="264" w:name="_Toc184308083"/>
      <w:bookmarkEnd w:id="264"/>
      <w:bookmarkStart w:id="265" w:name="_Toc184314466"/>
      <w:bookmarkEnd w:id="265"/>
      <w:bookmarkStart w:id="266" w:name="_Toc184313264"/>
      <w:bookmarkEnd w:id="266"/>
      <w:bookmarkStart w:id="267" w:name="_Toc184314461"/>
      <w:bookmarkEnd w:id="267"/>
      <w:bookmarkStart w:id="268" w:name="_Toc184312135"/>
      <w:bookmarkEnd w:id="268"/>
      <w:bookmarkStart w:id="269" w:name="_Toc184308050"/>
      <w:bookmarkEnd w:id="269"/>
      <w:bookmarkStart w:id="270" w:name="_Toc184310309"/>
      <w:bookmarkEnd w:id="270"/>
      <w:bookmarkStart w:id="271" w:name="_Toc184308099"/>
      <w:bookmarkEnd w:id="271"/>
      <w:bookmarkStart w:id="272" w:name="_Toc184312083"/>
      <w:bookmarkEnd w:id="272"/>
      <w:bookmarkStart w:id="273" w:name="_Toc184308078"/>
      <w:bookmarkEnd w:id="273"/>
      <w:bookmarkStart w:id="274" w:name="_Toc184313302"/>
      <w:bookmarkEnd w:id="274"/>
      <w:bookmarkStart w:id="275" w:name="_Toc184312081"/>
      <w:bookmarkEnd w:id="275"/>
      <w:bookmarkStart w:id="276" w:name="_Toc184313250"/>
      <w:bookmarkEnd w:id="276"/>
      <w:bookmarkStart w:id="277" w:name="_Toc184312074"/>
      <w:bookmarkEnd w:id="277"/>
      <w:bookmarkStart w:id="278" w:name="_Toc184313259"/>
      <w:bookmarkEnd w:id="278"/>
      <w:bookmarkStart w:id="279" w:name="_Toc184313285"/>
      <w:bookmarkEnd w:id="279"/>
      <w:bookmarkStart w:id="280" w:name="_Toc184313286"/>
      <w:bookmarkEnd w:id="280"/>
      <w:bookmarkStart w:id="281" w:name="_Toc184308045"/>
      <w:bookmarkEnd w:id="281"/>
      <w:bookmarkStart w:id="282" w:name="_Toc184308054"/>
      <w:bookmarkEnd w:id="282"/>
      <w:bookmarkStart w:id="283" w:name="_Toc184314453"/>
      <w:bookmarkEnd w:id="283"/>
      <w:bookmarkStart w:id="284" w:name="_Toc184314454"/>
      <w:bookmarkEnd w:id="284"/>
      <w:bookmarkStart w:id="285" w:name="_Toc184313307"/>
      <w:bookmarkEnd w:id="285"/>
      <w:bookmarkStart w:id="286" w:name="_Toc184312078"/>
      <w:bookmarkEnd w:id="286"/>
      <w:bookmarkStart w:id="287" w:name="_Toc184310343"/>
      <w:bookmarkEnd w:id="287"/>
      <w:bookmarkStart w:id="288" w:name="_Toc184308092"/>
      <w:bookmarkEnd w:id="288"/>
      <w:bookmarkStart w:id="289" w:name="_Toc184313280"/>
      <w:bookmarkEnd w:id="289"/>
      <w:bookmarkStart w:id="290" w:name="_Toc184312067"/>
      <w:bookmarkEnd w:id="290"/>
      <w:bookmarkStart w:id="291" w:name="_Toc184308039"/>
      <w:bookmarkEnd w:id="291"/>
      <w:bookmarkStart w:id="292" w:name="_Toc184310308"/>
      <w:bookmarkEnd w:id="292"/>
      <w:bookmarkStart w:id="293" w:name="_Toc184310341"/>
      <w:bookmarkEnd w:id="293"/>
      <w:bookmarkStart w:id="294" w:name="_Toc184312125"/>
      <w:bookmarkEnd w:id="294"/>
      <w:bookmarkStart w:id="295" w:name="_Toc184312077"/>
      <w:bookmarkEnd w:id="295"/>
      <w:bookmarkStart w:id="296" w:name="_Toc184314475"/>
      <w:bookmarkEnd w:id="296"/>
      <w:bookmarkStart w:id="297" w:name="_Toc184314422"/>
      <w:bookmarkEnd w:id="297"/>
      <w:bookmarkStart w:id="298" w:name="_Toc184314482"/>
      <w:bookmarkEnd w:id="298"/>
      <w:bookmarkStart w:id="299" w:name="_Toc184314476"/>
      <w:bookmarkEnd w:id="299"/>
      <w:bookmarkStart w:id="300" w:name="_Toc184310272"/>
      <w:bookmarkEnd w:id="300"/>
      <w:bookmarkStart w:id="301" w:name="_Toc184312086"/>
      <w:bookmarkEnd w:id="301"/>
      <w:bookmarkStart w:id="302" w:name="_Toc184310335"/>
      <w:bookmarkEnd w:id="302"/>
      <w:bookmarkStart w:id="303" w:name="_Toc184308098"/>
      <w:bookmarkEnd w:id="303"/>
      <w:bookmarkStart w:id="304" w:name="_Toc184308067"/>
      <w:bookmarkEnd w:id="304"/>
      <w:bookmarkStart w:id="305" w:name="_Toc184314413"/>
      <w:bookmarkEnd w:id="305"/>
      <w:bookmarkStart w:id="306" w:name="_Toc184313240"/>
      <w:bookmarkEnd w:id="306"/>
      <w:bookmarkStart w:id="307" w:name="_Toc184312082"/>
      <w:bookmarkEnd w:id="307"/>
      <w:bookmarkStart w:id="308" w:name="_Toc184314433"/>
      <w:bookmarkEnd w:id="308"/>
      <w:bookmarkStart w:id="309" w:name="_Toc184312093"/>
      <w:bookmarkEnd w:id="309"/>
      <w:bookmarkStart w:id="310" w:name="_Toc184313252"/>
      <w:bookmarkEnd w:id="310"/>
      <w:bookmarkStart w:id="311" w:name="_Toc184310315"/>
      <w:bookmarkEnd w:id="311"/>
      <w:bookmarkStart w:id="312" w:name="_Toc184308064"/>
      <w:bookmarkEnd w:id="312"/>
      <w:bookmarkStart w:id="313" w:name="_Toc184313241"/>
      <w:bookmarkEnd w:id="313"/>
      <w:bookmarkStart w:id="314" w:name="_Toc184312085"/>
      <w:bookmarkEnd w:id="314"/>
      <w:bookmarkStart w:id="315" w:name="_Toc184314414"/>
      <w:bookmarkEnd w:id="315"/>
      <w:bookmarkStart w:id="316" w:name="_Toc184313265"/>
      <w:bookmarkEnd w:id="316"/>
      <w:bookmarkStart w:id="317" w:name="_Toc184308041"/>
      <w:bookmarkEnd w:id="317"/>
      <w:bookmarkStart w:id="318" w:name="_Toc184312068"/>
      <w:bookmarkEnd w:id="318"/>
      <w:bookmarkStart w:id="319" w:name="_Toc184308053"/>
      <w:bookmarkEnd w:id="319"/>
      <w:bookmarkStart w:id="320" w:name="_Toc184312073"/>
      <w:bookmarkEnd w:id="320"/>
      <w:bookmarkStart w:id="321" w:name="_Toc184312130"/>
      <w:bookmarkEnd w:id="321"/>
      <w:bookmarkStart w:id="322" w:name="_Toc184310322"/>
      <w:bookmarkEnd w:id="322"/>
      <w:bookmarkStart w:id="323" w:name="_Toc184308071"/>
      <w:bookmarkEnd w:id="323"/>
      <w:bookmarkStart w:id="324" w:name="_Toc184308055"/>
      <w:bookmarkEnd w:id="324"/>
      <w:bookmarkStart w:id="325" w:name="_Toc184314440"/>
      <w:bookmarkEnd w:id="325"/>
      <w:bookmarkStart w:id="326" w:name="_Toc184310301"/>
      <w:bookmarkEnd w:id="326"/>
      <w:bookmarkStart w:id="327" w:name="_Toc184312094"/>
      <w:bookmarkEnd w:id="327"/>
      <w:bookmarkStart w:id="328" w:name="_Toc184314432"/>
      <w:bookmarkEnd w:id="328"/>
      <w:bookmarkStart w:id="329" w:name="_Toc184314449"/>
      <w:bookmarkEnd w:id="329"/>
      <w:bookmarkStart w:id="330" w:name="_Toc184310327"/>
      <w:bookmarkEnd w:id="330"/>
      <w:bookmarkStart w:id="331" w:name="_Toc184313309"/>
      <w:bookmarkEnd w:id="331"/>
      <w:bookmarkStart w:id="332" w:name="_Toc184312123"/>
      <w:bookmarkEnd w:id="332"/>
      <w:bookmarkStart w:id="333" w:name="_Toc184314472"/>
      <w:bookmarkEnd w:id="333"/>
      <w:bookmarkStart w:id="334" w:name="_Toc184312092"/>
      <w:bookmarkEnd w:id="334"/>
      <w:bookmarkStart w:id="335" w:name="_Toc184310326"/>
      <w:bookmarkEnd w:id="335"/>
      <w:bookmarkStart w:id="336" w:name="_Toc184314434"/>
      <w:bookmarkEnd w:id="336"/>
      <w:bookmarkStart w:id="337" w:name="_Toc184313269"/>
      <w:bookmarkEnd w:id="337"/>
      <w:bookmarkStart w:id="338" w:name="_Toc184308051"/>
      <w:bookmarkEnd w:id="338"/>
      <w:bookmarkStart w:id="339" w:name="_Toc184310305"/>
      <w:bookmarkEnd w:id="339"/>
      <w:bookmarkStart w:id="340" w:name="_Toc184312087"/>
      <w:bookmarkEnd w:id="340"/>
      <w:bookmarkStart w:id="341" w:name="_Toc184313245"/>
      <w:bookmarkEnd w:id="341"/>
      <w:bookmarkStart w:id="342" w:name="_Toc184308091"/>
      <w:bookmarkEnd w:id="342"/>
      <w:bookmarkStart w:id="343" w:name="_Toc184314444"/>
      <w:bookmarkEnd w:id="343"/>
      <w:bookmarkStart w:id="344" w:name="_Toc184308085"/>
      <w:bookmarkEnd w:id="344"/>
      <w:bookmarkStart w:id="345" w:name="_Toc184310292"/>
      <w:bookmarkEnd w:id="345"/>
      <w:bookmarkStart w:id="346" w:name="_Toc184308056"/>
      <w:bookmarkEnd w:id="346"/>
      <w:bookmarkStart w:id="347" w:name="_Toc184308076"/>
      <w:bookmarkEnd w:id="347"/>
      <w:bookmarkStart w:id="348" w:name="_Toc184313291"/>
      <w:bookmarkEnd w:id="348"/>
      <w:bookmarkStart w:id="349" w:name="_Toc184308047"/>
      <w:bookmarkEnd w:id="349"/>
      <w:bookmarkStart w:id="350" w:name="_Toc184308061"/>
      <w:bookmarkEnd w:id="350"/>
      <w:bookmarkStart w:id="351" w:name="_Toc184308101"/>
      <w:bookmarkEnd w:id="351"/>
      <w:bookmarkStart w:id="352" w:name="_Toc184312095"/>
      <w:bookmarkEnd w:id="352"/>
      <w:bookmarkStart w:id="353" w:name="_Toc184310276"/>
      <w:bookmarkEnd w:id="353"/>
      <w:bookmarkStart w:id="354" w:name="_Toc184308075"/>
      <w:bookmarkEnd w:id="354"/>
      <w:bookmarkStart w:id="355" w:name="_Toc184313276"/>
      <w:bookmarkEnd w:id="355"/>
      <w:bookmarkStart w:id="356" w:name="_Toc184314478"/>
      <w:bookmarkEnd w:id="356"/>
      <w:bookmarkStart w:id="357" w:name="_Toc184310300"/>
      <w:bookmarkEnd w:id="357"/>
      <w:bookmarkStart w:id="358" w:name="_Toc184310339"/>
      <w:bookmarkEnd w:id="358"/>
      <w:bookmarkStart w:id="359" w:name="_Toc184310304"/>
      <w:bookmarkEnd w:id="359"/>
      <w:bookmarkStart w:id="360" w:name="_Toc184308106"/>
      <w:bookmarkEnd w:id="360"/>
      <w:bookmarkStart w:id="361" w:name="_Toc184314437"/>
      <w:bookmarkEnd w:id="361"/>
      <w:bookmarkStart w:id="362" w:name="_Toc184312127"/>
      <w:bookmarkEnd w:id="362"/>
      <w:bookmarkStart w:id="363" w:name="_Toc184312119"/>
      <w:bookmarkEnd w:id="363"/>
      <w:bookmarkStart w:id="364" w:name="_Toc184308070"/>
      <w:bookmarkEnd w:id="364"/>
      <w:bookmarkStart w:id="365" w:name="_Toc184308108"/>
      <w:bookmarkEnd w:id="365"/>
      <w:bookmarkStart w:id="366" w:name="_Toc184308072"/>
      <w:bookmarkEnd w:id="366"/>
      <w:bookmarkStart w:id="367" w:name="_Toc184310319"/>
      <w:bookmarkEnd w:id="367"/>
      <w:bookmarkStart w:id="368" w:name="_Toc184310275"/>
      <w:bookmarkEnd w:id="368"/>
      <w:bookmarkStart w:id="369" w:name="_Toc184312096"/>
      <w:bookmarkEnd w:id="369"/>
      <w:bookmarkStart w:id="370" w:name="_Toc184313289"/>
      <w:bookmarkEnd w:id="370"/>
      <w:bookmarkStart w:id="371" w:name="_Toc184310314"/>
      <w:bookmarkEnd w:id="371"/>
      <w:bookmarkStart w:id="372" w:name="_Toc184312137"/>
      <w:bookmarkEnd w:id="372"/>
      <w:bookmarkStart w:id="373" w:name="_Toc184313271"/>
      <w:bookmarkEnd w:id="373"/>
      <w:bookmarkStart w:id="374" w:name="_Toc184314427"/>
      <w:bookmarkEnd w:id="374"/>
      <w:bookmarkStart w:id="375" w:name="_Toc184310284"/>
      <w:bookmarkEnd w:id="375"/>
      <w:bookmarkStart w:id="376" w:name="_Toc184313283"/>
      <w:bookmarkEnd w:id="376"/>
      <w:bookmarkStart w:id="377" w:name="_Toc184313303"/>
      <w:bookmarkEnd w:id="377"/>
      <w:bookmarkStart w:id="378" w:name="_Toc184308107"/>
      <w:bookmarkEnd w:id="378"/>
      <w:bookmarkStart w:id="379" w:name="_Toc184313306"/>
      <w:bookmarkEnd w:id="379"/>
      <w:bookmarkStart w:id="380" w:name="_Toc184308037"/>
      <w:bookmarkEnd w:id="380"/>
      <w:bookmarkStart w:id="381" w:name="_Toc184308066"/>
      <w:bookmarkEnd w:id="381"/>
      <w:bookmarkStart w:id="382" w:name="_Toc184308077"/>
      <w:bookmarkEnd w:id="382"/>
      <w:bookmarkStart w:id="383" w:name="_Toc184314473"/>
      <w:bookmarkEnd w:id="383"/>
      <w:bookmarkStart w:id="384" w:name="_Toc184310306"/>
      <w:bookmarkEnd w:id="384"/>
      <w:bookmarkStart w:id="385" w:name="_Toc184313292"/>
      <w:bookmarkEnd w:id="385"/>
      <w:bookmarkStart w:id="386" w:name="_Toc184310290"/>
      <w:bookmarkEnd w:id="386"/>
      <w:bookmarkStart w:id="387" w:name="_Toc184314415"/>
      <w:bookmarkEnd w:id="387"/>
      <w:bookmarkStart w:id="388" w:name="_Toc184313253"/>
      <w:bookmarkEnd w:id="388"/>
      <w:bookmarkStart w:id="389" w:name="_Toc184313256"/>
      <w:bookmarkEnd w:id="389"/>
      <w:bookmarkStart w:id="390" w:name="_Toc184308081"/>
      <w:bookmarkEnd w:id="390"/>
      <w:bookmarkStart w:id="391" w:name="_Toc184310316"/>
      <w:bookmarkEnd w:id="391"/>
      <w:bookmarkStart w:id="392" w:name="_Toc184313263"/>
      <w:bookmarkEnd w:id="392"/>
      <w:bookmarkStart w:id="393" w:name="_Toc184308046"/>
      <w:bookmarkEnd w:id="393"/>
      <w:bookmarkStart w:id="394" w:name="_Toc184314450"/>
      <w:bookmarkEnd w:id="394"/>
      <w:bookmarkStart w:id="395" w:name="_Toc184310324"/>
      <w:bookmarkEnd w:id="395"/>
      <w:bookmarkStart w:id="396" w:name="_Toc184313301"/>
      <w:bookmarkEnd w:id="396"/>
      <w:bookmarkStart w:id="397" w:name="_Toc184310295"/>
      <w:bookmarkEnd w:id="397"/>
      <w:bookmarkStart w:id="398" w:name="_Toc184314469"/>
      <w:bookmarkEnd w:id="398"/>
      <w:bookmarkStart w:id="399" w:name="_Toc184310299"/>
      <w:bookmarkEnd w:id="399"/>
      <w:bookmarkStart w:id="400" w:name="_Toc184314445"/>
      <w:bookmarkEnd w:id="400"/>
      <w:bookmarkStart w:id="401" w:name="_Toc184308087"/>
      <w:bookmarkEnd w:id="401"/>
      <w:bookmarkStart w:id="402" w:name="_Toc184314417"/>
      <w:bookmarkEnd w:id="402"/>
      <w:bookmarkStart w:id="403" w:name="_Toc184308100"/>
      <w:bookmarkEnd w:id="403"/>
      <w:bookmarkStart w:id="404" w:name="_Toc184313281"/>
      <w:bookmarkEnd w:id="404"/>
      <w:bookmarkStart w:id="405" w:name="第四部分"/>
      <w:r>
        <w:rPr>
          <w:rFonts w:hint="eastAsia" w:ascii="仿宋_GB2312" w:hAnsi="仿宋" w:eastAsia="仿宋_GB2312"/>
          <w:b/>
          <w:sz w:val="36"/>
          <w:szCs w:val="36"/>
        </w:rPr>
        <w:t>评标办法及评分标准</w:t>
      </w:r>
    </w:p>
    <w:p>
      <w:pPr>
        <w:adjustRightInd/>
        <w:spacing w:line="360" w:lineRule="auto"/>
        <w:ind w:firstLine="420" w:firstLineChars="200"/>
        <w:jc w:val="left"/>
        <w:rPr>
          <w:rFonts w:ascii="仿宋_GB2312" w:hAnsi="仿宋" w:eastAsia="仿宋_GB2312"/>
          <w:b/>
        </w:rPr>
      </w:pPr>
      <w:r>
        <w:rPr>
          <w:rFonts w:hint="eastAsia" w:ascii="仿宋_GB2312" w:hAnsi="仿宋" w:eastAsia="仿宋_GB2312"/>
        </w:rPr>
        <w:t>为更好地做到公开、公平、公正，结合本次招标的特点，特制定本评标办法，本项目的评标办法为综合评分法。</w:t>
      </w:r>
    </w:p>
    <w:p>
      <w:pPr>
        <w:pStyle w:val="3"/>
        <w:numPr>
          <w:ilvl w:val="0"/>
          <w:numId w:val="7"/>
        </w:numPr>
        <w:snapToGrid w:val="0"/>
        <w:spacing w:before="600" w:after="360" w:line="240" w:lineRule="auto"/>
        <w:jc w:val="center"/>
      </w:pPr>
      <w:bookmarkStart w:id="406" w:name="_Toc329676941"/>
      <w:bookmarkStart w:id="407" w:name="_Toc14817"/>
      <w:r>
        <w:rPr>
          <w:rFonts w:hint="eastAsia"/>
        </w:rPr>
        <w:t>总则</w:t>
      </w:r>
      <w:bookmarkEnd w:id="406"/>
      <w:bookmarkEnd w:id="407"/>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1.1评标原则</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评标应遵循公平、公正、科学、择优的原则。</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1.2评标委员会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 xml:space="preserve">评标工作由招标人依法组建的评标委员会负责，评标委员会成员为5人或5人以上单数 </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1.3评标程序和内容</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1.3.1评标的一般程序：</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1)推选评标组长；</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2)熟悉采购文件和评标办法；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3)投标人的资格审查；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4)投标文件的符合性审查；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5)投标文件的资信技术评审、评分；</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6)投标文件的报价评审、评分；</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7)必要时，对投标文件中的问题进行询标；</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8)完成评标报告，推荐中标候选人。</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1.3.2投标文件的符合性审查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1)评标委员会应依照采购文件的要求和规定首先对投标人的投标资格和投标文件进行符合性审查。</w:t>
      </w:r>
    </w:p>
    <w:p>
      <w:pPr>
        <w:snapToGrid w:val="0"/>
        <w:spacing w:line="360" w:lineRule="auto"/>
        <w:ind w:firstLine="420" w:firstLineChars="200"/>
        <w:rPr>
          <w:rFonts w:ascii="仿宋_GB2312" w:hAnsi="宋体" w:eastAsia="仿宋_GB2312" w:cs="宋体"/>
          <w:b/>
          <w:szCs w:val="21"/>
        </w:rPr>
      </w:pPr>
      <w:r>
        <w:rPr>
          <w:rFonts w:hint="eastAsia" w:ascii="仿宋_GB2312" w:hAnsi="仿宋" w:eastAsia="仿宋_GB2312" w:cs="宋体"/>
          <w:szCs w:val="21"/>
        </w:rPr>
        <w:t>2)投标人不得通过补充、修改或撤消投标文件中的内容使其成为实质性响应采购文件的投标。投标人在投标截止以后不得提交任何资料作为投标文件的补充（评标委员会要求提交的除外）。</w:t>
      </w:r>
    </w:p>
    <w:p>
      <w:pPr>
        <w:pStyle w:val="24"/>
        <w:snapToGrid w:val="0"/>
        <w:spacing w:before="0"/>
        <w:ind w:firstLine="480"/>
        <w:rPr>
          <w:rFonts w:ascii="仿宋_GB2312" w:hAnsi="仿宋" w:eastAsia="仿宋_GB2312"/>
        </w:rPr>
      </w:pPr>
      <w:r>
        <w:rPr>
          <w:rFonts w:hint="eastAsia" w:ascii="仿宋_GB2312" w:hAnsi="仿宋" w:eastAsia="仿宋_GB2312"/>
        </w:rPr>
        <w:t xml:space="preserve"> </w:t>
      </w:r>
    </w:p>
    <w:p>
      <w:pPr>
        <w:pStyle w:val="3"/>
        <w:numPr>
          <w:ilvl w:val="0"/>
          <w:numId w:val="7"/>
        </w:numPr>
        <w:snapToGrid w:val="0"/>
        <w:spacing w:before="600" w:after="360" w:line="240" w:lineRule="auto"/>
        <w:jc w:val="center"/>
      </w:pPr>
      <w:bookmarkStart w:id="408" w:name="_Toc4460"/>
      <w:bookmarkStart w:id="409" w:name="_Toc329676942"/>
      <w:r>
        <w:rPr>
          <w:rFonts w:hint="eastAsia"/>
        </w:rPr>
        <w:t>评标内容及标准</w:t>
      </w:r>
      <w:bookmarkEnd w:id="408"/>
      <w:bookmarkEnd w:id="409"/>
    </w:p>
    <w:p>
      <w:pPr>
        <w:autoSpaceDE w:val="0"/>
        <w:autoSpaceDN w:val="0"/>
        <w:spacing w:line="360" w:lineRule="auto"/>
        <w:ind w:firstLine="413" w:firstLineChars="196"/>
        <w:rPr>
          <w:rFonts w:ascii="仿宋" w:hAnsi="仿宋" w:eastAsia="仿宋" w:cs="宋体"/>
          <w:b/>
          <w:lang w:val="zh-CN"/>
        </w:rPr>
      </w:pPr>
      <w:bookmarkStart w:id="410" w:name="_Toc20931"/>
      <w:bookmarkStart w:id="411" w:name="_Toc15895"/>
      <w:bookmarkStart w:id="412" w:name="_Toc29902"/>
      <w:r>
        <w:rPr>
          <w:rFonts w:hint="eastAsia" w:ascii="仿宋" w:hAnsi="仿宋" w:eastAsia="仿宋" w:cs="宋体"/>
          <w:b/>
          <w:lang w:val="zh-CN"/>
        </w:rPr>
        <w:t>2.1本项目采用综合评分法</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本次评审采用综合评分法，总分为100分。评分过程中采用四舍五入法，并保留小数2位。</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供应商评审综合得分=商务分+技术分+价格分</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商务分、技术分按照评分小组成员的独立评分结果的算术平均分计算，计算公式为：商务分、技术分=（评分小组所有成员评分合计数）/（评分小组组成人员数）。项目评审过程中，不得去掉最后报价中的最高报价和最低报价。</w:t>
      </w:r>
      <w:r>
        <w:rPr>
          <w:rFonts w:hint="eastAsia" w:ascii="仿宋" w:hAnsi="仿宋" w:eastAsia="仿宋" w:cs="宋体"/>
          <w:szCs w:val="21"/>
          <w:shd w:val="clear" w:color="auto" w:fill="7E7E7E" w:themeFill="background1" w:themeFillShade="7F"/>
        </w:rPr>
        <w:t>合</w:t>
      </w:r>
      <w:r>
        <w:rPr>
          <w:rFonts w:hint="eastAsia" w:ascii="仿宋" w:hAnsi="仿宋" w:eastAsia="仿宋" w:cs="宋体"/>
          <w:szCs w:val="21"/>
        </w:rPr>
        <w:t>格投标人的综合得分为各部分项目汇总得分，中标候选资格按综合得分由高到低顺序排列，得分相同的，按投标下浮率由高到低顺序排列；综合得分且投标下浮率相同的，按技术分的优劣顺序排列。排名第一、排名第二的投标人为中标候选人，其他投标人中标候选资格依次类推。</w:t>
      </w:r>
    </w:p>
    <w:bookmarkEnd w:id="410"/>
    <w:bookmarkEnd w:id="411"/>
    <w:bookmarkEnd w:id="412"/>
    <w:p>
      <w:pPr>
        <w:spacing w:line="360" w:lineRule="auto"/>
        <w:ind w:firstLine="422" w:firstLineChars="200"/>
        <w:rPr>
          <w:rFonts w:ascii="仿宋" w:hAnsi="仿宋" w:eastAsia="仿宋"/>
        </w:rPr>
      </w:pPr>
      <w:r>
        <w:rPr>
          <w:rFonts w:ascii="仿宋_GB2312" w:hAnsi="宋体" w:eastAsia="仿宋_GB2312"/>
          <w:b/>
        </w:rPr>
        <w:t>2.2评审标准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746"/>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评审因素</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分值</w:t>
            </w:r>
          </w:p>
        </w:tc>
        <w:tc>
          <w:tcPr>
            <w:tcW w:w="7083" w:type="dxa"/>
            <w:vAlign w:val="center"/>
          </w:tcPr>
          <w:p>
            <w:pPr>
              <w:jc w:val="center"/>
              <w:rPr>
                <w:rFonts w:ascii="仿宋" w:hAnsi="仿宋" w:eastAsia="仿宋" w:cs="仿宋"/>
                <w:b/>
                <w:bCs/>
                <w:szCs w:val="21"/>
              </w:rPr>
            </w:pPr>
            <w:r>
              <w:rPr>
                <w:rFonts w:hint="eastAsia" w:ascii="仿宋" w:hAnsi="仿宋" w:eastAsia="仿宋" w:cs="仿宋"/>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6"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投标报价</w:t>
            </w:r>
          </w:p>
        </w:tc>
        <w:tc>
          <w:tcPr>
            <w:tcW w:w="7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20</w:t>
            </w:r>
          </w:p>
        </w:tc>
        <w:tc>
          <w:tcPr>
            <w:tcW w:w="7083" w:type="dxa"/>
            <w:tcBorders>
              <w:top w:val="single" w:color="auto" w:sz="4" w:space="0"/>
              <w:left w:val="single" w:color="auto" w:sz="4" w:space="0"/>
              <w:bottom w:val="single" w:color="auto" w:sz="4" w:space="0"/>
              <w:right w:val="single" w:color="auto" w:sz="4" w:space="0"/>
            </w:tcBorders>
            <w:vAlign w:val="center"/>
          </w:tcPr>
          <w:p/>
          <w:p>
            <w:r>
              <w:rPr>
                <w:rFonts w:hint="eastAsia"/>
              </w:rPr>
              <w:t>供应商所需填报的投标报价为：</w:t>
            </w:r>
          </w:p>
          <w:tbl>
            <w:tblPr>
              <w:tblStyle w:val="18"/>
              <w:tblW w:w="5478"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6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80" w:type="dxa"/>
                  <w:vAlign w:val="center"/>
                </w:tcPr>
                <w:p>
                  <w:r>
                    <w:rPr>
                      <w:rFonts w:hint="eastAsia"/>
                    </w:rPr>
                    <w:t>代理金额(单票)</w:t>
                  </w:r>
                </w:p>
              </w:tc>
              <w:tc>
                <w:tcPr>
                  <w:tcW w:w="1968" w:type="dxa"/>
                  <w:vAlign w:val="center"/>
                </w:tcPr>
                <w:p>
                  <w:r>
                    <w:rPr>
                      <w:rFonts w:hint="eastAsia"/>
                    </w:rPr>
                    <w:t>代理费率报价</w:t>
                  </w:r>
                </w:p>
              </w:tc>
              <w:tc>
                <w:tcPr>
                  <w:tcW w:w="1530" w:type="dxa"/>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980" w:type="dxa"/>
                  <w:vAlign w:val="center"/>
                </w:tcPr>
                <w:p>
                  <w:r>
                    <w:rPr>
                      <w:rFonts w:hint="eastAsia"/>
                    </w:rPr>
                    <w:t>［10-35)万RMB</w:t>
                  </w:r>
                </w:p>
              </w:tc>
              <w:tc>
                <w:tcPr>
                  <w:tcW w:w="1968" w:type="dxa"/>
                  <w:vAlign w:val="center"/>
                </w:tcPr>
                <w:p>
                  <w:pPr>
                    <w:jc w:val="center"/>
                  </w:pPr>
                  <w:r>
                    <w:rPr>
                      <w:rFonts w:hint="eastAsia"/>
                    </w:rPr>
                    <w:t>%</w:t>
                  </w:r>
                </w:p>
              </w:tc>
              <w:tc>
                <w:tcPr>
                  <w:tcW w:w="1530" w:type="dxa"/>
                  <w:vAlign w:val="center"/>
                </w:tcPr>
                <w:p>
                  <w:r>
                    <w:rPr>
                      <w:rFonts w:hint="eastAsia"/>
                    </w:rPr>
                    <w:t>以百分比报价</w:t>
                  </w:r>
                </w:p>
              </w:tc>
            </w:tr>
          </w:tbl>
          <w:p>
            <w:r>
              <w:rPr>
                <w:rFonts w:hint="eastAsia"/>
              </w:rPr>
              <w:t>合同金额乘代理费率即为应收取的代理费。供应商只需要对合同金额超过10万人民币但小于35万人民币区间项目的代理费率进行报价，其他合同金额区间项目的代理费率按以下折扣确定。</w:t>
            </w:r>
          </w:p>
          <w:tbl>
            <w:tblPr>
              <w:tblStyle w:val="18"/>
              <w:tblW w:w="4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1759"/>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tcBorders>
                    <w:bottom w:val="single" w:color="auto" w:sz="4" w:space="0"/>
                  </w:tcBorders>
                  <w:vAlign w:val="center"/>
                </w:tcPr>
                <w:p>
                  <w:pPr>
                    <w:jc w:val="center"/>
                  </w:pPr>
                  <w:r>
                    <w:rPr>
                      <w:rFonts w:hint="eastAsia"/>
                    </w:rPr>
                    <w:t>代理金额(单票)</w:t>
                  </w:r>
                </w:p>
              </w:tc>
              <w:tc>
                <w:tcPr>
                  <w:tcW w:w="1426" w:type="pct"/>
                  <w:tcBorders>
                    <w:bottom w:val="single" w:color="auto" w:sz="4" w:space="0"/>
                  </w:tcBorders>
                  <w:vAlign w:val="center"/>
                </w:tcPr>
                <w:p>
                  <w:pPr>
                    <w:jc w:val="center"/>
                  </w:pPr>
                  <w:r>
                    <w:rPr>
                      <w:rFonts w:hint="eastAsia" w:ascii="宋体" w:hAnsi="宋体"/>
                      <w:szCs w:val="21"/>
                    </w:rPr>
                    <w:t>折扣</w:t>
                  </w:r>
                </w:p>
              </w:tc>
              <w:tc>
                <w:tcPr>
                  <w:tcW w:w="1579" w:type="pct"/>
                  <w:tcBorders>
                    <w:bottom w:val="single" w:color="auto" w:sz="4" w:space="0"/>
                  </w:tcBorders>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rPr>
                      <w:rFonts w:hint="eastAsia"/>
                    </w:rPr>
                    <w:t>［</w:t>
                  </w:r>
                  <w:r>
                    <w:t>10</w:t>
                  </w:r>
                  <w:r>
                    <w:rPr>
                      <w:rFonts w:hint="eastAsia"/>
                    </w:rPr>
                    <w:t>-</w:t>
                  </w:r>
                  <w:r>
                    <w:t>35</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100%</w:t>
                  </w:r>
                </w:p>
              </w:tc>
              <w:tc>
                <w:tcPr>
                  <w:tcW w:w="1579" w:type="pct"/>
                  <w:vAlign w:val="center"/>
                </w:tcPr>
                <w:p>
                  <w:pPr>
                    <w:jc w:val="center"/>
                  </w:pPr>
                  <w:r>
                    <w:rPr>
                      <w:rFonts w:hint="eastAsia" w:ascii="宋体" w:hAnsi="宋体"/>
                      <w:szCs w:val="21"/>
                    </w:rPr>
                    <w:t>即原始报价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rPr>
                      <w:rFonts w:hint="eastAsia"/>
                    </w:rPr>
                    <w:t>［</w:t>
                  </w:r>
                  <w:r>
                    <w:t>35</w:t>
                  </w:r>
                  <w:r>
                    <w:rPr>
                      <w:rFonts w:hint="eastAsia"/>
                    </w:rPr>
                    <w:t>-</w:t>
                  </w:r>
                  <w:r>
                    <w:t>70</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72%</w:t>
                  </w:r>
                </w:p>
              </w:tc>
              <w:tc>
                <w:tcPr>
                  <w:tcW w:w="1579"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4" w:type="pct"/>
                  <w:vAlign w:val="center"/>
                </w:tcPr>
                <w:p>
                  <w:pPr>
                    <w:jc w:val="center"/>
                  </w:pPr>
                  <w:r>
                    <w:rPr>
                      <w:rFonts w:hint="eastAsia"/>
                    </w:rPr>
                    <w:t>［</w:t>
                  </w:r>
                  <w:r>
                    <w:t>70</w:t>
                  </w:r>
                  <w:r>
                    <w:rPr>
                      <w:rFonts w:hint="eastAsia"/>
                    </w:rPr>
                    <w:t>-</w:t>
                  </w:r>
                  <w:r>
                    <w:t>140</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56%</w:t>
                  </w:r>
                </w:p>
              </w:tc>
              <w:tc>
                <w:tcPr>
                  <w:tcW w:w="1579"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rPr>
                      <w:rFonts w:hint="eastAsia"/>
                    </w:rPr>
                    <w:t>［</w:t>
                  </w:r>
                  <w:r>
                    <w:t>140</w:t>
                  </w:r>
                  <w:r>
                    <w:rPr>
                      <w:rFonts w:hint="eastAsia"/>
                    </w:rPr>
                    <w:t>-</w:t>
                  </w:r>
                  <w:r>
                    <w:t>350</w:t>
                  </w:r>
                  <w:r>
                    <w:rPr>
                      <w:rFonts w:hint="eastAsia"/>
                    </w:rPr>
                    <w:t>)万</w:t>
                  </w:r>
                  <w:r>
                    <w:t>RMB</w:t>
                  </w:r>
                </w:p>
              </w:tc>
              <w:tc>
                <w:tcPr>
                  <w:tcW w:w="1426" w:type="pct"/>
                  <w:vAlign w:val="center"/>
                </w:tcPr>
                <w:p>
                  <w:pPr>
                    <w:widowControl/>
                    <w:jc w:val="center"/>
                    <w:textAlignment w:val="center"/>
                  </w:pPr>
                  <w:r>
                    <w:rPr>
                      <w:rFonts w:hint="eastAsia" w:ascii="宋体" w:hAnsi="宋体" w:cs="宋体"/>
                      <w:color w:val="000000"/>
                      <w:kern w:val="0"/>
                      <w:sz w:val="22"/>
                      <w:szCs w:val="22"/>
                      <w:lang w:bidi="ar"/>
                    </w:rPr>
                    <w:t>33%</w:t>
                  </w:r>
                </w:p>
              </w:tc>
              <w:tc>
                <w:tcPr>
                  <w:tcW w:w="1579"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4" w:type="pct"/>
                  <w:vAlign w:val="center"/>
                </w:tcPr>
                <w:p>
                  <w:pPr>
                    <w:jc w:val="center"/>
                  </w:pPr>
                  <w:r>
                    <w:t>350</w:t>
                  </w:r>
                  <w:r>
                    <w:rPr>
                      <w:rFonts w:hint="eastAsia"/>
                    </w:rPr>
                    <w:t>万</w:t>
                  </w:r>
                  <w:r>
                    <w:t>RMB</w:t>
                  </w:r>
                  <w:r>
                    <w:rPr>
                      <w:rFonts w:hint="eastAsia"/>
                    </w:rPr>
                    <w:t>及以上</w:t>
                  </w:r>
                </w:p>
              </w:tc>
              <w:tc>
                <w:tcPr>
                  <w:tcW w:w="1426" w:type="pct"/>
                  <w:vAlign w:val="center"/>
                </w:tcPr>
                <w:p>
                  <w:pPr>
                    <w:widowControl/>
                    <w:jc w:val="center"/>
                    <w:textAlignment w:val="center"/>
                  </w:pPr>
                  <w:r>
                    <w:rPr>
                      <w:rFonts w:hint="eastAsia" w:ascii="宋体" w:hAnsi="宋体" w:cs="宋体"/>
                      <w:color w:val="000000"/>
                      <w:kern w:val="0"/>
                      <w:sz w:val="22"/>
                      <w:szCs w:val="22"/>
                      <w:lang w:bidi="ar"/>
                    </w:rPr>
                    <w:t>22%</w:t>
                  </w:r>
                </w:p>
              </w:tc>
              <w:tc>
                <w:tcPr>
                  <w:tcW w:w="1579" w:type="pct"/>
                  <w:vAlign w:val="center"/>
                </w:tcPr>
                <w:p>
                  <w:pPr>
                    <w:jc w:val="center"/>
                  </w:pPr>
                </w:p>
              </w:tc>
            </w:tr>
          </w:tbl>
          <w:p>
            <w:r>
              <w:rPr>
                <w:rFonts w:hint="eastAsia"/>
              </w:rPr>
              <w:t>供应商另需填报少于10万人民币以下项目的代理费价格，按固定费用填报，单位为人民币元，此报价不参与投标价格计算。10万人民币以下项目的代理费价格为：</w:t>
            </w:r>
          </w:p>
          <w:tbl>
            <w:tblPr>
              <w:tblStyle w:val="18"/>
              <w:tblpPr w:leftFromText="180" w:rightFromText="180" w:vertAnchor="text" w:horzAnchor="page" w:tblpX="393" w:tblpY="158"/>
              <w:tblOverlap w:val="never"/>
              <w:tblW w:w="6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2349"/>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363" w:type="dxa"/>
                  <w:vAlign w:val="center"/>
                </w:tcPr>
                <w:p>
                  <w:r>
                    <w:rPr>
                      <w:rFonts w:hint="eastAsia"/>
                    </w:rPr>
                    <w:t>代理金额(单票)</w:t>
                  </w:r>
                </w:p>
              </w:tc>
              <w:tc>
                <w:tcPr>
                  <w:tcW w:w="2349" w:type="dxa"/>
                  <w:vAlign w:val="center"/>
                </w:tcPr>
                <w:p>
                  <w:r>
                    <w:rPr>
                      <w:rFonts w:hint="eastAsia"/>
                    </w:rPr>
                    <w:t>代理费报价</w:t>
                  </w:r>
                </w:p>
              </w:tc>
              <w:tc>
                <w:tcPr>
                  <w:tcW w:w="1826" w:type="dxa"/>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63" w:type="dxa"/>
                  <w:vAlign w:val="center"/>
                </w:tcPr>
                <w:p>
                  <w:r>
                    <w:rPr>
                      <w:rFonts w:hint="eastAsia"/>
                    </w:rPr>
                    <w:t>10万人民币或等值外币以下项目</w:t>
                  </w:r>
                </w:p>
              </w:tc>
              <w:tc>
                <w:tcPr>
                  <w:tcW w:w="2349" w:type="dxa"/>
                  <w:vAlign w:val="center"/>
                </w:tcPr>
                <w:p/>
              </w:tc>
              <w:tc>
                <w:tcPr>
                  <w:tcW w:w="1826" w:type="dxa"/>
                  <w:vAlign w:val="center"/>
                </w:tcPr>
                <w:p>
                  <w:r>
                    <w:rPr>
                      <w:rFonts w:hint="eastAsia"/>
                    </w:rPr>
                    <w:t>以人民币元为单位报价</w:t>
                  </w:r>
                </w:p>
              </w:tc>
            </w:tr>
          </w:tbl>
          <w:p/>
          <w:p>
            <w:pPr>
              <w:rPr>
                <w:lang w:val="zh-CN"/>
              </w:rPr>
            </w:pPr>
            <w:r>
              <w:rPr>
                <w:rFonts w:hint="eastAsia"/>
                <w:lang w:val="zh-CN"/>
              </w:rPr>
              <w:t>采用低价优先法计算，即满足采购文件要求且投标价格最低的投标报价为评标基准价，其价格分为满分；其他投标人的价格得分统一按照所列公式计算：</w:t>
            </w:r>
          </w:p>
          <w:p>
            <w:r>
              <w:rPr>
                <w:rFonts w:hint="eastAsia"/>
                <w:lang w:val="zh-CN"/>
              </w:rPr>
              <w:t>投标报价得分=(评标基准价／投标报价)×</w:t>
            </w:r>
            <w:r>
              <w:rPr>
                <w:rFonts w:hint="eastAsia"/>
              </w:rPr>
              <w:t>20</w:t>
            </w:r>
            <w:r>
              <w:rPr>
                <w:rFonts w:hint="eastAsia"/>
                <w:lang w:val="zh-CN"/>
              </w:rPr>
              <w:t>。</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6"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ascii="仿宋" w:hAnsi="仿宋" w:eastAsia="仿宋" w:cs="仿宋"/>
                <w:b/>
                <w:bCs/>
                <w:szCs w:val="21"/>
              </w:rPr>
              <w:t>企业综合状况</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5</w:t>
            </w:r>
          </w:p>
        </w:tc>
        <w:tc>
          <w:tcPr>
            <w:tcW w:w="7083" w:type="dxa"/>
            <w:vAlign w:val="center"/>
          </w:tcPr>
          <w:p>
            <w:pPr>
              <w:jc w:val="left"/>
              <w:rPr>
                <w:rFonts w:ascii="仿宋" w:hAnsi="仿宋" w:eastAsia="仿宋" w:cs="仿宋"/>
                <w:bCs/>
                <w:szCs w:val="21"/>
              </w:rPr>
            </w:pPr>
            <w:r>
              <w:rPr>
                <w:rFonts w:ascii="仿宋" w:hAnsi="仿宋" w:eastAsia="仿宋" w:cs="仿宋"/>
                <w:bCs/>
                <w:szCs w:val="21"/>
              </w:rPr>
              <w:t>供应商注册资金</w:t>
            </w:r>
            <w:r>
              <w:rPr>
                <w:rFonts w:hint="eastAsia" w:ascii="仿宋" w:hAnsi="仿宋" w:eastAsia="仿宋" w:cs="仿宋"/>
                <w:bCs/>
                <w:szCs w:val="21"/>
              </w:rPr>
              <w:t>、</w:t>
            </w:r>
            <w:r>
              <w:rPr>
                <w:rFonts w:ascii="仿宋" w:hAnsi="仿宋" w:eastAsia="仿宋" w:cs="仿宋"/>
                <w:bCs/>
                <w:szCs w:val="21"/>
              </w:rPr>
              <w:t>综合实力、知名度和信誉</w:t>
            </w:r>
            <w:r>
              <w:rPr>
                <w:rFonts w:hint="eastAsia" w:ascii="仿宋" w:hAnsi="仿宋" w:eastAsia="仿宋" w:cs="仿宋"/>
                <w:bCs/>
                <w:szCs w:val="21"/>
              </w:rPr>
              <w:t>、</w:t>
            </w:r>
            <w:r>
              <w:rPr>
                <w:rFonts w:ascii="仿宋" w:hAnsi="仿宋" w:eastAsia="仿宋" w:cs="仿宋"/>
                <w:bCs/>
                <w:szCs w:val="21"/>
              </w:rPr>
              <w:t>整体经营状况、技术力量及提供的相关证明材料等情况。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业绩</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083" w:type="dxa"/>
            <w:vAlign w:val="center"/>
          </w:tcPr>
          <w:p>
            <w:pPr>
              <w:jc w:val="left"/>
              <w:rPr>
                <w:rFonts w:ascii="仿宋" w:hAnsi="仿宋" w:eastAsia="仿宋" w:cs="仿宋"/>
                <w:bCs/>
                <w:szCs w:val="21"/>
              </w:rPr>
            </w:pPr>
            <w:r>
              <w:rPr>
                <w:rFonts w:hint="eastAsia" w:ascii="仿宋" w:hAnsi="仿宋" w:eastAsia="仿宋" w:cs="仿宋"/>
                <w:bCs/>
                <w:szCs w:val="21"/>
              </w:rPr>
              <w:t>供应商自2019年1月1日以来（以进口代理项目合同或委托代理协议签订时间为准）进口代理业绩：每提供1份业绩证明材料得1分（最高得5分）</w:t>
            </w:r>
          </w:p>
          <w:p>
            <w:pPr>
              <w:jc w:val="left"/>
              <w:rPr>
                <w:rFonts w:ascii="仿宋" w:hAnsi="仿宋" w:eastAsia="仿宋" w:cs="仿宋"/>
                <w:b/>
                <w:bCs/>
                <w:sz w:val="18"/>
                <w:szCs w:val="18"/>
              </w:rPr>
            </w:pPr>
            <w:r>
              <w:rPr>
                <w:rFonts w:hint="eastAsia" w:ascii="仿宋" w:hAnsi="仿宋" w:eastAsia="仿宋" w:cs="仿宋"/>
                <w:b/>
                <w:sz w:val="18"/>
                <w:szCs w:val="18"/>
              </w:rPr>
              <w:t>备注：业绩证明材料为进口代理项目合同或委托代理协议复印件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体系认证</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1</w:t>
            </w:r>
          </w:p>
        </w:tc>
        <w:tc>
          <w:tcPr>
            <w:tcW w:w="7083" w:type="dxa"/>
            <w:vAlign w:val="center"/>
          </w:tcPr>
          <w:p>
            <w:pPr>
              <w:rPr>
                <w:rFonts w:ascii="仿宋" w:hAnsi="仿宋" w:eastAsia="仿宋" w:cs="仿宋"/>
                <w:bCs/>
                <w:szCs w:val="21"/>
              </w:rPr>
            </w:pPr>
            <w:r>
              <w:rPr>
                <w:rFonts w:hint="eastAsia" w:ascii="仿宋" w:hAnsi="仿宋" w:eastAsia="仿宋" w:cs="仿宋"/>
                <w:bCs/>
                <w:szCs w:val="21"/>
              </w:rPr>
              <w:t>供应商具有有效的质量管理体系认证且提供相关证明材料得1分</w:t>
            </w:r>
          </w:p>
          <w:p>
            <w:pPr>
              <w:rPr>
                <w:rFonts w:ascii="仿宋" w:hAnsi="仿宋" w:eastAsia="仿宋" w:cs="仿宋"/>
                <w:b/>
                <w:sz w:val="18"/>
                <w:szCs w:val="18"/>
              </w:rPr>
            </w:pPr>
            <w:r>
              <w:rPr>
                <w:rFonts w:hint="eastAsia" w:ascii="仿宋" w:hAnsi="仿宋" w:eastAsia="仿宋" w:cs="仿宋"/>
                <w:b/>
                <w:sz w:val="18"/>
                <w:szCs w:val="18"/>
              </w:rPr>
              <w:t>备注：</w:t>
            </w:r>
            <w:r>
              <w:rPr>
                <w:rFonts w:hint="eastAsia" w:ascii="仿宋" w:hAnsi="仿宋" w:eastAsia="仿宋" w:cs="仿宋"/>
                <w:b/>
                <w:bCs/>
                <w:color w:val="000000"/>
                <w:sz w:val="18"/>
                <w:szCs w:val="18"/>
              </w:rPr>
              <w:t>相关证明材料为证书复印件及www.cnca.gov.cn“认证结果”查询截图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海关AEO企业认证</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5</w:t>
            </w:r>
          </w:p>
        </w:tc>
        <w:tc>
          <w:tcPr>
            <w:tcW w:w="7083" w:type="dxa"/>
            <w:vAlign w:val="center"/>
          </w:tcPr>
          <w:p>
            <w:pPr>
              <w:rPr>
                <w:rFonts w:ascii="仿宋" w:hAnsi="仿宋" w:eastAsia="仿宋" w:cs="仿宋"/>
                <w:bCs/>
                <w:szCs w:val="21"/>
              </w:rPr>
            </w:pPr>
            <w:r>
              <w:rPr>
                <w:rFonts w:hint="eastAsia" w:ascii="仿宋" w:hAnsi="仿宋" w:eastAsia="仿宋" w:cs="仿宋"/>
                <w:bCs/>
                <w:szCs w:val="21"/>
              </w:rPr>
              <w:t>海关AEO企业认证：注册登记和备案企业得</w:t>
            </w:r>
            <w:r>
              <w:rPr>
                <w:rFonts w:ascii="仿宋" w:hAnsi="仿宋" w:eastAsia="仿宋" w:cs="仿宋"/>
                <w:bCs/>
                <w:szCs w:val="21"/>
              </w:rPr>
              <w:t>2</w:t>
            </w:r>
            <w:r>
              <w:rPr>
                <w:rFonts w:hint="eastAsia" w:ascii="仿宋" w:hAnsi="仿宋" w:eastAsia="仿宋" w:cs="仿宋"/>
                <w:bCs/>
                <w:szCs w:val="21"/>
              </w:rPr>
              <w:t>分、高级认证企业得</w:t>
            </w:r>
            <w:r>
              <w:rPr>
                <w:rFonts w:ascii="仿宋" w:hAnsi="仿宋" w:eastAsia="仿宋" w:cs="仿宋"/>
                <w:bCs/>
                <w:szCs w:val="21"/>
              </w:rPr>
              <w:t>5</w:t>
            </w:r>
            <w:r>
              <w:rPr>
                <w:rFonts w:hint="eastAsia" w:ascii="仿宋" w:hAnsi="仿宋" w:eastAsia="仿宋" w:cs="仿宋"/>
                <w:bCs/>
                <w:szCs w:val="21"/>
              </w:rPr>
              <w:t>分</w:t>
            </w:r>
          </w:p>
          <w:p>
            <w:pPr>
              <w:rPr>
                <w:rFonts w:ascii="仿宋" w:hAnsi="仿宋" w:eastAsia="仿宋" w:cs="仿宋"/>
                <w:b/>
                <w:sz w:val="18"/>
                <w:szCs w:val="18"/>
              </w:rPr>
            </w:pPr>
            <w:r>
              <w:rPr>
                <w:rFonts w:hint="eastAsia" w:ascii="仿宋" w:hAnsi="仿宋" w:eastAsia="仿宋" w:cs="仿宋"/>
                <w:b/>
                <w:sz w:val="18"/>
                <w:szCs w:val="18"/>
              </w:rPr>
              <w:t>备注：提供中国海关企业进出口信用信息公示平台查询截图（不提供不得分）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银行信用额度</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5</w:t>
            </w:r>
          </w:p>
        </w:tc>
        <w:tc>
          <w:tcPr>
            <w:tcW w:w="7083" w:type="dxa"/>
            <w:vAlign w:val="center"/>
          </w:tcPr>
          <w:p>
            <w:pPr>
              <w:rPr>
                <w:rFonts w:ascii="仿宋" w:hAnsi="仿宋" w:eastAsia="仿宋" w:cs="仿宋"/>
                <w:bCs/>
                <w:szCs w:val="21"/>
              </w:rPr>
            </w:pPr>
            <w:r>
              <w:rPr>
                <w:rFonts w:hint="eastAsia" w:ascii="仿宋" w:hAnsi="仿宋" w:eastAsia="仿宋" w:cs="仿宋"/>
                <w:bCs/>
                <w:szCs w:val="21"/>
              </w:rPr>
              <w:t>银行信用额度：＜5000万得0分、[5000,</w:t>
            </w:r>
            <w:r>
              <w:rPr>
                <w:rFonts w:ascii="仿宋" w:hAnsi="仿宋" w:eastAsia="仿宋" w:cs="仿宋"/>
                <w:bCs/>
                <w:szCs w:val="21"/>
              </w:rPr>
              <w:t>20000</w:t>
            </w:r>
            <w:r>
              <w:rPr>
                <w:rFonts w:hint="eastAsia" w:ascii="仿宋" w:hAnsi="仿宋" w:eastAsia="仿宋" w:cs="仿宋"/>
                <w:bCs/>
                <w:szCs w:val="21"/>
              </w:rPr>
              <w:t>）万得1分、[</w:t>
            </w:r>
            <w:r>
              <w:rPr>
                <w:rFonts w:ascii="仿宋" w:hAnsi="仿宋" w:eastAsia="仿宋" w:cs="仿宋"/>
                <w:bCs/>
                <w:szCs w:val="21"/>
              </w:rPr>
              <w:t>20000</w:t>
            </w:r>
            <w:r>
              <w:rPr>
                <w:rFonts w:hint="eastAsia" w:ascii="仿宋" w:hAnsi="仿宋" w:eastAsia="仿宋" w:cs="仿宋"/>
                <w:bCs/>
                <w:szCs w:val="21"/>
              </w:rPr>
              <w:t>,</w:t>
            </w:r>
            <w:r>
              <w:rPr>
                <w:rFonts w:ascii="仿宋" w:hAnsi="仿宋" w:eastAsia="仿宋" w:cs="仿宋"/>
                <w:bCs/>
                <w:szCs w:val="21"/>
              </w:rPr>
              <w:t>50000</w:t>
            </w:r>
            <w:r>
              <w:rPr>
                <w:rFonts w:hint="eastAsia" w:ascii="仿宋" w:hAnsi="仿宋" w:eastAsia="仿宋" w:cs="仿宋"/>
                <w:bCs/>
                <w:szCs w:val="21"/>
              </w:rPr>
              <w:t>）万得2分、[</w:t>
            </w:r>
            <w:r>
              <w:rPr>
                <w:rFonts w:ascii="仿宋" w:hAnsi="仿宋" w:eastAsia="仿宋" w:cs="仿宋"/>
                <w:bCs/>
                <w:szCs w:val="21"/>
              </w:rPr>
              <w:t>50000</w:t>
            </w:r>
            <w:r>
              <w:rPr>
                <w:rFonts w:hint="eastAsia" w:ascii="仿宋" w:hAnsi="仿宋" w:eastAsia="仿宋" w:cs="仿宋"/>
                <w:bCs/>
                <w:szCs w:val="21"/>
              </w:rPr>
              <w:t>,</w:t>
            </w:r>
            <w:r>
              <w:rPr>
                <w:rFonts w:ascii="仿宋" w:hAnsi="仿宋" w:eastAsia="仿宋" w:cs="仿宋"/>
                <w:bCs/>
                <w:szCs w:val="21"/>
              </w:rPr>
              <w:t>100000</w:t>
            </w:r>
            <w:r>
              <w:rPr>
                <w:rFonts w:hint="eastAsia" w:ascii="仿宋" w:hAnsi="仿宋" w:eastAsia="仿宋" w:cs="仿宋"/>
                <w:bCs/>
                <w:szCs w:val="21"/>
              </w:rPr>
              <w:t>）万得</w:t>
            </w:r>
            <w:r>
              <w:rPr>
                <w:rFonts w:ascii="仿宋" w:hAnsi="仿宋" w:eastAsia="仿宋" w:cs="仿宋"/>
                <w:bCs/>
                <w:szCs w:val="21"/>
              </w:rPr>
              <w:t>4</w:t>
            </w:r>
            <w:r>
              <w:rPr>
                <w:rFonts w:hint="eastAsia" w:ascii="仿宋" w:hAnsi="仿宋" w:eastAsia="仿宋" w:cs="仿宋"/>
                <w:bCs/>
                <w:szCs w:val="21"/>
              </w:rPr>
              <w:t>分、≥1</w:t>
            </w:r>
            <w:r>
              <w:rPr>
                <w:rFonts w:ascii="仿宋" w:hAnsi="仿宋" w:eastAsia="仿宋" w:cs="仿宋"/>
                <w:bCs/>
                <w:szCs w:val="21"/>
              </w:rPr>
              <w:t>00000</w:t>
            </w:r>
            <w:r>
              <w:rPr>
                <w:rFonts w:hint="eastAsia" w:ascii="仿宋" w:hAnsi="仿宋" w:eastAsia="仿宋" w:cs="仿宋"/>
                <w:bCs/>
                <w:szCs w:val="21"/>
                <w:lang w:val="en-US" w:eastAsia="zh-CN"/>
              </w:rPr>
              <w:t>万</w:t>
            </w:r>
            <w:r>
              <w:rPr>
                <w:rFonts w:ascii="仿宋" w:hAnsi="仿宋" w:eastAsia="仿宋" w:cs="仿宋"/>
                <w:bCs/>
                <w:szCs w:val="21"/>
              </w:rPr>
              <w:t>得</w:t>
            </w:r>
            <w:r>
              <w:rPr>
                <w:rFonts w:hint="eastAsia" w:ascii="仿宋" w:hAnsi="仿宋" w:eastAsia="仿宋" w:cs="仿宋"/>
                <w:bCs/>
                <w:szCs w:val="21"/>
              </w:rPr>
              <w:t>5分</w:t>
            </w:r>
          </w:p>
          <w:p>
            <w:pPr>
              <w:rPr>
                <w:rFonts w:ascii="仿宋" w:hAnsi="仿宋" w:eastAsia="仿宋" w:cs="仿宋"/>
                <w:b/>
                <w:sz w:val="18"/>
                <w:szCs w:val="18"/>
              </w:rPr>
            </w:pPr>
            <w:r>
              <w:rPr>
                <w:rFonts w:hint="eastAsia" w:ascii="仿宋" w:hAnsi="仿宋" w:eastAsia="仿宋" w:cs="仿宋"/>
                <w:b/>
                <w:sz w:val="18"/>
                <w:szCs w:val="18"/>
              </w:rPr>
              <w:t>备注：提供银行信用额度证明材料（不提供不得分）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6" w:type="dxa"/>
            <w:gridSpan w:val="3"/>
            <w:vAlign w:val="center"/>
          </w:tcPr>
          <w:p>
            <w:pPr>
              <w:jc w:val="center"/>
              <w:rPr>
                <w:rFonts w:ascii="仿宋" w:hAnsi="仿宋" w:eastAsia="仿宋" w:cs="仿宋"/>
                <w:b/>
                <w:bCs/>
                <w:szCs w:val="21"/>
              </w:rPr>
            </w:pPr>
            <w:r>
              <w:rPr>
                <w:rFonts w:hint="eastAsia" w:ascii="仿宋" w:hAnsi="仿宋" w:eastAsia="仿宋" w:cs="仿宋"/>
                <w:b/>
                <w:bCs/>
                <w:szCs w:val="21"/>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响应</w:t>
            </w:r>
          </w:p>
        </w:tc>
        <w:tc>
          <w:tcPr>
            <w:tcW w:w="746" w:type="dxa"/>
            <w:vAlign w:val="center"/>
          </w:tcPr>
          <w:p>
            <w:pPr>
              <w:jc w:val="center"/>
              <w:rPr>
                <w:rFonts w:ascii="仿宋" w:hAnsi="仿宋" w:eastAsia="仿宋" w:cs="仿宋"/>
                <w:b/>
                <w:bCs/>
                <w:szCs w:val="21"/>
              </w:rPr>
            </w:pPr>
            <w:r>
              <w:rPr>
                <w:rFonts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在义乌本地有服务机构的得</w:t>
            </w:r>
            <w:r>
              <w:rPr>
                <w:rFonts w:ascii="仿宋" w:hAnsi="仿宋" w:eastAsia="仿宋" w:cs="仿宋"/>
                <w:szCs w:val="21"/>
              </w:rPr>
              <w:t>3</w:t>
            </w:r>
            <w:r>
              <w:rPr>
                <w:rFonts w:hint="eastAsia" w:ascii="仿宋" w:hAnsi="仿宋" w:eastAsia="仿宋" w:cs="仿宋"/>
                <w:szCs w:val="21"/>
              </w:rPr>
              <w:t>分，浙江省内有服务机构的得1分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服务响应速度和清关时间，要求一单一清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服务方案</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对采购人现状及需求分析的全面性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b/>
                <w:szCs w:val="21"/>
              </w:rPr>
            </w:pPr>
            <w:r>
              <w:rPr>
                <w:rFonts w:hint="eastAsia" w:ascii="仿宋" w:hAnsi="仿宋" w:eastAsia="仿宋" w:cs="仿宋"/>
                <w:szCs w:val="21"/>
              </w:rPr>
              <w:t>难点、要点、关键点环节分析及应对方法、解决方案的针对性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进口业务资金往来方案的安全性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特殊情况下垫付资金措施的保障程度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发生不可预见情况时处理方案的全面性、可行性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发生国际贸易纠纷时处理方案的针对性、可行性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与海关、商检等部门沟通和协调措施的针对性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szCs w:val="21"/>
              </w:rPr>
            </w:pPr>
            <w:r>
              <w:rPr>
                <w:rFonts w:hint="eastAsia" w:ascii="仿宋" w:hAnsi="仿宋" w:eastAsia="仿宋" w:cs="仿宋"/>
                <w:szCs w:val="21"/>
              </w:rPr>
              <w:t>服务响应及时性保障措施的可行性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物流、仓储情况及对应解决方案的全面性、针对性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仿宋" w:hAnsi="仿宋" w:eastAsia="仿宋" w:cs="仿宋"/>
                <w:b/>
                <w:bCs/>
                <w:szCs w:val="21"/>
              </w:rPr>
            </w:pPr>
            <w:r>
              <w:rPr>
                <w:rFonts w:hint="eastAsia" w:ascii="仿宋" w:hAnsi="仿宋" w:eastAsia="仿宋" w:cs="仿宋"/>
                <w:b/>
                <w:bCs/>
                <w:szCs w:val="21"/>
              </w:rPr>
              <w:t>特别优惠承诺</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083" w:type="dxa"/>
            <w:vAlign w:val="center"/>
          </w:tcPr>
          <w:p>
            <w:pPr>
              <w:rPr>
                <w:rFonts w:ascii="仿宋" w:hAnsi="仿宋" w:eastAsia="仿宋" w:cs="仿宋"/>
                <w:b/>
                <w:szCs w:val="21"/>
              </w:rPr>
            </w:pPr>
            <w:r>
              <w:rPr>
                <w:rFonts w:hint="eastAsia" w:ascii="仿宋" w:hAnsi="仿宋" w:eastAsia="仿宋" w:cs="仿宋"/>
                <w:szCs w:val="21"/>
              </w:rPr>
              <w:t>为采购人进口业务方面提供的特别优惠承诺的全面性、针对性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仿宋" w:hAnsi="仿宋" w:eastAsia="仿宋" w:cs="仿宋"/>
                <w:b/>
                <w:bCs/>
                <w:szCs w:val="21"/>
              </w:rPr>
            </w:pPr>
            <w:r>
              <w:rPr>
                <w:rFonts w:hint="eastAsia" w:ascii="仿宋" w:hAnsi="仿宋" w:eastAsia="仿宋" w:cs="仿宋"/>
                <w:b/>
                <w:bCs/>
                <w:szCs w:val="21"/>
              </w:rPr>
              <w:t>对口工作人员</w:t>
            </w: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对口工作人员工作职责清晰性、分工明确性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项目负责人学历：本科学历得1分、研究生及以上学历得3分</w:t>
            </w:r>
          </w:p>
          <w:p>
            <w:pPr>
              <w:rPr>
                <w:rFonts w:ascii="仿宋" w:hAnsi="仿宋" w:eastAsia="仿宋" w:cs="仿宋"/>
                <w:szCs w:val="21"/>
              </w:rPr>
            </w:pPr>
            <w:r>
              <w:rPr>
                <w:rFonts w:hint="eastAsia" w:ascii="仿宋" w:hAnsi="仿宋" w:eastAsia="仿宋" w:cs="仿宋"/>
                <w:b/>
                <w:sz w:val="18"/>
                <w:szCs w:val="18"/>
              </w:rPr>
              <w:t>备注：提供学历证书复印件（不提供或本科以下学历不得分）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项目负责人外贸业务相关的专业技术能力和水平</w:t>
            </w:r>
          </w:p>
          <w:p>
            <w:pPr>
              <w:rPr>
                <w:rFonts w:ascii="仿宋" w:hAnsi="仿宋" w:eastAsia="仿宋" w:cs="仿宋"/>
                <w:szCs w:val="21"/>
              </w:rPr>
            </w:pPr>
            <w:r>
              <w:rPr>
                <w:rFonts w:hint="eastAsia" w:ascii="仿宋" w:hAnsi="仿宋" w:eastAsia="仿宋" w:cs="仿宋"/>
                <w:b/>
                <w:sz w:val="18"/>
                <w:szCs w:val="18"/>
              </w:rPr>
              <w:t>备注：提供相关证明材料（不提供不得分）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项目负责人从业经验：＜3年得0分、[3,5）年得1分、[5,10）得2分，≥10年得3分</w:t>
            </w:r>
          </w:p>
          <w:p>
            <w:pPr>
              <w:rPr>
                <w:rFonts w:ascii="仿宋" w:hAnsi="仿宋" w:eastAsia="仿宋" w:cs="仿宋"/>
                <w:szCs w:val="21"/>
              </w:rPr>
            </w:pPr>
            <w:r>
              <w:rPr>
                <w:rFonts w:hint="eastAsia" w:ascii="仿宋" w:hAnsi="仿宋" w:eastAsia="仿宋" w:cs="仿宋"/>
                <w:b/>
                <w:sz w:val="18"/>
                <w:szCs w:val="18"/>
              </w:rPr>
              <w:t>备注：提供项目负责人履历（不提供不得分）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jc w:val="center"/>
              <w:rPr>
                <w:rFonts w:ascii="仿宋" w:hAnsi="仿宋" w:eastAsia="仿宋" w:cs="仿宋"/>
                <w:b/>
                <w:bCs/>
                <w:szCs w:val="21"/>
              </w:rPr>
            </w:pPr>
          </w:p>
        </w:tc>
        <w:tc>
          <w:tcPr>
            <w:tcW w:w="746"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083" w:type="dxa"/>
            <w:vAlign w:val="center"/>
          </w:tcPr>
          <w:p>
            <w:pPr>
              <w:rPr>
                <w:rFonts w:ascii="仿宋" w:hAnsi="仿宋" w:eastAsia="仿宋" w:cs="仿宋"/>
                <w:szCs w:val="21"/>
              </w:rPr>
            </w:pPr>
            <w:r>
              <w:rPr>
                <w:rFonts w:hint="eastAsia" w:ascii="仿宋" w:hAnsi="仿宋" w:eastAsia="仿宋" w:cs="仿宋"/>
                <w:szCs w:val="21"/>
              </w:rPr>
              <w:t>对口工作人员（除项目负责人）从业经验、进口代理业务熟悉程度</w:t>
            </w:r>
          </w:p>
          <w:p>
            <w:pPr>
              <w:rPr>
                <w:rFonts w:ascii="仿宋" w:hAnsi="仿宋" w:eastAsia="仿宋" w:cs="仿宋"/>
                <w:szCs w:val="21"/>
              </w:rPr>
            </w:pPr>
            <w:r>
              <w:rPr>
                <w:rFonts w:hint="eastAsia" w:ascii="仿宋" w:hAnsi="仿宋" w:eastAsia="仿宋" w:cs="仿宋"/>
                <w:b/>
                <w:sz w:val="18"/>
                <w:szCs w:val="18"/>
              </w:rPr>
              <w:t>备注：提供对口工作人员履历（不提供不得分）</w:t>
            </w:r>
          </w:p>
        </w:tc>
      </w:tr>
    </w:tbl>
    <w:p>
      <w:pPr>
        <w:spacing w:line="360" w:lineRule="auto"/>
        <w:rPr>
          <w:rFonts w:ascii="仿宋_GB2312" w:hAnsi="仿宋" w:eastAsia="仿宋_GB2312"/>
          <w:b/>
          <w:bCs/>
          <w:sz w:val="24"/>
        </w:rPr>
      </w:pP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2.5 推荐入围候选人</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报名参加遴选的供应商多于3家的，取2家入围；少于3家的，本次遴选流标。评标委员会根据综合评分由高到低对投标文件进行排序，依次推荐评分最高和次高的服务供应商为中标人。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考虑到外贸代理工作有一定的工作连续性且代理周期较长，目前为研究院提供服务的代理商如参加本次遴选但未入围的，可续签本周期的代理合同。</w:t>
      </w: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2.6评标报告</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2.7.1评标委员会对投标文件作出的评审结论，应当符合有关法律、法规、规章和采购文件的规定。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2.7.3评标报告应包括以下内容：</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（1）开标记录；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（2）评标的内容、过程和结果；</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（3）废标情况详细说明及相关依据；</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（4）询标澄清纪要；</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（5）中标候选人的优劣对比和存在问题；</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（6）其他建议。</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bCs/>
          <w:kern w:val="0"/>
          <w:szCs w:val="21"/>
        </w:rPr>
        <w:t>2.8定标</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2.8.1定标由招标人负责。</w:t>
      </w:r>
    </w:p>
    <w:p>
      <w:pPr>
        <w:spacing w:line="360" w:lineRule="auto"/>
        <w:ind w:firstLine="420" w:firstLineChars="200"/>
        <w:rPr>
          <w:rFonts w:ascii="仿宋_GB2312" w:hAnsi="宋体" w:eastAsia="仿宋_GB2312"/>
          <w:b/>
          <w:sz w:val="30"/>
          <w:szCs w:val="30"/>
        </w:rPr>
      </w:pPr>
      <w:r>
        <w:rPr>
          <w:rFonts w:hint="eastAsia" w:ascii="仿宋_GB2312" w:hAnsi="仿宋" w:eastAsia="仿宋_GB2312" w:cs="宋体"/>
          <w:bCs/>
          <w:kern w:val="0"/>
          <w:szCs w:val="21"/>
        </w:rPr>
        <w:t>2.8.2若入围供应商违约被解除服务协议，招标人有权递补入围供应商。</w:t>
      </w:r>
      <w:r>
        <w:rPr>
          <w:rFonts w:hint="eastAsia" w:ascii="仿宋_GB2312" w:eastAsia="仿宋_GB2312"/>
          <w:b/>
          <w:sz w:val="36"/>
          <w:szCs w:val="36"/>
        </w:rPr>
        <w:br w:type="page"/>
      </w:r>
      <w:r>
        <w:rPr>
          <w:rFonts w:hint="eastAsia" w:ascii="仿宋_GB2312" w:hAnsi="宋体" w:eastAsia="仿宋_GB2312"/>
          <w:b/>
          <w:sz w:val="32"/>
          <w:szCs w:val="30"/>
        </w:rPr>
        <w:t>项目评分表</w:t>
      </w:r>
    </w:p>
    <w:p>
      <w:pPr>
        <w:jc w:val="left"/>
        <w:rPr>
          <w:rFonts w:ascii="仿宋_GB2312" w:hAnsi="宋体" w:eastAsia="仿宋_GB2312"/>
          <w:b/>
          <w:sz w:val="24"/>
          <w:szCs w:val="30"/>
        </w:rPr>
      </w:pPr>
      <w:r>
        <w:rPr>
          <w:rFonts w:hint="eastAsia" w:ascii="仿宋_GB2312" w:hAnsi="宋体" w:eastAsia="仿宋_GB2312"/>
          <w:b/>
          <w:szCs w:val="30"/>
        </w:rPr>
        <w:t xml:space="preserve">投标人名称：                          </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4"/>
              </w:rPr>
            </w:pPr>
            <w:r>
              <w:rPr>
                <w:rFonts w:hint="eastAsia" w:ascii="仿宋_GB2312" w:eastAsia="仿宋_GB2312"/>
              </w:rPr>
              <w:t>评标内容及分值</w:t>
            </w:r>
          </w:p>
        </w:tc>
        <w:tc>
          <w:tcPr>
            <w:tcW w:w="4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偏离</w:t>
            </w:r>
          </w:p>
          <w:p>
            <w:pPr>
              <w:spacing w:line="360" w:lineRule="auto"/>
              <w:jc w:val="center"/>
              <w:rPr>
                <w:rFonts w:ascii="仿宋_GB2312" w:eastAsia="仿宋_GB2312"/>
                <w:sz w:val="24"/>
              </w:rPr>
            </w:pPr>
            <w:r>
              <w:rPr>
                <w:rFonts w:hint="eastAsia" w:ascii="仿宋_GB2312" w:eastAsia="仿宋_GB2312"/>
              </w:rPr>
              <w:t>情况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扣分</w:t>
            </w:r>
          </w:p>
          <w:p>
            <w:pPr>
              <w:spacing w:line="360" w:lineRule="auto"/>
              <w:jc w:val="center"/>
              <w:rPr>
                <w:rFonts w:ascii="仿宋_GB2312" w:eastAsia="仿宋_GB2312"/>
                <w:sz w:val="24"/>
              </w:rPr>
            </w:pPr>
            <w:r>
              <w:rPr>
                <w:rFonts w:hint="eastAsia" w:ascii="仿宋_GB2312" w:eastAsia="仿宋_GB231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价格分</w:t>
            </w: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商务分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技术分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合计得分</w:t>
            </w:r>
          </w:p>
        </w:tc>
        <w:tc>
          <w:tcPr>
            <w:tcW w:w="25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vAlign w:val="center"/>
          </w:tcPr>
          <w:p>
            <w:pPr>
              <w:jc w:val="center"/>
              <w:rPr>
                <w:rFonts w:ascii="仿宋_GB2312" w:eastAsia="仿宋_GB2312"/>
                <w:sz w:val="24"/>
              </w:rPr>
            </w:pPr>
          </w:p>
        </w:tc>
      </w:tr>
    </w:tbl>
    <w:p>
      <w:pPr>
        <w:spacing w:before="120" w:beforeLines="50" w:after="120" w:afterLines="50"/>
        <w:ind w:firstLine="482"/>
        <w:rPr>
          <w:rFonts w:ascii="仿宋_GB2312" w:hAnsi="宋体" w:eastAsia="仿宋_GB2312"/>
          <w:b/>
          <w:szCs w:val="30"/>
        </w:rPr>
      </w:pPr>
      <w:r>
        <w:rPr>
          <w:rFonts w:hint="eastAsia" w:ascii="仿宋_GB2312" w:hAnsi="宋体" w:eastAsia="仿宋_GB2312"/>
          <w:b/>
          <w:szCs w:val="30"/>
        </w:rPr>
        <w:t>评审专家签名：                               评标日期：</w:t>
      </w:r>
    </w:p>
    <w:p>
      <w:pPr>
        <w:spacing w:line="360" w:lineRule="auto"/>
        <w:outlineLvl w:val="0"/>
        <w:rPr>
          <w:rFonts w:ascii="仿宋_GB2312" w:eastAsia="仿宋_GB2312"/>
          <w:b/>
          <w:sz w:val="36"/>
          <w:szCs w:val="36"/>
        </w:rPr>
      </w:pPr>
    </w:p>
    <w:p>
      <w:pPr>
        <w:spacing w:line="360" w:lineRule="auto"/>
        <w:jc w:val="center"/>
        <w:outlineLvl w:val="0"/>
        <w:rPr>
          <w:rFonts w:ascii="仿宋_GB2312" w:eastAsia="仿宋_GB2312"/>
          <w:b/>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ascii="仿宋_GB2312" w:eastAsia="仿宋_GB2312"/>
          <w:b/>
          <w:sz w:val="36"/>
          <w:szCs w:val="36"/>
        </w:rPr>
      </w:pPr>
      <w:r>
        <w:rPr>
          <w:rFonts w:hint="eastAsia" w:ascii="仿宋_GB2312" w:eastAsia="仿宋_GB2312"/>
          <w:b/>
          <w:sz w:val="36"/>
          <w:szCs w:val="36"/>
        </w:rPr>
        <w:t>第四部分 项目技术规范和服务要求</w:t>
      </w:r>
      <w:bookmarkStart w:id="413" w:name="_Toc302396102"/>
      <w:bookmarkStart w:id="414" w:name="_Toc13823"/>
      <w:bookmarkStart w:id="415" w:name="_Toc30830"/>
      <w:bookmarkStart w:id="416" w:name="_Toc11082"/>
      <w:bookmarkStart w:id="417" w:name="_Toc8240"/>
      <w:bookmarkStart w:id="418" w:name="_Toc18363"/>
    </w:p>
    <w:bookmarkEnd w:id="413"/>
    <w:bookmarkEnd w:id="414"/>
    <w:bookmarkEnd w:id="415"/>
    <w:bookmarkEnd w:id="416"/>
    <w:bookmarkEnd w:id="417"/>
    <w:bookmarkEnd w:id="418"/>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项目编号：</w:t>
      </w:r>
      <w:r>
        <w:rPr>
          <w:rFonts w:hint="eastAsia" w:ascii="仿宋_GB2312" w:hAnsi="宋体" w:eastAsia="仿宋_GB2312"/>
        </w:rPr>
        <w:t xml:space="preserve"> </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采购单位名称：</w:t>
      </w:r>
      <w:r>
        <w:rPr>
          <w:rFonts w:hint="eastAsia" w:ascii="仿宋_GB2312" w:hAnsi="宋体" w:eastAsia="仿宋_GB2312"/>
          <w:u w:val="single"/>
        </w:rPr>
        <w:t>浙江大学国际健康医学研究院2022-2023年度进口代理服务商遴选项目2023</w:t>
      </w:r>
    </w:p>
    <w:p>
      <w:pPr>
        <w:pStyle w:val="9"/>
        <w:snapToGrid w:val="0"/>
        <w:spacing w:before="120" w:line="360" w:lineRule="auto"/>
        <w:outlineLvl w:val="0"/>
        <w:rPr>
          <w:rFonts w:ascii="仿宋_GB2312" w:hAnsi="宋体" w:eastAsia="仿宋_GB2312"/>
          <w:szCs w:val="24"/>
        </w:rPr>
      </w:pPr>
      <w:r>
        <w:rPr>
          <w:rFonts w:hint="eastAsia" w:ascii="仿宋_GB2312" w:hAnsi="宋体" w:eastAsia="仿宋_GB2312"/>
          <w:szCs w:val="24"/>
        </w:rPr>
        <w:t>一、项目内容</w:t>
      </w:r>
    </w:p>
    <w:p>
      <w:pPr>
        <w:pStyle w:val="9"/>
        <w:snapToGrid w:val="0"/>
        <w:spacing w:line="360" w:lineRule="auto"/>
        <w:ind w:firstLine="420"/>
        <w:outlineLvl w:val="0"/>
        <w:rPr>
          <w:rFonts w:ascii="仿宋_GB2312" w:hAnsi="宋体" w:eastAsia="仿宋_GB2312"/>
          <w:szCs w:val="24"/>
        </w:rPr>
      </w:pPr>
      <w:r>
        <w:rPr>
          <w:rFonts w:hint="eastAsia" w:ascii="仿宋_GB2312" w:hAnsi="宋体" w:eastAsia="仿宋_GB2312"/>
          <w:szCs w:val="24"/>
        </w:rPr>
        <w:t>浙江大学国际健康医学研究院2022-2023年度进口代理服务商</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二、技术需求表</w:t>
      </w:r>
    </w:p>
    <w:tbl>
      <w:tblPr>
        <w:tblStyle w:val="18"/>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120" w:after="120" w:line="360" w:lineRule="auto"/>
              <w:jc w:val="center"/>
              <w:outlineLvl w:val="0"/>
              <w:rPr>
                <w:rFonts w:ascii="仿宋_GB2312" w:hAnsi="宋体" w:eastAsia="仿宋_GB2312"/>
                <w:szCs w:val="24"/>
              </w:rPr>
            </w:pPr>
            <w:r>
              <w:rPr>
                <w:rFonts w:hint="eastAsia" w:ascii="仿宋_GB2312" w:hAnsi="宋体" w:eastAsia="仿宋_GB2312"/>
                <w:szCs w:val="24"/>
              </w:rPr>
              <w:t>项目具体要求</w:t>
            </w:r>
          </w:p>
        </w:tc>
        <w:tc>
          <w:tcPr>
            <w:tcW w:w="8320"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一、服务期限</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highlight w:val="yellow"/>
              </w:rPr>
              <w:t>自</w:t>
            </w:r>
            <w:r>
              <w:rPr>
                <w:rFonts w:hint="eastAsia" w:ascii="仿宋_GB2312" w:hAnsi="宋体" w:eastAsia="仿宋_GB2312"/>
                <w:szCs w:val="24"/>
                <w:highlight w:val="yellow"/>
                <w:lang w:val="en-US" w:eastAsia="zh-CN"/>
              </w:rPr>
              <w:t>中标之日</w:t>
            </w:r>
            <w:r>
              <w:rPr>
                <w:rFonts w:hint="eastAsia" w:ascii="仿宋_GB2312" w:hAnsi="宋体" w:eastAsia="仿宋_GB2312"/>
                <w:szCs w:val="24"/>
                <w:highlight w:val="yellow"/>
              </w:rPr>
              <w:t>起1</w:t>
            </w:r>
            <w:r>
              <w:rPr>
                <w:rFonts w:ascii="仿宋_GB2312" w:hAnsi="宋体" w:eastAsia="仿宋_GB2312"/>
                <w:szCs w:val="24"/>
                <w:highlight w:val="yellow"/>
              </w:rPr>
              <w:t>年</w:t>
            </w:r>
            <w:r>
              <w:rPr>
                <w:rFonts w:hint="eastAsia" w:ascii="仿宋_GB2312" w:hAnsi="宋体" w:eastAsia="仿宋_GB2312"/>
                <w:szCs w:val="24"/>
                <w:highlight w:val="yellow"/>
              </w:rPr>
              <w:t>。甲方可与年度考核分数在90分（包括90分）以上的乙方续签合同。如续签，则续签合同期限不超过1年，续签不超过2次，全部合同累计时间最长3年。</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二、入围数量</w:t>
            </w:r>
          </w:p>
          <w:p>
            <w:pPr>
              <w:pStyle w:val="9"/>
              <w:snapToGrid w:val="0"/>
              <w:spacing w:line="360" w:lineRule="auto"/>
              <w:outlineLvl w:val="0"/>
              <w:rPr>
                <w:rFonts w:ascii="仿宋_GB2312" w:hAnsi="宋体" w:eastAsia="仿宋_GB2312"/>
                <w:szCs w:val="24"/>
              </w:rPr>
            </w:pPr>
            <w:r>
              <w:rPr>
                <w:rFonts w:ascii="仿宋_GB2312" w:hAnsi="宋体" w:eastAsia="仿宋_GB2312"/>
                <w:szCs w:val="24"/>
                <w:highlight w:val="yellow"/>
              </w:rPr>
              <w:t>2家，</w:t>
            </w:r>
            <w:r>
              <w:rPr>
                <w:rFonts w:hint="eastAsia" w:ascii="仿宋_GB2312" w:hAnsi="宋体" w:eastAsia="仿宋_GB2312"/>
                <w:szCs w:val="24"/>
              </w:rPr>
              <w:t>如有不能圆满履行委托代理进口协议责任与业务的情形，采购人可暂停甚至取消其服务资格。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szCs w:val="24"/>
              </w:rPr>
            </w:pPr>
            <w:r>
              <w:rPr>
                <w:rFonts w:hint="eastAsia" w:ascii="仿宋_GB2312" w:hAnsi="宋体" w:eastAsia="仿宋_GB2312"/>
                <w:szCs w:val="24"/>
              </w:rPr>
              <w:t>服务内容和要求</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1.根据采购人采购部门确定的价格、配置及服务条款（或由采购人委托对外询价并经采购人认可）对外正式签订外贸进口合同并积极实施履约的相关工作；</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2.办理进口业务有关的海关免税、机电设备进口许可、进口商品检验检疫手续等；</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3.付款方式为L/C的，满足开证条件下7个工作日内开具信用证并出具银行信用证报文；付款方式为后T/T的，须在收到采购人提交的验收报告和货款后7个工作日内对外付汇并出具银行付汇凭证；</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4.办理清关事务并将货物送达采购人指定地点（进口合同中的保险必须运保到采购人指定地点）；</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5.向采购人提供对外签订的外贸进口合同（中英文对照版或英文版）、完整的进口单证各1份（可为复印件）、免税证明表、有关发票原件等；</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6.协助采购人办理因货物质量、商检等问题引发的国际贸易纠纷，及时启动索赔预案和索赔程序；</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7.根据采购人要求办理需要出境维修的货物通关和其它相关工作；</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8.定期（两周）向采购人提供项目跟踪执行情况汇总表；</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9.及时与采购人有关部门核对往来帐目；</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10.协助采购人办理对进口货物供应商、国际金融机构提供商品质量、信用担保等具体事宜；</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11.协助采购人完成海关等政府主管部门履行的年检、抽检及其他相关工作。采购文件</w:t>
            </w:r>
          </w:p>
        </w:tc>
      </w:tr>
    </w:tbl>
    <w:p>
      <w:pPr>
        <w:rPr>
          <w:rFonts w:hint="eastAsia" w:ascii="仿宋_GB2312" w:hAnsi="宋体" w:eastAsia="仿宋_GB2312"/>
        </w:rPr>
      </w:pPr>
      <w:r>
        <w:rPr>
          <w:rFonts w:hint="eastAsia" w:ascii="仿宋_GB2312" w:hAnsi="宋体" w:eastAsia="仿宋_GB2312"/>
        </w:rPr>
        <w:br w:type="page"/>
      </w:r>
    </w:p>
    <w:bookmarkEnd w:id="405"/>
    <w:p>
      <w:pPr>
        <w:pStyle w:val="4"/>
        <w:numPr>
          <w:ilvl w:val="2"/>
          <w:numId w:val="0"/>
        </w:numPr>
        <w:tabs>
          <w:tab w:val="clear" w:pos="900"/>
        </w:tabs>
        <w:spacing w:before="120" w:beforeLines="50" w:after="120" w:afterLines="50"/>
        <w:ind w:left="180"/>
        <w:jc w:val="center"/>
        <w:rPr>
          <w:rFonts w:ascii="仿宋_GB2312" w:eastAsia="仿宋_GB2312"/>
        </w:rPr>
      </w:pPr>
      <w:bookmarkStart w:id="419" w:name="第五部分"/>
      <w:bookmarkStart w:id="420" w:name="_Toc86217003"/>
      <w:r>
        <w:rPr>
          <w:rFonts w:hint="eastAsia" w:ascii="仿宋_GB2312" w:eastAsia="仿宋_GB2312"/>
        </w:rPr>
        <w:t>第五部分 合同主要条款</w:t>
      </w:r>
    </w:p>
    <w:p>
      <w:pPr>
        <w:widowControl/>
        <w:jc w:val="center"/>
        <w:textAlignment w:val="baseline"/>
        <w:rPr>
          <w:rStyle w:val="35"/>
          <w:rFonts w:ascii="宋体" w:hAnsi="宋体" w:cs="宋体"/>
          <w:b/>
          <w:sz w:val="28"/>
          <w:szCs w:val="28"/>
        </w:rPr>
      </w:pPr>
      <w:r>
        <w:rPr>
          <w:rStyle w:val="35"/>
          <w:rFonts w:hint="eastAsia" w:ascii="宋体" w:hAnsi="宋体" w:cs="宋体"/>
          <w:b/>
          <w:sz w:val="28"/>
          <w:szCs w:val="28"/>
        </w:rPr>
        <w:t>浙江大学国际健康医学研究院进口代理委托协议</w:t>
      </w:r>
    </w:p>
    <w:p>
      <w:pPr>
        <w:pStyle w:val="7"/>
        <w:tabs>
          <w:tab w:val="left" w:pos="8520"/>
        </w:tabs>
        <w:spacing w:before="84"/>
        <w:ind w:left="3901"/>
      </w:pPr>
    </w:p>
    <w:p>
      <w:pPr>
        <w:snapToGrid w:val="0"/>
        <w:spacing w:line="360" w:lineRule="auto"/>
        <w:jc w:val="center"/>
        <w:rPr>
          <w:rFonts w:ascii="宋体" w:hAnsi="宋体" w:cs="宋体"/>
          <w:sz w:val="24"/>
        </w:rPr>
      </w:pPr>
      <w:r>
        <w:rPr>
          <w:rFonts w:ascii="宋体" w:hAnsi="宋体" w:cs="宋体"/>
          <w:sz w:val="24"/>
        </w:rPr>
        <w:t xml:space="preserve">                                                                                        </w:t>
      </w:r>
    </w:p>
    <w:p>
      <w:pPr>
        <w:pStyle w:val="7"/>
        <w:tabs>
          <w:tab w:val="left" w:pos="3200"/>
          <w:tab w:val="left" w:pos="5859"/>
        </w:tabs>
        <w:ind w:right="170"/>
        <w:jc w:val="right"/>
        <w:rPr>
          <w:rFonts w:hAnsi="宋体" w:cs="宋体"/>
          <w:szCs w:val="24"/>
        </w:rPr>
      </w:pPr>
      <w:r>
        <w:rPr>
          <w:rFonts w:hint="eastAsia" w:hAnsi="宋体" w:cs="宋体"/>
          <w:szCs w:val="24"/>
        </w:rPr>
        <w:t xml:space="preserve">          签订地点：浙江.</w:t>
      </w:r>
      <w:r>
        <w:rPr>
          <w:rFonts w:hint="eastAsia" w:hAnsi="宋体" w:cs="宋体"/>
          <w:szCs w:val="24"/>
          <w:lang w:val="en-US" w:eastAsia="zh-Hans"/>
        </w:rPr>
        <w:t>义乌</w:t>
      </w:r>
      <w:r>
        <w:rPr>
          <w:rFonts w:hint="eastAsia" w:hAnsi="宋体" w:cs="宋体"/>
          <w:szCs w:val="24"/>
        </w:rPr>
        <w:t xml:space="preserve">  </w:t>
      </w:r>
    </w:p>
    <w:p>
      <w:pPr>
        <w:pStyle w:val="7"/>
        <w:tabs>
          <w:tab w:val="left" w:pos="3200"/>
          <w:tab w:val="left" w:pos="5859"/>
        </w:tabs>
        <w:ind w:right="610"/>
        <w:rPr>
          <w:rFonts w:hAnsi="宋体" w:cs="宋体"/>
          <w:szCs w:val="24"/>
        </w:rPr>
      </w:pPr>
      <w:r>
        <w:rPr>
          <w:rFonts w:hint="eastAsia" w:hAnsi="宋体" w:cs="宋体"/>
          <w:szCs w:val="24"/>
        </w:rPr>
        <w:t>委 托 方（甲方）：</w:t>
      </w:r>
      <w:r>
        <w:rPr>
          <w:rFonts w:hint="eastAsia" w:hAnsi="宋体" w:cs="宋体"/>
          <w:szCs w:val="24"/>
          <w:lang w:val="en-US"/>
        </w:rPr>
        <w:t>浙江大学国际健康医学研究院</w:t>
      </w:r>
      <w:r>
        <w:rPr>
          <w:rFonts w:hint="eastAsia" w:hAnsi="宋体" w:cs="宋体"/>
          <w:szCs w:val="24"/>
        </w:rPr>
        <w:tab/>
      </w:r>
      <w:r>
        <w:rPr>
          <w:rFonts w:hint="eastAsia" w:hAnsi="宋体" w:cs="宋体"/>
          <w:szCs w:val="24"/>
        </w:rPr>
        <w:t xml:space="preserve"> </w:t>
      </w:r>
    </w:p>
    <w:p>
      <w:pPr>
        <w:pStyle w:val="7"/>
        <w:tabs>
          <w:tab w:val="left" w:pos="3200"/>
          <w:tab w:val="left" w:pos="5859"/>
        </w:tabs>
        <w:ind w:right="-54"/>
        <w:rPr>
          <w:rFonts w:hAnsi="宋体" w:cs="宋体"/>
          <w:szCs w:val="24"/>
        </w:rPr>
      </w:pPr>
      <w:r>
        <w:rPr>
          <w:rFonts w:hint="eastAsia" w:hAnsi="宋体" w:cs="宋体"/>
          <w:szCs w:val="24"/>
        </w:rPr>
        <w:t>受委托方（乙方）：</w:t>
      </w:r>
      <w:r>
        <w:rPr>
          <w:rFonts w:hint="eastAsia" w:hAnsi="宋体" w:cs="宋体"/>
          <w:szCs w:val="24"/>
        </w:rPr>
        <w:tab/>
      </w:r>
    </w:p>
    <w:p>
      <w:pPr>
        <w:pStyle w:val="7"/>
        <w:ind w:right="259" w:firstLine="480" w:firstLineChars="200"/>
        <w:rPr>
          <w:rFonts w:hAnsi="宋体" w:cs="宋体"/>
          <w:szCs w:val="24"/>
        </w:rPr>
      </w:pPr>
      <w:r>
        <w:rPr>
          <w:rFonts w:hint="eastAsia" w:hAnsi="宋体" w:cs="宋体"/>
          <w:szCs w:val="24"/>
        </w:rPr>
        <w:t>根据招标结果，</w:t>
      </w:r>
      <w:r>
        <w:rPr>
          <w:rFonts w:hint="eastAsia" w:hAnsi="宋体" w:cs="宋体"/>
          <w:szCs w:val="24"/>
          <w:u w:val="single"/>
        </w:rPr>
        <w:t>浙江大学国际健康医学研究院2022-2023年度进口代理服务商遴选项目（项目编号：</w:t>
      </w:r>
      <w:r>
        <w:rPr>
          <w:rFonts w:hint="eastAsia" w:hAnsi="宋体" w:cs="宋体"/>
          <w:szCs w:val="24"/>
          <w:u w:val="single"/>
          <w:lang w:val="en-US"/>
        </w:rPr>
        <w:t xml:space="preserve">           </w:t>
      </w:r>
      <w:r>
        <w:rPr>
          <w:rFonts w:hint="eastAsia" w:hAnsi="宋体" w:cs="宋体"/>
          <w:szCs w:val="24"/>
          <w:u w:val="single"/>
        </w:rPr>
        <w:t>）</w:t>
      </w:r>
      <w:r>
        <w:rPr>
          <w:rFonts w:hint="eastAsia" w:hAnsi="宋体" w:cs="宋体"/>
          <w:szCs w:val="24"/>
        </w:rPr>
        <w:t>采购等有关事宜，确定乙方为浙江大学国际健康医学研究院进口代理服务商。经充分协商，自愿签订合同条款如下，供双方共同遵守履行：</w:t>
      </w:r>
    </w:p>
    <w:p>
      <w:pPr>
        <w:pStyle w:val="7"/>
        <w:ind w:right="259" w:firstLine="480" w:firstLineChars="200"/>
        <w:rPr>
          <w:rFonts w:hAnsi="宋体" w:cs="宋体"/>
          <w:szCs w:val="24"/>
        </w:rPr>
      </w:pPr>
      <w:r>
        <w:rPr>
          <w:rFonts w:hint="eastAsia" w:hAnsi="宋体" w:cs="宋体"/>
          <w:szCs w:val="24"/>
        </w:rPr>
        <w:t>甲乙双方在遵守国家有关法律法规的前提下，为顺利进行委托代理进口设备等项目，明确双方各自的责任、权利与义务，经友好协商，就有关事项达成如下协议。</w:t>
      </w:r>
    </w:p>
    <w:p>
      <w:pPr>
        <w:pStyle w:val="7"/>
        <w:ind w:left="690"/>
        <w:rPr>
          <w:rFonts w:hAnsi="宋体" w:cs="宋体"/>
          <w:b/>
          <w:bCs/>
          <w:szCs w:val="24"/>
        </w:rPr>
      </w:pPr>
      <w:r>
        <w:rPr>
          <w:rFonts w:hint="eastAsia" w:hAnsi="宋体" w:cs="宋体"/>
          <w:b/>
          <w:bCs/>
          <w:szCs w:val="24"/>
        </w:rPr>
        <w:t>一、授权范围</w:t>
      </w:r>
    </w:p>
    <w:p>
      <w:pPr>
        <w:pStyle w:val="7"/>
        <w:ind w:right="256" w:firstLine="559"/>
        <w:rPr>
          <w:rFonts w:hAnsi="宋体" w:cs="宋体"/>
          <w:szCs w:val="24"/>
        </w:rPr>
      </w:pPr>
      <w:r>
        <w:rPr>
          <w:rFonts w:hint="eastAsia" w:hAnsi="宋体" w:cs="宋体"/>
          <w:szCs w:val="24"/>
        </w:rPr>
        <w:t>甲方授权乙方,以甲方与成交供应商</w:t>
      </w:r>
      <w:r>
        <w:rPr>
          <w:rFonts w:hAnsi="宋体" w:cs="宋体"/>
          <w:szCs w:val="24"/>
        </w:rPr>
        <w:t>（</w:t>
      </w:r>
      <w:r>
        <w:rPr>
          <w:rFonts w:hint="eastAsia" w:hAnsi="宋体" w:cs="宋体"/>
          <w:szCs w:val="24"/>
          <w:lang w:val="en-US" w:eastAsia="zh-Hans"/>
        </w:rPr>
        <w:t>以下简称“供应商”</w:t>
      </w:r>
      <w:r>
        <w:rPr>
          <w:rFonts w:hAnsi="宋体" w:cs="宋体"/>
          <w:szCs w:val="24"/>
          <w:lang w:eastAsia="zh-Hans"/>
        </w:rPr>
        <w:t>）</w:t>
      </w:r>
      <w:r>
        <w:rPr>
          <w:rFonts w:hint="eastAsia" w:hAnsi="宋体" w:cs="宋体"/>
          <w:szCs w:val="24"/>
        </w:rPr>
        <w:t>的技术协议</w:t>
      </w:r>
      <w:r>
        <w:rPr>
          <w:rFonts w:hAnsi="宋体" w:cs="宋体"/>
          <w:szCs w:val="24"/>
        </w:rPr>
        <w:t>/</w:t>
      </w:r>
      <w:r>
        <w:rPr>
          <w:rFonts w:hint="eastAsia" w:hAnsi="宋体" w:cs="宋体"/>
          <w:szCs w:val="24"/>
          <w:lang w:val="en-US" w:eastAsia="zh-Hans"/>
        </w:rPr>
        <w:t>采购合同</w:t>
      </w:r>
      <w:r>
        <w:rPr>
          <w:rFonts w:hint="eastAsia" w:hAnsi="宋体" w:cs="宋体"/>
          <w:szCs w:val="24"/>
        </w:rPr>
        <w:t>为依据,对外与技术协议</w:t>
      </w:r>
      <w:r>
        <w:rPr>
          <w:rFonts w:hAnsi="宋体" w:cs="宋体"/>
          <w:szCs w:val="24"/>
        </w:rPr>
        <w:t>/</w:t>
      </w:r>
      <w:r>
        <w:rPr>
          <w:rFonts w:hint="eastAsia" w:hAnsi="宋体" w:cs="宋体"/>
          <w:szCs w:val="24"/>
          <w:lang w:val="en-US" w:eastAsia="zh-Hans"/>
        </w:rPr>
        <w:t>采购合同</w:t>
      </w:r>
      <w:r>
        <w:rPr>
          <w:rFonts w:hint="eastAsia" w:hAnsi="宋体" w:cs="宋体"/>
          <w:szCs w:val="24"/>
        </w:rPr>
        <w:t>中供应商指定的境外公司</w:t>
      </w:r>
      <w:r>
        <w:rPr>
          <w:rFonts w:hAnsi="宋体" w:cs="宋体"/>
          <w:szCs w:val="24"/>
        </w:rPr>
        <w:t>（</w:t>
      </w:r>
      <w:r>
        <w:rPr>
          <w:rFonts w:hint="eastAsia" w:hAnsi="宋体" w:cs="宋体"/>
          <w:szCs w:val="24"/>
          <w:lang w:val="en-US" w:eastAsia="zh-Hans"/>
        </w:rPr>
        <w:t>以下简称“境外公司”</w:t>
      </w:r>
      <w:r>
        <w:rPr>
          <w:rFonts w:hAnsi="宋体" w:cs="宋体"/>
          <w:szCs w:val="24"/>
          <w:lang w:eastAsia="zh-Hans"/>
        </w:rPr>
        <w:t>）</w:t>
      </w:r>
      <w:r>
        <w:rPr>
          <w:rFonts w:hint="eastAsia" w:hAnsi="宋体" w:cs="宋体"/>
          <w:szCs w:val="24"/>
        </w:rPr>
        <w:t>签订进口外贸合同，并为甲方代为办理合同所涉及进口设备的相关事宜。</w:t>
      </w:r>
    </w:p>
    <w:p>
      <w:pPr>
        <w:pStyle w:val="7"/>
        <w:ind w:left="690"/>
        <w:rPr>
          <w:rFonts w:hAnsi="宋体" w:cs="宋体"/>
          <w:b/>
          <w:bCs/>
          <w:szCs w:val="24"/>
        </w:rPr>
      </w:pPr>
      <w:r>
        <w:rPr>
          <w:rFonts w:hint="eastAsia" w:hAnsi="宋体" w:cs="宋体"/>
          <w:b/>
          <w:bCs/>
          <w:szCs w:val="24"/>
        </w:rPr>
        <w:t>二、责任与义务</w:t>
      </w:r>
    </w:p>
    <w:p>
      <w:pPr>
        <w:pStyle w:val="7"/>
        <w:ind w:left="680"/>
        <w:rPr>
          <w:rFonts w:hAnsi="宋体" w:cs="宋体"/>
          <w:b/>
          <w:bCs/>
          <w:szCs w:val="24"/>
        </w:rPr>
      </w:pPr>
      <w:r>
        <w:rPr>
          <w:rFonts w:hint="eastAsia" w:hAnsi="宋体" w:cs="宋体"/>
          <w:b/>
          <w:bCs/>
          <w:spacing w:val="-1"/>
          <w:szCs w:val="24"/>
        </w:rPr>
        <w:t>（</w:t>
      </w:r>
      <w:r>
        <w:rPr>
          <w:rFonts w:hint="eastAsia" w:hAnsi="宋体" w:cs="宋体"/>
          <w:b/>
          <w:bCs/>
          <w:spacing w:val="-3"/>
          <w:szCs w:val="24"/>
        </w:rPr>
        <w:t>一</w:t>
      </w:r>
      <w:r>
        <w:rPr>
          <w:rFonts w:hint="eastAsia" w:hAnsi="宋体" w:cs="宋体"/>
          <w:b/>
          <w:bCs/>
          <w:spacing w:val="-1"/>
          <w:szCs w:val="24"/>
        </w:rPr>
        <w:t>）甲方</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1.做好订货的前期准备工作，向乙方提供已确认的进口</w:t>
      </w:r>
      <w:r>
        <w:rPr>
          <w:rFonts w:hint="eastAsia" w:ascii="宋体" w:hAnsi="宋体" w:cs="宋体"/>
          <w:sz w:val="24"/>
          <w:lang w:eastAsia="zh-Hans"/>
        </w:rPr>
        <w:t>设备</w:t>
      </w:r>
      <w:r>
        <w:rPr>
          <w:rFonts w:hint="eastAsia" w:ascii="宋体" w:hAnsi="宋体" w:cs="宋体"/>
          <w:sz w:val="24"/>
        </w:rPr>
        <w:t>的品名、型号规格、配置配件、技术要求、价格、制造厂商或生产国别、</w:t>
      </w:r>
      <w:r>
        <w:rPr>
          <w:rFonts w:hint="eastAsia" w:ascii="宋体" w:hAnsi="宋体" w:cs="宋体"/>
          <w:spacing w:val="-3"/>
          <w:sz w:val="24"/>
        </w:rPr>
        <w:t>售后服务等相关书面资料。</w:t>
      </w:r>
    </w:p>
    <w:p>
      <w:pPr>
        <w:pStyle w:val="36"/>
        <w:tabs>
          <w:tab w:val="left" w:pos="964"/>
        </w:tabs>
        <w:spacing w:line="360" w:lineRule="auto"/>
        <w:ind w:right="259" w:firstLine="480" w:firstLineChars="200"/>
        <w:rPr>
          <w:rFonts w:ascii="宋体" w:hAnsi="宋体" w:cs="宋体"/>
          <w:sz w:val="24"/>
        </w:rPr>
      </w:pPr>
      <w:r>
        <w:rPr>
          <w:rFonts w:hint="eastAsia" w:ascii="宋体" w:hAnsi="宋体" w:cs="宋体"/>
          <w:sz w:val="24"/>
        </w:rPr>
        <w:t>2.协助乙方做好有关海关免税、机电设备进口许可、进口商品检验检疫、最终用途说明等进口审批手续。如因甲方原因导致未能及时</w:t>
      </w:r>
      <w:r>
        <w:rPr>
          <w:rFonts w:hint="eastAsia" w:ascii="宋体" w:hAnsi="宋体" w:cs="宋体"/>
          <w:spacing w:val="-3"/>
          <w:sz w:val="24"/>
        </w:rPr>
        <w:t>办妥进口减免税手续而导致增加的海关清关及仓储费用由甲方承担。</w:t>
      </w:r>
    </w:p>
    <w:p>
      <w:pPr>
        <w:pStyle w:val="36"/>
        <w:tabs>
          <w:tab w:val="left" w:pos="964"/>
        </w:tabs>
        <w:spacing w:line="360" w:lineRule="auto"/>
        <w:ind w:left="0" w:right="259" w:firstLine="600" w:firstLineChars="250"/>
        <w:jc w:val="left"/>
        <w:rPr>
          <w:rFonts w:ascii="宋体" w:hAnsi="宋体" w:cs="宋体"/>
          <w:sz w:val="24"/>
        </w:rPr>
      </w:pPr>
      <w:r>
        <w:rPr>
          <w:rFonts w:hint="eastAsia" w:ascii="宋体" w:hAnsi="宋体" w:cs="宋体"/>
          <w:sz w:val="24"/>
        </w:rPr>
        <w:t>3.根据技术协议</w:t>
      </w:r>
      <w:r>
        <w:rPr>
          <w:rFonts w:ascii="宋体" w:hAnsi="宋体" w:cs="宋体"/>
          <w:sz w:val="24"/>
        </w:rPr>
        <w:t>/</w:t>
      </w:r>
      <w:r>
        <w:rPr>
          <w:rFonts w:hint="eastAsia" w:ascii="宋体" w:hAnsi="宋体" w:cs="宋体"/>
          <w:sz w:val="24"/>
          <w:lang w:eastAsia="zh-Hans"/>
        </w:rPr>
        <w:t>采购合同</w:t>
      </w:r>
      <w:r>
        <w:rPr>
          <w:rFonts w:hint="eastAsia" w:ascii="宋体" w:hAnsi="宋体" w:cs="宋体"/>
          <w:sz w:val="24"/>
        </w:rPr>
        <w:t>规定和甲乙双方约定及时支付货款。</w:t>
      </w:r>
    </w:p>
    <w:p>
      <w:pPr>
        <w:pStyle w:val="36"/>
        <w:tabs>
          <w:tab w:val="left" w:pos="964"/>
        </w:tabs>
        <w:spacing w:line="360" w:lineRule="auto"/>
        <w:ind w:right="259" w:firstLine="480" w:firstLineChars="200"/>
        <w:jc w:val="left"/>
        <w:rPr>
          <w:rFonts w:ascii="宋体" w:hAnsi="宋体" w:cs="宋体"/>
          <w:sz w:val="24"/>
        </w:rPr>
      </w:pPr>
      <w:r>
        <w:rPr>
          <w:rFonts w:hint="eastAsia" w:ascii="宋体" w:hAnsi="宋体" w:cs="宋体"/>
          <w:sz w:val="24"/>
        </w:rPr>
        <w:t>4.负责做好进口设备的验收及调试工作，如发现质量、数量等问题，及时在法定的或外贸合同规定的索赔有效期限内通知乙方，</w:t>
      </w:r>
      <w:r>
        <w:rPr>
          <w:rFonts w:hint="eastAsia" w:ascii="宋体" w:hAnsi="宋体" w:cs="宋体"/>
          <w:spacing w:val="-3"/>
          <w:sz w:val="24"/>
        </w:rPr>
        <w:t>以便乙方及时做好对外交涉、理赔工作。</w:t>
      </w:r>
    </w:p>
    <w:p>
      <w:pPr>
        <w:pStyle w:val="36"/>
        <w:tabs>
          <w:tab w:val="left" w:pos="964"/>
        </w:tabs>
        <w:spacing w:line="360" w:lineRule="auto"/>
        <w:ind w:right="259" w:firstLine="448" w:firstLineChars="200"/>
        <w:rPr>
          <w:rFonts w:ascii="宋体" w:hAnsi="宋体" w:cs="宋体"/>
          <w:sz w:val="24"/>
        </w:rPr>
      </w:pPr>
      <w:r>
        <w:rPr>
          <w:rFonts w:hint="eastAsia" w:ascii="宋体" w:hAnsi="宋体" w:cs="宋体"/>
          <w:spacing w:val="-8"/>
          <w:sz w:val="24"/>
        </w:rPr>
        <w:t>5.为防范资金风险，甲方可在需要时要求乙方提供月度或年度资</w:t>
      </w:r>
      <w:r>
        <w:rPr>
          <w:rFonts w:hint="eastAsia" w:ascii="宋体" w:hAnsi="宋体" w:cs="宋体"/>
          <w:spacing w:val="-6"/>
          <w:sz w:val="24"/>
        </w:rPr>
        <w:t>产负债表、损益表和财务审计报告，可要求乙方提供直接经办人的相</w:t>
      </w:r>
      <w:r>
        <w:rPr>
          <w:rFonts w:hint="eastAsia" w:ascii="宋体" w:hAnsi="宋体" w:cs="宋体"/>
          <w:spacing w:val="-2"/>
          <w:sz w:val="24"/>
        </w:rPr>
        <w:t>关信息。</w:t>
      </w:r>
    </w:p>
    <w:p>
      <w:pPr>
        <w:pStyle w:val="7"/>
        <w:ind w:left="680"/>
        <w:rPr>
          <w:rFonts w:hAnsi="宋体" w:cs="宋体"/>
          <w:b/>
          <w:bCs/>
          <w:szCs w:val="24"/>
        </w:rPr>
      </w:pPr>
    </w:p>
    <w:p>
      <w:pPr>
        <w:pStyle w:val="7"/>
        <w:ind w:firstLine="361" w:firstLineChars="150"/>
        <w:rPr>
          <w:rFonts w:hAnsi="宋体" w:cs="宋体"/>
          <w:b/>
          <w:bCs/>
          <w:szCs w:val="24"/>
        </w:rPr>
      </w:pPr>
      <w:r>
        <w:rPr>
          <w:rFonts w:hint="eastAsia" w:hAnsi="宋体" w:cs="宋体"/>
          <w:b/>
          <w:bCs/>
          <w:szCs w:val="24"/>
        </w:rPr>
        <w:t>（二）乙方</w:t>
      </w:r>
    </w:p>
    <w:p>
      <w:pPr>
        <w:pStyle w:val="36"/>
        <w:tabs>
          <w:tab w:val="left" w:pos="964"/>
        </w:tabs>
        <w:spacing w:line="360" w:lineRule="auto"/>
        <w:ind w:firstLine="480" w:firstLineChars="200"/>
        <w:rPr>
          <w:rFonts w:ascii="宋体" w:hAnsi="宋体" w:cs="宋体"/>
          <w:spacing w:val="-3"/>
          <w:sz w:val="24"/>
        </w:rPr>
      </w:pPr>
      <w:r>
        <w:rPr>
          <w:rFonts w:hint="eastAsia" w:ascii="宋体" w:hAnsi="宋体" w:cs="宋体"/>
          <w:sz w:val="24"/>
        </w:rPr>
        <w:t>1.乙方应根据甲方的技术协议</w:t>
      </w:r>
      <w:r>
        <w:rPr>
          <w:rFonts w:ascii="宋体" w:hAnsi="宋体" w:cs="宋体"/>
          <w:sz w:val="24"/>
        </w:rPr>
        <w:t>/</w:t>
      </w:r>
      <w:r>
        <w:rPr>
          <w:rFonts w:hint="eastAsia" w:ascii="宋体" w:hAnsi="宋体" w:cs="宋体"/>
          <w:sz w:val="24"/>
          <w:lang w:eastAsia="zh-Hans"/>
        </w:rPr>
        <w:t>采购合同</w:t>
      </w:r>
      <w:r>
        <w:rPr>
          <w:rFonts w:hint="eastAsia" w:ascii="宋体" w:hAnsi="宋体" w:cs="宋体"/>
          <w:sz w:val="24"/>
        </w:rPr>
        <w:t>对外签订外贸合同，并按甲方要求将一份外贸合同原件交给甲方备案。如因乙方未按技术协议</w:t>
      </w:r>
      <w:r>
        <w:rPr>
          <w:rFonts w:ascii="宋体" w:hAnsi="宋体" w:cs="宋体"/>
          <w:sz w:val="24"/>
        </w:rPr>
        <w:t>/</w:t>
      </w:r>
      <w:r>
        <w:rPr>
          <w:rFonts w:hint="eastAsia" w:ascii="宋体" w:hAnsi="宋体" w:cs="宋体"/>
          <w:sz w:val="24"/>
          <w:lang w:eastAsia="zh-Hans"/>
        </w:rPr>
        <w:t>采购合同</w:t>
      </w:r>
      <w:r>
        <w:rPr>
          <w:rFonts w:hint="eastAsia" w:ascii="宋体" w:hAnsi="宋体" w:cs="宋体"/>
          <w:sz w:val="24"/>
        </w:rPr>
        <w:t>相关条款签订外贸合同导致甲方损失的，所造成的损失全部由乙方负责。乙方有义</w:t>
      </w:r>
      <w:r>
        <w:rPr>
          <w:rFonts w:hint="eastAsia" w:ascii="宋体" w:hAnsi="宋体" w:cs="宋体"/>
          <w:spacing w:val="-3"/>
          <w:sz w:val="24"/>
        </w:rPr>
        <w:t>务在商务谈判中协助甲方把关。</w:t>
      </w:r>
    </w:p>
    <w:p>
      <w:pPr>
        <w:pStyle w:val="36"/>
        <w:tabs>
          <w:tab w:val="left" w:pos="964"/>
        </w:tabs>
        <w:spacing w:line="360" w:lineRule="auto"/>
        <w:ind w:firstLine="468" w:firstLineChars="200"/>
        <w:rPr>
          <w:rFonts w:ascii="宋体" w:hAnsi="宋体" w:cs="宋体"/>
          <w:spacing w:val="-3"/>
          <w:sz w:val="24"/>
        </w:rPr>
      </w:pPr>
      <w:r>
        <w:rPr>
          <w:rFonts w:hint="eastAsia" w:ascii="宋体" w:hAnsi="宋体" w:cs="宋体"/>
          <w:spacing w:val="-3"/>
          <w:sz w:val="24"/>
        </w:rPr>
        <w:t>2.进口</w:t>
      </w:r>
      <w:r>
        <w:rPr>
          <w:rFonts w:hint="eastAsia" w:ascii="宋体" w:hAnsi="宋体" w:cs="宋体"/>
          <w:spacing w:val="-3"/>
          <w:sz w:val="24"/>
          <w:lang w:eastAsia="zh-Hans"/>
        </w:rPr>
        <w:t>设备</w:t>
      </w:r>
      <w:r>
        <w:rPr>
          <w:rFonts w:hint="eastAsia" w:ascii="宋体" w:hAnsi="宋体" w:cs="宋体"/>
          <w:spacing w:val="-3"/>
          <w:sz w:val="24"/>
        </w:rPr>
        <w:t>如果存在</w:t>
      </w:r>
      <w:r>
        <w:rPr>
          <w:rFonts w:ascii="宋体" w:hAnsi="宋体" w:cs="宋体"/>
          <w:spacing w:val="-3"/>
          <w:sz w:val="24"/>
        </w:rPr>
        <w:t>3</w:t>
      </w:r>
      <w:r>
        <w:rPr>
          <w:rFonts w:hint="eastAsia" w:ascii="宋体" w:hAnsi="宋体" w:cs="宋体"/>
          <w:spacing w:val="-3"/>
          <w:sz w:val="24"/>
          <w:lang w:eastAsia="zh-Hans"/>
        </w:rPr>
        <w:t>C</w:t>
      </w:r>
      <w:r>
        <w:rPr>
          <w:rFonts w:hint="eastAsia" w:ascii="宋体" w:hAnsi="宋体" w:cs="宋体"/>
          <w:spacing w:val="-3"/>
          <w:sz w:val="24"/>
        </w:rPr>
        <w:t>认证</w:t>
      </w:r>
      <w:r>
        <w:rPr>
          <w:rFonts w:hint="eastAsia" w:ascii="宋体" w:hAnsi="宋体" w:cs="宋体"/>
          <w:spacing w:val="-3"/>
          <w:sz w:val="24"/>
          <w:lang w:eastAsia="zh-Hans"/>
        </w:rPr>
        <w:t>等</w:t>
      </w:r>
      <w:r>
        <w:rPr>
          <w:rFonts w:hint="eastAsia" w:ascii="宋体" w:hAnsi="宋体" w:cs="宋体"/>
          <w:spacing w:val="-3"/>
          <w:sz w:val="24"/>
        </w:rPr>
        <w:t>相关问题，</w:t>
      </w:r>
      <w:r>
        <w:rPr>
          <w:rFonts w:hint="eastAsia" w:ascii="宋体" w:hAnsi="宋体" w:cs="宋体"/>
          <w:spacing w:val="-3"/>
          <w:sz w:val="24"/>
          <w:lang w:eastAsia="zh-Hans"/>
        </w:rPr>
        <w:t>乙方</w:t>
      </w:r>
      <w:r>
        <w:rPr>
          <w:rFonts w:hint="eastAsia" w:ascii="宋体" w:hAnsi="宋体" w:cs="宋体"/>
          <w:spacing w:val="-3"/>
          <w:sz w:val="24"/>
        </w:rPr>
        <w:t>应提前告知协助解决，如</w:t>
      </w:r>
      <w:r>
        <w:rPr>
          <w:rFonts w:hint="eastAsia" w:ascii="宋体" w:hAnsi="宋体" w:cs="宋体"/>
          <w:spacing w:val="-3"/>
          <w:sz w:val="24"/>
          <w:lang w:eastAsia="zh-Hans"/>
        </w:rPr>
        <w:t>因</w:t>
      </w:r>
      <w:r>
        <w:rPr>
          <w:rFonts w:hint="eastAsia" w:ascii="宋体" w:hAnsi="宋体" w:cs="宋体"/>
          <w:spacing w:val="-3"/>
          <w:sz w:val="24"/>
        </w:rPr>
        <w:t>认证问题无法进关，造成的损失由乙方承担。</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3.在甲方密切配合下，乙方负责办理进口</w:t>
      </w:r>
      <w:r>
        <w:rPr>
          <w:rFonts w:hint="eastAsia" w:ascii="宋体" w:hAnsi="宋体" w:cs="宋体"/>
          <w:sz w:val="24"/>
          <w:lang w:eastAsia="zh-Hans"/>
        </w:rPr>
        <w:t>设备</w:t>
      </w:r>
      <w:r>
        <w:rPr>
          <w:rFonts w:hint="eastAsia" w:ascii="宋体" w:hAnsi="宋体" w:cs="宋体"/>
          <w:sz w:val="24"/>
        </w:rPr>
        <w:t>有关的海关免税、机电设备进口许可、进口商品检验检疫、最终用途说明等进口审批手续，由于乙方原因使得进口免税手续未能及时办妥而导致增加的海关</w:t>
      </w:r>
      <w:r>
        <w:rPr>
          <w:rFonts w:hint="eastAsia" w:ascii="宋体" w:hAnsi="宋体" w:cs="宋体"/>
          <w:spacing w:val="-3"/>
          <w:sz w:val="24"/>
        </w:rPr>
        <w:t>清关及仓储费用由乙方承担。</w:t>
      </w:r>
    </w:p>
    <w:p>
      <w:pPr>
        <w:pStyle w:val="36"/>
        <w:tabs>
          <w:tab w:val="left" w:pos="964"/>
        </w:tabs>
        <w:spacing w:line="360" w:lineRule="auto"/>
        <w:ind w:right="117" w:firstLine="460" w:firstLineChars="200"/>
        <w:rPr>
          <w:rFonts w:ascii="宋体" w:hAnsi="宋体" w:cs="宋体"/>
          <w:sz w:val="24"/>
        </w:rPr>
      </w:pPr>
      <w:r>
        <w:rPr>
          <w:rFonts w:hint="eastAsia" w:ascii="宋体" w:hAnsi="宋体" w:cs="宋体"/>
          <w:spacing w:val="-5"/>
          <w:sz w:val="24"/>
        </w:rPr>
        <w:t>4.乙方应根据外贸合同积极实施对外履约，负责对外开证、购汇、</w:t>
      </w:r>
      <w:r>
        <w:rPr>
          <w:rFonts w:hint="eastAsia" w:ascii="宋体" w:hAnsi="宋体" w:cs="宋体"/>
          <w:spacing w:val="-3"/>
          <w:sz w:val="24"/>
        </w:rPr>
        <w:t>付汇和对内结算等有关事宜，并协调有关商务事宜，付款方式为L/C的，满足开证条件下7个工作日内开具信用证并出具银行信用证报文；付款方式为后T/T的，须在收到采购人提交的验收报告和货款后7个工作日内对外付汇并出具银行付汇凭证。</w:t>
      </w:r>
    </w:p>
    <w:p>
      <w:pPr>
        <w:pStyle w:val="36"/>
        <w:tabs>
          <w:tab w:val="left" w:pos="964"/>
        </w:tabs>
        <w:spacing w:line="360" w:lineRule="auto"/>
        <w:ind w:right="259" w:firstLine="480" w:firstLineChars="200"/>
        <w:rPr>
          <w:rFonts w:ascii="宋体" w:hAnsi="宋体" w:cs="宋体"/>
          <w:sz w:val="24"/>
        </w:rPr>
      </w:pPr>
      <w:r>
        <w:rPr>
          <w:rFonts w:hint="eastAsia" w:ascii="宋体" w:hAnsi="宋体" w:cs="宋体"/>
          <w:sz w:val="24"/>
        </w:rPr>
        <w:t>5.在</w:t>
      </w:r>
      <w:r>
        <w:rPr>
          <w:rFonts w:hint="eastAsia" w:ascii="宋体" w:hAnsi="宋体" w:cs="宋体"/>
          <w:sz w:val="24"/>
          <w:lang w:eastAsia="zh-Hans"/>
        </w:rPr>
        <w:t>进口设备</w:t>
      </w:r>
      <w:r>
        <w:rPr>
          <w:rFonts w:hint="eastAsia" w:ascii="宋体" w:hAnsi="宋体" w:cs="宋体"/>
          <w:sz w:val="24"/>
        </w:rPr>
        <w:t>到达外贸合同规定港</w:t>
      </w:r>
      <w:r>
        <w:rPr>
          <w:rFonts w:hint="eastAsia" w:ascii="宋体" w:hAnsi="宋体" w:cs="宋体"/>
          <w:spacing w:val="4"/>
          <w:sz w:val="24"/>
        </w:rPr>
        <w:t>（</w:t>
      </w:r>
      <w:r>
        <w:rPr>
          <w:rFonts w:hint="eastAsia" w:ascii="宋体" w:hAnsi="宋体" w:cs="宋体"/>
          <w:sz w:val="24"/>
        </w:rPr>
        <w:t>站）后，乙方应及时办理进口清</w:t>
      </w:r>
      <w:r>
        <w:rPr>
          <w:rFonts w:hint="eastAsia" w:ascii="宋体" w:hAnsi="宋体" w:cs="宋体"/>
          <w:spacing w:val="-3"/>
          <w:sz w:val="24"/>
        </w:rPr>
        <w:t>关手续，并将</w:t>
      </w:r>
      <w:r>
        <w:rPr>
          <w:rFonts w:hint="eastAsia" w:ascii="宋体" w:hAnsi="宋体" w:cs="宋体"/>
          <w:sz w:val="24"/>
          <w:lang w:eastAsia="zh-Hans"/>
        </w:rPr>
        <w:t>进口设备</w:t>
      </w:r>
      <w:r>
        <w:rPr>
          <w:rFonts w:hint="eastAsia" w:ascii="宋体" w:hAnsi="宋体" w:cs="宋体"/>
          <w:spacing w:val="-3"/>
          <w:sz w:val="24"/>
        </w:rPr>
        <w:t>送到</w:t>
      </w:r>
      <w:r>
        <w:rPr>
          <w:rFonts w:hint="eastAsia" w:ascii="宋体" w:hAnsi="宋体" w:cs="宋体"/>
          <w:spacing w:val="-3"/>
          <w:sz w:val="24"/>
          <w:lang w:eastAsia="zh-Hans"/>
        </w:rPr>
        <w:t>甲方</w:t>
      </w:r>
      <w:r>
        <w:rPr>
          <w:rFonts w:hint="eastAsia" w:ascii="宋体" w:hAnsi="宋体" w:cs="宋体"/>
          <w:spacing w:val="-3"/>
          <w:sz w:val="24"/>
        </w:rPr>
        <w:t>指定地点。</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6.进口设备到货后，乙方应向甲方提供一套完整的进口单证。如进口设备发生质量、数量与外贸合同不符，应协助甲方做好商检，并</w:t>
      </w:r>
      <w:r>
        <w:rPr>
          <w:rFonts w:hint="eastAsia" w:ascii="宋体" w:hAnsi="宋体" w:cs="宋体"/>
          <w:spacing w:val="-9"/>
          <w:sz w:val="24"/>
        </w:rPr>
        <w:t xml:space="preserve">在接受到甲方提供的商检证书后，根据甲方的要求，在 </w:t>
      </w:r>
      <w:r>
        <w:rPr>
          <w:rFonts w:hint="eastAsia" w:ascii="宋体" w:hAnsi="宋体" w:cs="宋体"/>
          <w:sz w:val="24"/>
        </w:rPr>
        <w:t>10</w:t>
      </w:r>
      <w:r>
        <w:rPr>
          <w:rFonts w:hint="eastAsia" w:ascii="宋体" w:hAnsi="宋体" w:cs="宋体"/>
          <w:spacing w:val="-13"/>
          <w:sz w:val="24"/>
        </w:rPr>
        <w:t xml:space="preserve"> 个工作日内</w:t>
      </w:r>
      <w:r>
        <w:rPr>
          <w:rFonts w:hint="eastAsia" w:ascii="宋体" w:hAnsi="宋体" w:cs="宋体"/>
          <w:spacing w:val="-5"/>
          <w:sz w:val="24"/>
        </w:rPr>
        <w:t>启动索赔程序，负责向有关责任人交涉及索赔，责任人赔付后，乙方</w:t>
      </w:r>
      <w:r>
        <w:rPr>
          <w:rFonts w:hint="eastAsia" w:ascii="宋体" w:hAnsi="宋体" w:cs="宋体"/>
          <w:spacing w:val="-3"/>
          <w:sz w:val="24"/>
        </w:rPr>
        <w:t>应立即将款项拨付给甲方。</w:t>
      </w:r>
    </w:p>
    <w:p>
      <w:pPr>
        <w:pStyle w:val="36"/>
        <w:tabs>
          <w:tab w:val="left" w:pos="964"/>
        </w:tabs>
        <w:spacing w:line="360" w:lineRule="auto"/>
        <w:ind w:firstLine="480" w:firstLineChars="200"/>
        <w:rPr>
          <w:rFonts w:ascii="宋体" w:hAnsi="宋体" w:cs="宋体"/>
          <w:sz w:val="24"/>
        </w:rPr>
      </w:pPr>
      <w:r>
        <w:rPr>
          <w:rFonts w:hint="eastAsia" w:ascii="宋体" w:hAnsi="宋体" w:cs="宋体"/>
          <w:sz w:val="24"/>
        </w:rPr>
        <w:t>7.及时以周报方式向甲方通报外贸合同的执行情况、以月报方式向甲方通报收支情况。乙方每周五向甲方提供准确、及时的进口业务执行进展表，包括外贸</w:t>
      </w:r>
      <w:bookmarkStart w:id="426" w:name="_GoBack"/>
      <w:r>
        <w:rPr>
          <w:rFonts w:hint="eastAsia" w:ascii="宋体" w:hAnsi="宋体" w:cs="宋体"/>
          <w:sz w:val="24"/>
        </w:rPr>
        <w:t>合同签订</w:t>
      </w:r>
      <w:bookmarkEnd w:id="426"/>
      <w:r>
        <w:rPr>
          <w:rFonts w:hint="eastAsia" w:ascii="宋体" w:hAnsi="宋体" w:cs="宋体"/>
          <w:sz w:val="24"/>
        </w:rPr>
        <w:t>、免表及信用证办理、收付款、到货</w:t>
      </w:r>
      <w:r>
        <w:rPr>
          <w:rFonts w:hint="eastAsia" w:ascii="宋体" w:hAnsi="宋体" w:cs="宋体"/>
          <w:spacing w:val="-23"/>
          <w:sz w:val="24"/>
        </w:rPr>
        <w:t>及验收等情况。</w:t>
      </w:r>
    </w:p>
    <w:p>
      <w:pPr>
        <w:pStyle w:val="36"/>
        <w:tabs>
          <w:tab w:val="left" w:pos="964"/>
        </w:tabs>
        <w:spacing w:line="360" w:lineRule="auto"/>
        <w:ind w:right="259" w:firstLine="480" w:firstLineChars="200"/>
        <w:rPr>
          <w:rFonts w:ascii="宋体" w:hAnsi="宋体" w:cs="宋体"/>
          <w:spacing w:val="-3"/>
          <w:sz w:val="24"/>
        </w:rPr>
      </w:pPr>
      <w:r>
        <w:rPr>
          <w:rFonts w:hint="eastAsia" w:ascii="宋体" w:hAnsi="宋体" w:cs="宋体"/>
          <w:sz w:val="24"/>
        </w:rPr>
        <w:t>8.如由于乙方工作失误，造成</w:t>
      </w:r>
      <w:r>
        <w:rPr>
          <w:rFonts w:hint="eastAsia" w:ascii="宋体" w:hAnsi="宋体" w:cs="宋体"/>
          <w:sz w:val="24"/>
          <w:lang w:eastAsia="zh-Hans"/>
        </w:rPr>
        <w:t>进口设备</w:t>
      </w:r>
      <w:r>
        <w:rPr>
          <w:rFonts w:hint="eastAsia" w:ascii="宋体" w:hAnsi="宋体" w:cs="宋体"/>
          <w:sz w:val="24"/>
        </w:rPr>
        <w:t>不能及时清关而产生的海</w:t>
      </w:r>
      <w:r>
        <w:rPr>
          <w:rFonts w:hint="eastAsia" w:ascii="宋体" w:hAnsi="宋体" w:cs="宋体"/>
          <w:spacing w:val="-3"/>
          <w:sz w:val="24"/>
        </w:rPr>
        <w:t>关滞报金，超期仓储费等额外费用由乙方自行承担。</w:t>
      </w:r>
    </w:p>
    <w:p>
      <w:pPr>
        <w:pStyle w:val="36"/>
        <w:tabs>
          <w:tab w:val="left" w:pos="964"/>
        </w:tabs>
        <w:spacing w:line="360" w:lineRule="auto"/>
        <w:ind w:right="259" w:firstLine="480" w:firstLineChars="200"/>
        <w:rPr>
          <w:rFonts w:ascii="宋体" w:hAnsi="宋体" w:cs="宋体"/>
          <w:sz w:val="24"/>
        </w:rPr>
      </w:pPr>
      <w:r>
        <w:rPr>
          <w:rFonts w:hint="eastAsia" w:ascii="宋体" w:hAnsi="宋体" w:cs="宋体"/>
          <w:sz w:val="24"/>
        </w:rPr>
        <w:t>9.甲方经办人有不合理的要求，乙方有义务告知甲方负责人或纪</w:t>
      </w:r>
      <w:r>
        <w:rPr>
          <w:rFonts w:hint="eastAsia" w:ascii="宋体" w:hAnsi="宋体" w:cs="宋体"/>
          <w:spacing w:val="-2"/>
          <w:sz w:val="24"/>
        </w:rPr>
        <w:t>检部门。</w:t>
      </w:r>
    </w:p>
    <w:p>
      <w:pPr>
        <w:pStyle w:val="7"/>
        <w:ind w:firstLine="482" w:firstLineChars="200"/>
        <w:rPr>
          <w:rFonts w:hAnsi="宋体" w:cs="宋体"/>
          <w:b/>
          <w:bCs/>
          <w:szCs w:val="24"/>
        </w:rPr>
      </w:pPr>
      <w:r>
        <w:rPr>
          <w:rFonts w:hint="eastAsia" w:hAnsi="宋体" w:cs="宋体"/>
          <w:b/>
          <w:bCs/>
          <w:szCs w:val="24"/>
        </w:rPr>
        <w:t>三、支付与结算</w:t>
      </w:r>
    </w:p>
    <w:p>
      <w:pPr>
        <w:pStyle w:val="36"/>
        <w:tabs>
          <w:tab w:val="left" w:pos="1101"/>
        </w:tabs>
        <w:spacing w:line="360" w:lineRule="auto"/>
        <w:ind w:right="117" w:firstLine="452" w:firstLineChars="200"/>
        <w:rPr>
          <w:rFonts w:ascii="宋体" w:hAnsi="宋体" w:cs="宋体"/>
          <w:sz w:val="24"/>
        </w:rPr>
      </w:pPr>
      <w:r>
        <w:rPr>
          <w:rFonts w:ascii="宋体" w:hAnsi="宋体" w:cs="宋体"/>
          <w:spacing w:val="-7"/>
          <w:sz w:val="24"/>
        </w:rPr>
        <w:t>1</w:t>
      </w:r>
      <w:r>
        <w:rPr>
          <w:rFonts w:hint="eastAsia" w:ascii="宋体" w:hAnsi="宋体" w:cs="宋体"/>
          <w:spacing w:val="-7"/>
          <w:sz w:val="24"/>
        </w:rPr>
        <w:t>.</w:t>
      </w:r>
      <w:bookmarkStart w:id="421" w:name="_Hlk85046581"/>
      <w:r>
        <w:rPr>
          <w:rFonts w:hint="eastAsia" w:ascii="宋体" w:hAnsi="宋体" w:cs="宋体"/>
          <w:spacing w:val="-7"/>
          <w:sz w:val="24"/>
          <w:lang w:eastAsia="zh-Hans"/>
        </w:rPr>
        <w:t>乙方在签署外贸合同</w:t>
      </w:r>
      <w:r>
        <w:rPr>
          <w:rStyle w:val="35"/>
          <w:rFonts w:hint="eastAsia" w:ascii="宋体" w:hAnsi="宋体" w:cs="宋体"/>
          <w:sz w:val="24"/>
        </w:rPr>
        <w:t>、</w:t>
      </w:r>
      <w:r>
        <w:rPr>
          <w:rStyle w:val="35"/>
          <w:rFonts w:hint="eastAsia" w:ascii="宋体" w:hAnsi="宋体" w:cs="宋体"/>
          <w:sz w:val="24"/>
          <w:lang w:eastAsia="zh-Hans"/>
        </w:rPr>
        <w:t>办出免表后向银行申请开具信用证</w:t>
      </w:r>
      <w:r>
        <w:rPr>
          <w:rStyle w:val="35"/>
          <w:rFonts w:ascii="宋体" w:hAnsi="宋体" w:cs="宋体"/>
          <w:sz w:val="24"/>
          <w:lang w:eastAsia="zh-Hans"/>
        </w:rPr>
        <w:t>，</w:t>
      </w:r>
      <w:r>
        <w:rPr>
          <w:rStyle w:val="35"/>
          <w:rFonts w:hint="eastAsia" w:ascii="宋体" w:hAnsi="宋体" w:cs="宋体"/>
          <w:sz w:val="24"/>
          <w:lang w:eastAsia="zh-Hans"/>
        </w:rPr>
        <w:t>并通知甲方付款</w:t>
      </w:r>
      <w:r>
        <w:rPr>
          <w:rStyle w:val="35"/>
          <w:rFonts w:ascii="宋体" w:hAnsi="宋体" w:cs="宋体"/>
          <w:sz w:val="24"/>
          <w:lang w:eastAsia="zh-Hans"/>
        </w:rPr>
        <w:t>。</w:t>
      </w:r>
      <w:r>
        <w:rPr>
          <w:rStyle w:val="35"/>
          <w:rFonts w:hint="eastAsia" w:ascii="宋体" w:hAnsi="宋体" w:cs="宋体"/>
          <w:sz w:val="24"/>
          <w:lang w:eastAsia="zh-Hans"/>
        </w:rPr>
        <w:t>甲方见免表、信用证报文付</w:t>
      </w:r>
      <w:r>
        <w:rPr>
          <w:rStyle w:val="35"/>
          <w:rFonts w:hint="eastAsia" w:ascii="宋体" w:hAnsi="宋体" w:cs="宋体"/>
          <w:sz w:val="24"/>
        </w:rPr>
        <w:t>90%</w:t>
      </w:r>
      <w:r>
        <w:rPr>
          <w:rStyle w:val="35"/>
          <w:rFonts w:hint="eastAsia" w:ascii="宋体" w:hAnsi="宋体" w:cs="宋体"/>
          <w:sz w:val="24"/>
          <w:lang w:eastAsia="zh-Hans"/>
        </w:rPr>
        <w:t>给乙方</w:t>
      </w:r>
      <w:r>
        <w:rPr>
          <w:rStyle w:val="35"/>
          <w:rFonts w:ascii="宋体" w:hAnsi="宋体" w:cs="宋体"/>
          <w:sz w:val="24"/>
          <w:lang w:eastAsia="zh-Hans"/>
        </w:rPr>
        <w:t>。</w:t>
      </w:r>
      <w:bookmarkEnd w:id="421"/>
      <w:r>
        <w:rPr>
          <w:rFonts w:hint="eastAsia" w:ascii="宋体" w:hAnsi="宋体" w:cs="宋体"/>
          <w:spacing w:val="-3"/>
          <w:sz w:val="24"/>
          <w:lang w:eastAsia="zh-Hans"/>
        </w:rPr>
        <w:t>乙方与境外公司的付款方式具体以</w:t>
      </w:r>
      <w:r>
        <w:rPr>
          <w:rFonts w:hint="eastAsia" w:ascii="宋体" w:hAnsi="宋体" w:cs="宋体"/>
          <w:sz w:val="24"/>
        </w:rPr>
        <w:t>技术协议</w:t>
      </w:r>
      <w:r>
        <w:rPr>
          <w:rFonts w:ascii="宋体" w:hAnsi="宋体" w:cs="宋体"/>
          <w:sz w:val="24"/>
        </w:rPr>
        <w:t>/</w:t>
      </w:r>
      <w:r>
        <w:rPr>
          <w:rFonts w:hint="eastAsia" w:ascii="宋体" w:hAnsi="宋体" w:cs="宋体"/>
          <w:sz w:val="24"/>
          <w:lang w:eastAsia="zh-Hans"/>
        </w:rPr>
        <w:t>采购合同中约定的为准</w:t>
      </w:r>
      <w:r>
        <w:rPr>
          <w:rFonts w:ascii="宋体" w:hAnsi="宋体" w:cs="宋体"/>
          <w:sz w:val="24"/>
          <w:lang w:eastAsia="zh-Hans"/>
        </w:rPr>
        <w:t>。</w:t>
      </w:r>
    </w:p>
    <w:p>
      <w:pPr>
        <w:pStyle w:val="36"/>
        <w:tabs>
          <w:tab w:val="left" w:pos="1101"/>
        </w:tabs>
        <w:spacing w:line="360" w:lineRule="auto"/>
        <w:ind w:left="0" w:right="117" w:firstLine="480" w:firstLineChars="200"/>
        <w:rPr>
          <w:rFonts w:ascii="宋体" w:hAnsi="宋体" w:cs="宋体"/>
          <w:sz w:val="24"/>
        </w:rPr>
      </w:pPr>
      <w:r>
        <w:rPr>
          <w:rFonts w:ascii="宋体" w:hAnsi="宋体" w:cs="宋体"/>
          <w:sz w:val="24"/>
        </w:rPr>
        <w:t>2</w:t>
      </w:r>
      <w:r>
        <w:rPr>
          <w:rFonts w:hint="eastAsia" w:ascii="宋体" w:hAnsi="宋体" w:cs="宋体"/>
          <w:sz w:val="24"/>
        </w:rPr>
        <w:t>.除货款外，进口环节涉及的费用有</w:t>
      </w:r>
      <w:r>
        <w:rPr>
          <w:rFonts w:hint="eastAsia" w:ascii="宋体" w:hAnsi="宋体" w:cs="宋体"/>
          <w:sz w:val="24"/>
          <w:lang w:eastAsia="zh-Hans"/>
        </w:rPr>
        <w:t>乙方</w:t>
      </w:r>
      <w:r>
        <w:rPr>
          <w:rFonts w:hint="eastAsia" w:ascii="宋体" w:hAnsi="宋体" w:cs="宋体"/>
          <w:sz w:val="24"/>
        </w:rPr>
        <w:t>的服务费和代收费用，以及可能的关税及进口环节增值税、消费税。为合理计费，将进</w:t>
      </w:r>
      <w:r>
        <w:rPr>
          <w:rFonts w:hint="eastAsia" w:ascii="宋体" w:hAnsi="宋体" w:cs="宋体"/>
          <w:sz w:val="24"/>
          <w:lang w:eastAsia="zh-Hans"/>
        </w:rPr>
        <w:t>属地港</w:t>
      </w:r>
      <w:r>
        <w:rPr>
          <w:rFonts w:hint="eastAsia" w:ascii="宋体" w:hAnsi="宋体" w:cs="宋体"/>
          <w:sz w:val="24"/>
        </w:rPr>
        <w:t>安装及约定的常规方式产生的代收费特指为常规代收费，将因</w:t>
      </w:r>
      <w:r>
        <w:rPr>
          <w:rFonts w:hint="eastAsia" w:ascii="宋体" w:hAnsi="宋体" w:cs="宋体"/>
          <w:sz w:val="24"/>
          <w:lang w:eastAsia="zh-Hans"/>
        </w:rPr>
        <w:t>供应商</w:t>
      </w:r>
      <w:r>
        <w:rPr>
          <w:rFonts w:hint="eastAsia" w:ascii="宋体" w:hAnsi="宋体" w:cs="宋体"/>
          <w:sz w:val="24"/>
        </w:rPr>
        <w:t>或</w:t>
      </w:r>
      <w:r>
        <w:rPr>
          <w:rFonts w:hint="eastAsia" w:ascii="宋体" w:hAnsi="宋体" w:cs="宋体"/>
          <w:sz w:val="24"/>
          <w:lang w:eastAsia="zh-Hans"/>
        </w:rPr>
        <w:t>甲方</w:t>
      </w:r>
      <w:r>
        <w:rPr>
          <w:rFonts w:hint="eastAsia" w:ascii="宋体" w:hAnsi="宋体" w:cs="宋体"/>
          <w:sz w:val="24"/>
        </w:rPr>
        <w:t>原因改变常规方式产生的额外费用称为额外代收费。服务费和常规代收费根据外贸合同金额按下表费率包干计算</w:t>
      </w:r>
      <w:r>
        <w:rPr>
          <w:rFonts w:ascii="宋体" w:hAnsi="宋体" w:cs="宋体"/>
          <w:sz w:val="24"/>
        </w:rPr>
        <w:t>：</w:t>
      </w:r>
    </w:p>
    <w:tbl>
      <w:tblPr>
        <w:tblStyle w:val="18"/>
        <w:tblpPr w:leftFromText="180" w:rightFromText="180" w:vertAnchor="text" w:horzAnchor="page" w:tblpX="2236" w:tblpY="244"/>
        <w:tblOverlap w:val="never"/>
        <w:tblW w:w="7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5"/>
        <w:gridCol w:w="2355"/>
        <w:gridCol w:w="1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lang w:eastAsia="zh-Hans"/>
              </w:rPr>
              <w:t>外贸合同</w:t>
            </w:r>
            <w:r>
              <w:rPr>
                <w:rStyle w:val="35"/>
                <w:rFonts w:hint="eastAsia" w:ascii="宋体" w:hAnsi="宋体" w:cs="宋体"/>
                <w:sz w:val="24"/>
              </w:rPr>
              <w:t>金额</w:t>
            </w:r>
          </w:p>
          <w:p>
            <w:pPr>
              <w:spacing w:line="360" w:lineRule="auto"/>
              <w:jc w:val="center"/>
              <w:rPr>
                <w:rStyle w:val="35"/>
                <w:rFonts w:ascii="宋体" w:hAnsi="宋体" w:cs="宋体"/>
                <w:sz w:val="24"/>
              </w:rPr>
            </w:pPr>
            <w:r>
              <w:rPr>
                <w:rStyle w:val="35"/>
                <w:rFonts w:hint="eastAsia" w:ascii="宋体" w:hAnsi="宋体" w:cs="宋体"/>
                <w:sz w:val="24"/>
              </w:rPr>
              <w:t>(</w:t>
            </w:r>
            <w:r>
              <w:rPr>
                <w:rStyle w:val="35"/>
                <w:rFonts w:hint="eastAsia" w:ascii="宋体" w:hAnsi="宋体" w:cs="宋体"/>
                <w:sz w:val="24"/>
                <w:lang w:eastAsia="zh-Hans"/>
              </w:rPr>
              <w:t>人民币金额</w:t>
            </w:r>
            <w:r>
              <w:rPr>
                <w:rStyle w:val="35"/>
                <w:rFonts w:ascii="宋体" w:hAnsi="宋体" w:cs="宋体"/>
                <w:sz w:val="24"/>
                <w:lang w:eastAsia="zh-Hans"/>
              </w:rPr>
              <w:t>/</w:t>
            </w:r>
            <w:r>
              <w:rPr>
                <w:rStyle w:val="35"/>
                <w:rFonts w:hint="eastAsia" w:ascii="宋体" w:hAnsi="宋体" w:cs="宋体"/>
                <w:sz w:val="24"/>
                <w:lang w:eastAsia="zh-Hans"/>
              </w:rPr>
              <w:t>单票</w:t>
            </w:r>
            <w:r>
              <w:rPr>
                <w:rStyle w:val="35"/>
                <w:rFonts w:hint="eastAsia" w:ascii="宋体" w:hAnsi="宋体" w:cs="宋体"/>
                <w:sz w:val="24"/>
              </w:rPr>
              <w:t>)</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代理费率报价</w:t>
            </w: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1</w:t>
            </w:r>
            <w:r>
              <w:rPr>
                <w:rStyle w:val="35"/>
                <w:rFonts w:ascii="宋体" w:hAnsi="宋体" w:cs="宋体"/>
                <w:sz w:val="24"/>
              </w:rPr>
              <w:t>0</w:t>
            </w:r>
            <w:r>
              <w:rPr>
                <w:rStyle w:val="35"/>
                <w:rFonts w:hint="eastAsia" w:ascii="宋体" w:hAnsi="宋体" w:cs="宋体"/>
                <w:sz w:val="24"/>
              </w:rPr>
              <w:t>万以下</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固定收费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10</w:t>
            </w:r>
            <w:r>
              <w:rPr>
                <w:rStyle w:val="35"/>
                <w:rFonts w:hint="eastAsia" w:ascii="宋体" w:hAnsi="宋体" w:cs="宋体"/>
                <w:sz w:val="24"/>
              </w:rPr>
              <w:t>-</w:t>
            </w:r>
            <w:r>
              <w:rPr>
                <w:rStyle w:val="35"/>
                <w:rFonts w:ascii="宋体" w:hAnsi="宋体" w:cs="宋体"/>
                <w:sz w:val="24"/>
              </w:rPr>
              <w:t>3</w:t>
            </w:r>
            <w:r>
              <w:rPr>
                <w:rStyle w:val="35"/>
                <w:rFonts w:hint="eastAsia" w:ascii="宋体" w:hAnsi="宋体" w:cs="宋体"/>
                <w:sz w:val="24"/>
              </w:rPr>
              <w:t>5)万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3</w:t>
            </w:r>
            <w:r>
              <w:rPr>
                <w:rStyle w:val="35"/>
                <w:rFonts w:hint="eastAsia" w:ascii="宋体" w:hAnsi="宋体" w:cs="宋体"/>
                <w:sz w:val="24"/>
              </w:rPr>
              <w:t>5-</w:t>
            </w:r>
            <w:r>
              <w:rPr>
                <w:rStyle w:val="35"/>
                <w:rFonts w:ascii="宋体" w:hAnsi="宋体" w:cs="宋体"/>
                <w:sz w:val="24"/>
              </w:rPr>
              <w:t>7</w:t>
            </w:r>
            <w:r>
              <w:rPr>
                <w:rStyle w:val="35"/>
                <w:rFonts w:hint="eastAsia" w:ascii="宋体" w:hAnsi="宋体" w:cs="宋体"/>
                <w:sz w:val="24"/>
              </w:rPr>
              <w:t>0)万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7</w:t>
            </w:r>
            <w:r>
              <w:rPr>
                <w:rStyle w:val="35"/>
                <w:rFonts w:hint="eastAsia" w:ascii="宋体" w:hAnsi="宋体" w:cs="宋体"/>
                <w:sz w:val="24"/>
              </w:rPr>
              <w:t>0-</w:t>
            </w:r>
            <w:r>
              <w:rPr>
                <w:rStyle w:val="35"/>
                <w:rFonts w:ascii="宋体" w:hAnsi="宋体" w:cs="宋体"/>
                <w:sz w:val="24"/>
              </w:rPr>
              <w:t>14</w:t>
            </w:r>
            <w:r>
              <w:rPr>
                <w:rStyle w:val="35"/>
                <w:rFonts w:hint="eastAsia" w:ascii="宋体" w:hAnsi="宋体" w:cs="宋体"/>
                <w:sz w:val="24"/>
              </w:rPr>
              <w:t>0)万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hint="eastAsia" w:ascii="宋体" w:hAnsi="宋体" w:cs="宋体"/>
                <w:sz w:val="24"/>
              </w:rPr>
              <w:t>［</w:t>
            </w:r>
            <w:r>
              <w:rPr>
                <w:rStyle w:val="35"/>
                <w:rFonts w:ascii="宋体" w:hAnsi="宋体" w:cs="宋体"/>
                <w:sz w:val="24"/>
              </w:rPr>
              <w:t>14</w:t>
            </w:r>
            <w:r>
              <w:rPr>
                <w:rStyle w:val="35"/>
                <w:rFonts w:hint="eastAsia" w:ascii="宋体" w:hAnsi="宋体" w:cs="宋体"/>
                <w:sz w:val="24"/>
              </w:rPr>
              <w:t>0-</w:t>
            </w:r>
            <w:r>
              <w:rPr>
                <w:rStyle w:val="35"/>
                <w:rFonts w:ascii="宋体" w:hAnsi="宋体" w:cs="宋体"/>
                <w:sz w:val="24"/>
              </w:rPr>
              <w:t>3</w:t>
            </w:r>
            <w:r>
              <w:rPr>
                <w:rStyle w:val="35"/>
                <w:rFonts w:hint="eastAsia" w:ascii="宋体" w:hAnsi="宋体" w:cs="宋体"/>
                <w:sz w:val="24"/>
              </w:rPr>
              <w:t>50)万</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1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r>
              <w:rPr>
                <w:rStyle w:val="35"/>
                <w:rFonts w:ascii="宋体" w:hAnsi="宋体" w:cs="宋体"/>
                <w:sz w:val="24"/>
              </w:rPr>
              <w:t>3</w:t>
            </w:r>
            <w:r>
              <w:rPr>
                <w:rStyle w:val="35"/>
                <w:rFonts w:hint="eastAsia" w:ascii="宋体" w:hAnsi="宋体" w:cs="宋体"/>
                <w:sz w:val="24"/>
              </w:rPr>
              <w:t>50万及以上</w:t>
            </w:r>
          </w:p>
        </w:tc>
        <w:tc>
          <w:tcPr>
            <w:tcW w:w="23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c>
          <w:tcPr>
            <w:tcW w:w="17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5"/>
                <w:rFonts w:ascii="宋体" w:hAnsi="宋体" w:cs="宋体"/>
                <w:sz w:val="24"/>
              </w:rPr>
            </w:pPr>
          </w:p>
        </w:tc>
      </w:tr>
    </w:tbl>
    <w:p>
      <w:pPr>
        <w:pStyle w:val="37"/>
        <w:spacing w:line="360" w:lineRule="auto"/>
        <w:ind w:firstLine="0" w:firstLineChars="0"/>
        <w:jc w:val="left"/>
        <w:rPr>
          <w:rStyle w:val="35"/>
          <w:rFonts w:ascii="宋体" w:hAnsi="宋体" w:cs="宋体"/>
          <w:sz w:val="24"/>
        </w:rPr>
      </w:pPr>
    </w:p>
    <w:p>
      <w:pPr>
        <w:pStyle w:val="36"/>
        <w:tabs>
          <w:tab w:val="left" w:pos="1101"/>
        </w:tabs>
        <w:spacing w:line="360" w:lineRule="auto"/>
        <w:ind w:left="0" w:firstLine="0"/>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rPr>
          <w:rFonts w:ascii="宋体" w:hAnsi="宋体" w:cs="宋体"/>
          <w:spacing w:val="-6"/>
          <w:sz w:val="24"/>
        </w:rPr>
      </w:pPr>
    </w:p>
    <w:p>
      <w:pPr>
        <w:pStyle w:val="36"/>
        <w:tabs>
          <w:tab w:val="left" w:pos="1101"/>
        </w:tabs>
        <w:spacing w:line="360" w:lineRule="auto"/>
        <w:ind w:left="0" w:firstLine="456" w:firstLineChars="200"/>
        <w:rPr>
          <w:rFonts w:ascii="宋体" w:hAnsi="宋体" w:cs="宋体"/>
          <w:spacing w:val="-6"/>
          <w:sz w:val="24"/>
        </w:rPr>
      </w:pPr>
    </w:p>
    <w:p>
      <w:pPr>
        <w:pStyle w:val="36"/>
        <w:tabs>
          <w:tab w:val="left" w:pos="1101"/>
        </w:tabs>
        <w:spacing w:line="360" w:lineRule="auto"/>
        <w:ind w:left="0" w:firstLine="456" w:firstLineChars="200"/>
        <w:rPr>
          <w:rFonts w:ascii="宋体" w:hAnsi="宋体" w:cs="宋体"/>
          <w:spacing w:val="-6"/>
          <w:sz w:val="24"/>
        </w:rPr>
      </w:pPr>
    </w:p>
    <w:p>
      <w:pPr>
        <w:pStyle w:val="36"/>
        <w:tabs>
          <w:tab w:val="left" w:pos="1101"/>
        </w:tabs>
        <w:spacing w:line="360" w:lineRule="auto"/>
        <w:ind w:left="0" w:firstLine="456" w:firstLineChars="200"/>
        <w:rPr>
          <w:rFonts w:ascii="宋体" w:hAnsi="宋体" w:cs="宋体"/>
          <w:sz w:val="24"/>
        </w:rPr>
      </w:pPr>
      <w:r>
        <w:rPr>
          <w:rFonts w:ascii="宋体" w:hAnsi="宋体" w:cs="宋体"/>
          <w:spacing w:val="-6"/>
          <w:sz w:val="24"/>
        </w:rPr>
        <w:t>3</w:t>
      </w:r>
      <w:r>
        <w:rPr>
          <w:rFonts w:hint="eastAsia" w:ascii="宋体" w:hAnsi="宋体" w:cs="宋体"/>
          <w:spacing w:val="-6"/>
          <w:sz w:val="24"/>
        </w:rPr>
        <w:t>.技术协议</w:t>
      </w:r>
      <w:r>
        <w:rPr>
          <w:rFonts w:ascii="宋体" w:hAnsi="宋体" w:cs="宋体"/>
          <w:spacing w:val="-6"/>
          <w:sz w:val="24"/>
        </w:rPr>
        <w:t>/</w:t>
      </w:r>
      <w:r>
        <w:rPr>
          <w:rFonts w:hint="eastAsia" w:ascii="宋体" w:hAnsi="宋体" w:cs="宋体"/>
          <w:spacing w:val="-6"/>
          <w:sz w:val="24"/>
          <w:lang w:eastAsia="zh-Hans"/>
        </w:rPr>
        <w:t>采购合同</w:t>
      </w:r>
      <w:r>
        <w:rPr>
          <w:rFonts w:hint="eastAsia" w:ascii="宋体" w:hAnsi="宋体" w:cs="宋体"/>
          <w:spacing w:val="-6"/>
          <w:sz w:val="24"/>
        </w:rPr>
        <w:t>中应明确服务费、常规代收费及额外代收费的费用承</w:t>
      </w:r>
      <w:r>
        <w:rPr>
          <w:rFonts w:hint="eastAsia" w:ascii="宋体" w:hAnsi="宋体" w:cs="宋体"/>
          <w:spacing w:val="-4"/>
          <w:sz w:val="24"/>
        </w:rPr>
        <w:t>担方，未明确的应由供应商承担。由供应商支付的，乙方与之约</w:t>
      </w:r>
      <w:r>
        <w:rPr>
          <w:rFonts w:hint="eastAsia" w:ascii="宋体" w:hAnsi="宋体" w:cs="宋体"/>
          <w:spacing w:val="-3"/>
          <w:sz w:val="24"/>
        </w:rPr>
        <w:t>定付款方式；由甲方支付的，乙方则在项目最终结算时向甲方收取。</w:t>
      </w:r>
      <w:r>
        <w:rPr>
          <w:rFonts w:hint="eastAsia" w:ascii="宋体" w:hAnsi="宋体" w:cs="宋体"/>
          <w:spacing w:val="-2"/>
          <w:sz w:val="24"/>
        </w:rPr>
        <w:t>额外代收费按附件《额外代收费包含内容说明》计算，在列出明细后</w:t>
      </w:r>
      <w:r>
        <w:rPr>
          <w:rFonts w:hint="eastAsia" w:ascii="宋体" w:hAnsi="宋体" w:cs="宋体"/>
          <w:spacing w:val="-1"/>
          <w:sz w:val="24"/>
        </w:rPr>
        <w:t>据实向供应商或甲方结算，并同意甲方对此明细进行公开。甲方</w:t>
      </w:r>
      <w:r>
        <w:rPr>
          <w:rFonts w:hint="eastAsia" w:ascii="宋体" w:hAnsi="宋体" w:cs="宋体"/>
          <w:sz w:val="24"/>
        </w:rPr>
        <w:t>可根据实际情况，在与乙方协商后调整《额外代收费包含内容说明》</w:t>
      </w:r>
      <w:r>
        <w:rPr>
          <w:rFonts w:hint="eastAsia" w:ascii="宋体" w:hAnsi="宋体" w:cs="宋体"/>
          <w:spacing w:val="-3"/>
          <w:sz w:val="24"/>
        </w:rPr>
        <w:t>的内容。</w:t>
      </w:r>
    </w:p>
    <w:p>
      <w:pPr>
        <w:pStyle w:val="36"/>
        <w:tabs>
          <w:tab w:val="left" w:pos="1101"/>
        </w:tabs>
        <w:spacing w:line="360" w:lineRule="auto"/>
        <w:ind w:left="0" w:right="259" w:firstLine="456" w:firstLineChars="200"/>
        <w:rPr>
          <w:rFonts w:ascii="宋体" w:hAnsi="宋体" w:cs="宋体"/>
          <w:spacing w:val="-3"/>
          <w:sz w:val="24"/>
        </w:rPr>
      </w:pPr>
      <w:r>
        <w:rPr>
          <w:rFonts w:ascii="宋体" w:hAnsi="宋体" w:cs="宋体"/>
          <w:spacing w:val="-6"/>
          <w:sz w:val="24"/>
        </w:rPr>
        <w:t>4</w:t>
      </w:r>
      <w:r>
        <w:rPr>
          <w:rFonts w:hint="eastAsia" w:ascii="宋体" w:hAnsi="宋体" w:cs="宋体"/>
          <w:spacing w:val="-6"/>
          <w:sz w:val="24"/>
        </w:rPr>
        <w:t>.</w:t>
      </w:r>
      <w:r>
        <w:rPr>
          <w:rFonts w:hint="eastAsia" w:ascii="宋体" w:hAnsi="宋体" w:cs="宋体"/>
          <w:spacing w:val="-6"/>
          <w:sz w:val="24"/>
          <w:lang w:eastAsia="zh-Hans"/>
        </w:rPr>
        <w:t>供应商人民币中标的项目</w:t>
      </w:r>
      <w:r>
        <w:rPr>
          <w:rFonts w:ascii="宋体" w:hAnsi="宋体" w:cs="宋体"/>
          <w:spacing w:val="-6"/>
          <w:sz w:val="24"/>
          <w:lang w:eastAsia="zh-Hans"/>
        </w:rPr>
        <w:t>，</w:t>
      </w:r>
      <w:r>
        <w:rPr>
          <w:rFonts w:hint="eastAsia" w:ascii="宋体" w:hAnsi="宋体" w:cs="宋体"/>
          <w:spacing w:val="-6"/>
          <w:sz w:val="24"/>
          <w:lang w:eastAsia="zh-Hans"/>
        </w:rPr>
        <w:t>汇率风险的损失与收益由供应商承担</w:t>
      </w:r>
      <w:r>
        <w:rPr>
          <w:rFonts w:ascii="宋体" w:hAnsi="宋体" w:cs="宋体"/>
          <w:spacing w:val="-6"/>
          <w:sz w:val="24"/>
          <w:lang w:eastAsia="zh-Hans"/>
        </w:rPr>
        <w:t>，</w:t>
      </w:r>
      <w:r>
        <w:rPr>
          <w:rFonts w:hint="eastAsia" w:ascii="宋体" w:hAnsi="宋体" w:cs="宋体"/>
          <w:spacing w:val="-6"/>
          <w:sz w:val="24"/>
          <w:lang w:eastAsia="zh-Hans"/>
        </w:rPr>
        <w:t>由乙方与供应商按照实际支付汇率进行多退少补结算</w:t>
      </w:r>
      <w:r>
        <w:rPr>
          <w:rFonts w:ascii="宋体" w:hAnsi="宋体" w:cs="宋体"/>
          <w:spacing w:val="-6"/>
          <w:sz w:val="24"/>
          <w:lang w:eastAsia="zh-Hans"/>
        </w:rPr>
        <w:t>，</w:t>
      </w:r>
      <w:r>
        <w:rPr>
          <w:rFonts w:hint="eastAsia" w:ascii="宋体" w:hAnsi="宋体" w:cs="宋体"/>
          <w:spacing w:val="-6"/>
          <w:sz w:val="24"/>
          <w:lang w:eastAsia="zh-Hans"/>
        </w:rPr>
        <w:t>与甲方无关</w:t>
      </w:r>
      <w:r>
        <w:rPr>
          <w:rFonts w:ascii="宋体" w:hAnsi="宋体" w:cs="宋体"/>
          <w:spacing w:val="-6"/>
          <w:sz w:val="24"/>
          <w:lang w:eastAsia="zh-Hans"/>
        </w:rPr>
        <w:t>。</w:t>
      </w:r>
    </w:p>
    <w:p>
      <w:pPr>
        <w:snapToGrid w:val="0"/>
        <w:spacing w:line="360" w:lineRule="auto"/>
        <w:ind w:firstLine="480" w:firstLineChars="200"/>
        <w:rPr>
          <w:rStyle w:val="35"/>
          <w:rFonts w:ascii="宋体" w:hAnsi="宋体" w:cs="宋体"/>
          <w:sz w:val="24"/>
        </w:rPr>
      </w:pPr>
      <w:r>
        <w:rPr>
          <w:rStyle w:val="35"/>
          <w:rFonts w:ascii="宋体" w:hAnsi="宋体" w:cs="宋体"/>
          <w:sz w:val="24"/>
        </w:rPr>
        <w:t>5</w:t>
      </w:r>
      <w:r>
        <w:rPr>
          <w:rStyle w:val="35"/>
          <w:rFonts w:hint="eastAsia" w:ascii="宋体" w:hAnsi="宋体" w:cs="宋体"/>
          <w:sz w:val="24"/>
        </w:rPr>
        <w:t>.如由于政策原因，</w:t>
      </w:r>
      <w:r>
        <w:rPr>
          <w:rStyle w:val="35"/>
          <w:rFonts w:hint="eastAsia" w:ascii="宋体" w:hAnsi="宋体" w:cs="宋体"/>
          <w:sz w:val="24"/>
          <w:lang w:eastAsia="zh-Hans"/>
        </w:rPr>
        <w:t>甲方</w:t>
      </w:r>
      <w:r>
        <w:rPr>
          <w:rStyle w:val="35"/>
          <w:rFonts w:hint="eastAsia" w:ascii="宋体" w:hAnsi="宋体" w:cs="宋体"/>
          <w:sz w:val="24"/>
        </w:rPr>
        <w:t>不能享受减免税，或部分产品无法享受减免税，由相应的增值税、关税、对美贸易惩罚性关税等税款由</w:t>
      </w:r>
      <w:r>
        <w:rPr>
          <w:rStyle w:val="35"/>
          <w:rFonts w:hint="eastAsia" w:ascii="宋体" w:hAnsi="宋体" w:cs="宋体"/>
          <w:sz w:val="24"/>
          <w:lang w:eastAsia="zh-Hans"/>
        </w:rPr>
        <w:t>由甲方与供应商协商解决</w:t>
      </w:r>
      <w:r>
        <w:rPr>
          <w:rStyle w:val="35"/>
          <w:rFonts w:hint="eastAsia" w:ascii="宋体" w:hAnsi="宋体" w:cs="宋体"/>
          <w:sz w:val="24"/>
        </w:rPr>
        <w:t>；</w:t>
      </w:r>
    </w:p>
    <w:p>
      <w:pPr>
        <w:pStyle w:val="7"/>
        <w:ind w:firstLine="480" w:firstLineChars="200"/>
        <w:rPr>
          <w:rFonts w:hAnsi="宋体" w:cs="宋体"/>
          <w:szCs w:val="24"/>
        </w:rPr>
      </w:pPr>
      <w:r>
        <w:rPr>
          <w:rFonts w:hint="eastAsia" w:hAnsi="宋体" w:cs="宋体"/>
          <w:szCs w:val="24"/>
        </w:rPr>
        <w:t>四、本协议未尽事宜，按《中华人民共和国民法典》及《中华人民共和国对外贸易法》等有关规定办理。</w:t>
      </w:r>
    </w:p>
    <w:p>
      <w:pPr>
        <w:pStyle w:val="7"/>
        <w:ind w:firstLine="480" w:firstLineChars="200"/>
        <w:rPr>
          <w:rFonts w:hAnsi="宋体" w:cs="宋体"/>
          <w:szCs w:val="24"/>
        </w:rPr>
      </w:pPr>
      <w:r>
        <w:rPr>
          <w:rFonts w:hint="eastAsia" w:hAnsi="宋体" w:cs="宋体"/>
          <w:szCs w:val="24"/>
        </w:rPr>
        <w:t>五、本协议及附件的任何修改、变更须经双方书面同意确认，签字并加盖公章方为有效。</w:t>
      </w:r>
    </w:p>
    <w:p>
      <w:pPr>
        <w:pStyle w:val="7"/>
        <w:ind w:firstLine="468" w:firstLineChars="200"/>
        <w:rPr>
          <w:rFonts w:hAnsi="宋体" w:cs="宋体"/>
          <w:szCs w:val="24"/>
        </w:rPr>
      </w:pPr>
      <w:r>
        <w:rPr>
          <w:rFonts w:hint="eastAsia" w:hAnsi="宋体" w:cs="宋体"/>
          <w:spacing w:val="-3"/>
          <w:szCs w:val="24"/>
        </w:rPr>
        <w:t>六、本协议有效期为：</w:t>
      </w:r>
      <w:r>
        <w:rPr>
          <w:rFonts w:hint="eastAsia" w:hAnsi="宋体" w:cs="宋体"/>
          <w:szCs w:val="24"/>
          <w:lang w:val="en-US" w:eastAsia="zh-Hans"/>
        </w:rPr>
        <w:t>自双方签字盖章之日起生效，有效期为2022年    月    日至2024年    月    日</w:t>
      </w:r>
      <w:r>
        <w:rPr>
          <w:rStyle w:val="35"/>
          <w:rFonts w:hint="eastAsia" w:hAnsi="宋体" w:cs="宋体"/>
          <w:szCs w:val="24"/>
        </w:rPr>
        <w:t>。甲方可与年度考核分数在90分（包括90分）以上的乙方续签合同。如续签，则续签合同期限不超过1年，续签不超过2次，全部合同累计时间最长3年，同时新一期费用与上一期相同。如因国家法律法规、政策变动或主管单位文件、命令、突发公告卫生事件等要求，甲方亦可提前终止合同，需提前30天书面通知乙方。</w:t>
      </w:r>
      <w:r>
        <w:rPr>
          <w:rFonts w:hint="eastAsia" w:hAnsi="宋体" w:cs="宋体"/>
          <w:spacing w:val="-6"/>
          <w:szCs w:val="24"/>
        </w:rPr>
        <w:t xml:space="preserve">如一方出现严重违约行为的，或违约后 </w:t>
      </w:r>
      <w:r>
        <w:rPr>
          <w:rFonts w:hint="eastAsia" w:hAnsi="宋体" w:cs="宋体"/>
          <w:szCs w:val="24"/>
        </w:rPr>
        <w:t>15 天内不予纠正，则另一方有权单方终止本协议。代理协议终止后，尚</w:t>
      </w:r>
      <w:r>
        <w:rPr>
          <w:rFonts w:hint="eastAsia" w:hAnsi="宋体" w:cs="宋体"/>
          <w:spacing w:val="-3"/>
          <w:szCs w:val="24"/>
        </w:rPr>
        <w:t>未执行完的外贸合同由</w:t>
      </w:r>
      <w:r>
        <w:rPr>
          <w:rFonts w:hint="eastAsia" w:hAnsi="宋体" w:cs="宋体"/>
          <w:spacing w:val="-3"/>
          <w:szCs w:val="24"/>
          <w:lang w:val="en-US" w:eastAsia="zh-Hans"/>
        </w:rPr>
        <w:t>甲方</w:t>
      </w:r>
      <w:r>
        <w:rPr>
          <w:rFonts w:hint="eastAsia" w:hAnsi="宋体" w:cs="宋体"/>
          <w:spacing w:val="-3"/>
          <w:szCs w:val="24"/>
        </w:rPr>
        <w:t>决定是否继续执行。</w:t>
      </w:r>
      <w:r>
        <w:rPr>
          <w:rFonts w:hint="eastAsia" w:hAnsi="宋体" w:cs="宋体"/>
          <w:szCs w:val="24"/>
        </w:rPr>
        <w:t>合同期满后，甲方对</w:t>
      </w:r>
      <w:r>
        <w:rPr>
          <w:rFonts w:hint="eastAsia" w:hAnsi="宋体" w:cs="宋体"/>
          <w:szCs w:val="24"/>
          <w:lang w:val="en-US" w:eastAsia="zh-Hans"/>
        </w:rPr>
        <w:t>乙方</w:t>
      </w:r>
      <w:r>
        <w:rPr>
          <w:rFonts w:hint="eastAsia" w:hAnsi="宋体" w:cs="宋体"/>
          <w:szCs w:val="24"/>
        </w:rPr>
        <w:t>进行满意度考核，如考核合格，经双方协商同意，可续签延续代理服务。</w:t>
      </w:r>
    </w:p>
    <w:p>
      <w:pPr>
        <w:pStyle w:val="7"/>
        <w:ind w:right="63" w:firstLine="559"/>
        <w:rPr>
          <w:rFonts w:hAnsi="宋体" w:cs="宋体"/>
          <w:szCs w:val="24"/>
        </w:rPr>
      </w:pPr>
      <w:r>
        <w:rPr>
          <w:rFonts w:hint="eastAsia" w:hAnsi="宋体" w:cs="宋体"/>
          <w:szCs w:val="24"/>
        </w:rPr>
        <w:t>七、双方因履行本协议所发生的任何争议，在协商无果的情况下，提交</w:t>
      </w:r>
      <w:r>
        <w:rPr>
          <w:rFonts w:hint="eastAsia" w:hAnsi="宋体" w:cs="宋体"/>
          <w:szCs w:val="24"/>
          <w:lang w:val="en-US"/>
        </w:rPr>
        <w:t>义乌</w:t>
      </w:r>
      <w:r>
        <w:rPr>
          <w:rFonts w:hint="eastAsia" w:hAnsi="宋体" w:cs="宋体"/>
          <w:szCs w:val="24"/>
        </w:rPr>
        <w:t>仲裁委员会仲裁解决。</w:t>
      </w:r>
    </w:p>
    <w:p>
      <w:pPr>
        <w:pStyle w:val="7"/>
        <w:ind w:left="680"/>
        <w:rPr>
          <w:rFonts w:hAnsi="宋体" w:cs="宋体"/>
          <w:szCs w:val="24"/>
        </w:rPr>
      </w:pPr>
      <w:r>
        <w:rPr>
          <w:rFonts w:hint="eastAsia" w:hAnsi="宋体" w:cs="宋体"/>
          <w:szCs w:val="24"/>
        </w:rPr>
        <w:t>八、本协议经双方签章生效，</w:t>
      </w:r>
      <w:r>
        <w:rPr>
          <w:rStyle w:val="35"/>
          <w:rFonts w:hint="eastAsia" w:hAnsi="宋体" w:cs="宋体"/>
          <w:szCs w:val="24"/>
        </w:rPr>
        <w:t>一式</w:t>
      </w:r>
      <w:r>
        <w:rPr>
          <w:rStyle w:val="35"/>
          <w:rFonts w:hint="eastAsia" w:hAnsi="宋体" w:cs="宋体"/>
          <w:szCs w:val="24"/>
          <w:lang w:val="en-US"/>
        </w:rPr>
        <w:t>肆</w:t>
      </w:r>
      <w:r>
        <w:rPr>
          <w:rStyle w:val="35"/>
          <w:rFonts w:hint="eastAsia" w:hAnsi="宋体" w:cs="宋体"/>
          <w:szCs w:val="24"/>
        </w:rPr>
        <w:t>份，甲方执</w:t>
      </w:r>
      <w:r>
        <w:rPr>
          <w:rStyle w:val="35"/>
          <w:rFonts w:hint="eastAsia" w:hAnsi="宋体" w:cs="宋体"/>
          <w:szCs w:val="24"/>
          <w:lang w:val="en-US"/>
        </w:rPr>
        <w:t>叁</w:t>
      </w:r>
      <w:r>
        <w:rPr>
          <w:rStyle w:val="35"/>
          <w:rFonts w:hint="eastAsia" w:hAnsi="宋体" w:cs="宋体"/>
          <w:szCs w:val="24"/>
        </w:rPr>
        <w:t>份，乙方执</w:t>
      </w:r>
      <w:r>
        <w:rPr>
          <w:rStyle w:val="35"/>
          <w:rFonts w:hint="eastAsia" w:hAnsi="宋体" w:cs="宋体"/>
          <w:szCs w:val="24"/>
          <w:lang w:val="en-US"/>
        </w:rPr>
        <w:t>壹</w:t>
      </w:r>
      <w:r>
        <w:rPr>
          <w:rStyle w:val="35"/>
          <w:rFonts w:hint="eastAsia" w:hAnsi="宋体" w:cs="宋体"/>
          <w:szCs w:val="24"/>
        </w:rPr>
        <w:t>份</w:t>
      </w:r>
      <w:r>
        <w:rPr>
          <w:rFonts w:hint="eastAsia" w:hAnsi="宋体" w:cs="宋体"/>
          <w:szCs w:val="24"/>
        </w:rPr>
        <w:t>。</w:t>
      </w:r>
    </w:p>
    <w:p>
      <w:pPr>
        <w:pStyle w:val="7"/>
        <w:rPr>
          <w:rFonts w:hAnsi="宋体" w:cs="宋体"/>
          <w:szCs w:val="24"/>
        </w:rPr>
      </w:pPr>
    </w:p>
    <w:p>
      <w:pPr>
        <w:pStyle w:val="7"/>
        <w:tabs>
          <w:tab w:val="left" w:pos="4599"/>
        </w:tabs>
        <w:rPr>
          <w:rFonts w:hAnsi="宋体" w:cs="宋体"/>
          <w:szCs w:val="24"/>
        </w:rPr>
      </w:pPr>
    </w:p>
    <w:p>
      <w:pPr>
        <w:pStyle w:val="7"/>
        <w:tabs>
          <w:tab w:val="left" w:pos="4599"/>
        </w:tabs>
        <w:rPr>
          <w:rFonts w:hAnsi="宋体" w:cs="宋体"/>
          <w:szCs w:val="24"/>
        </w:rPr>
      </w:pPr>
      <w:r>
        <w:rPr>
          <w:rFonts w:hint="eastAsia" w:hAnsi="宋体" w:cs="宋体"/>
          <w:szCs w:val="24"/>
        </w:rPr>
        <w:t>甲</w:t>
      </w:r>
      <w:r>
        <w:rPr>
          <w:rFonts w:hint="eastAsia" w:hAnsi="宋体" w:cs="宋体"/>
          <w:spacing w:val="-3"/>
          <w:szCs w:val="24"/>
        </w:rPr>
        <w:t>方</w:t>
      </w:r>
      <w:r>
        <w:rPr>
          <w:rFonts w:hint="eastAsia" w:hAnsi="宋体" w:cs="宋体"/>
          <w:szCs w:val="24"/>
        </w:rPr>
        <w:t>：</w:t>
      </w:r>
      <w:r>
        <w:rPr>
          <w:rFonts w:hint="eastAsia" w:hAnsi="宋体" w:cs="宋体"/>
          <w:szCs w:val="24"/>
          <w:lang w:val="en-US"/>
        </w:rPr>
        <w:t>浙江大学国际健康医学研究院</w:t>
      </w:r>
      <w:r>
        <w:rPr>
          <w:rFonts w:hint="eastAsia" w:hAnsi="宋体" w:cs="宋体"/>
          <w:szCs w:val="24"/>
        </w:rPr>
        <w:tab/>
      </w:r>
      <w:r>
        <w:rPr>
          <w:rFonts w:hint="eastAsia" w:hAnsi="宋体" w:cs="宋体"/>
          <w:szCs w:val="24"/>
        </w:rPr>
        <w:t>乙</w:t>
      </w:r>
      <w:r>
        <w:rPr>
          <w:rFonts w:hint="eastAsia" w:hAnsi="宋体" w:cs="宋体"/>
          <w:spacing w:val="-3"/>
          <w:szCs w:val="24"/>
        </w:rPr>
        <w:t>方</w:t>
      </w:r>
      <w:r>
        <w:rPr>
          <w:rFonts w:hint="eastAsia" w:hAnsi="宋体" w:cs="宋体"/>
          <w:szCs w:val="24"/>
        </w:rPr>
        <w:t>：</w:t>
      </w:r>
    </w:p>
    <w:p>
      <w:pPr>
        <w:pStyle w:val="7"/>
        <w:rPr>
          <w:rFonts w:hAnsi="宋体" w:cs="宋体"/>
          <w:szCs w:val="24"/>
        </w:rPr>
      </w:pPr>
    </w:p>
    <w:p>
      <w:pPr>
        <w:pStyle w:val="7"/>
        <w:tabs>
          <w:tab w:val="left" w:pos="4741"/>
        </w:tabs>
        <w:rPr>
          <w:rFonts w:hAnsi="宋体" w:cs="宋体"/>
          <w:szCs w:val="24"/>
        </w:rPr>
      </w:pPr>
      <w:r>
        <w:rPr>
          <w:rFonts w:hint="eastAsia" w:hAnsi="宋体" w:cs="宋体"/>
          <w:szCs w:val="24"/>
        </w:rPr>
        <w:t>授</w:t>
      </w:r>
      <w:r>
        <w:rPr>
          <w:rFonts w:hint="eastAsia" w:hAnsi="宋体" w:cs="宋体"/>
          <w:spacing w:val="-3"/>
          <w:szCs w:val="24"/>
        </w:rPr>
        <w:t>权</w:t>
      </w:r>
      <w:r>
        <w:rPr>
          <w:rFonts w:hint="eastAsia" w:hAnsi="宋体" w:cs="宋体"/>
          <w:szCs w:val="24"/>
        </w:rPr>
        <w:t>代表</w:t>
      </w:r>
      <w:r>
        <w:rPr>
          <w:rFonts w:hint="eastAsia" w:hAnsi="宋体" w:cs="宋体"/>
          <w:spacing w:val="-3"/>
          <w:szCs w:val="24"/>
        </w:rPr>
        <w:t>（</w:t>
      </w:r>
      <w:r>
        <w:rPr>
          <w:rFonts w:hint="eastAsia" w:hAnsi="宋体" w:cs="宋体"/>
          <w:szCs w:val="24"/>
        </w:rPr>
        <w:t>签字）：</w:t>
      </w:r>
      <w:r>
        <w:rPr>
          <w:rFonts w:hAnsi="宋体" w:cs="宋体"/>
          <w:szCs w:val="24"/>
        </w:rPr>
        <w:t xml:space="preserve">                    </w:t>
      </w:r>
      <w:r>
        <w:rPr>
          <w:rFonts w:hint="eastAsia" w:hAnsi="宋体" w:cs="宋体"/>
          <w:szCs w:val="24"/>
        </w:rPr>
        <w:t>授</w:t>
      </w:r>
      <w:r>
        <w:rPr>
          <w:rFonts w:hint="eastAsia" w:hAnsi="宋体" w:cs="宋体"/>
          <w:spacing w:val="-3"/>
          <w:szCs w:val="24"/>
        </w:rPr>
        <w:t>权</w:t>
      </w:r>
      <w:r>
        <w:rPr>
          <w:rFonts w:hint="eastAsia" w:hAnsi="宋体" w:cs="宋体"/>
          <w:szCs w:val="24"/>
        </w:rPr>
        <w:t>代表</w:t>
      </w:r>
      <w:r>
        <w:rPr>
          <w:rFonts w:hint="eastAsia" w:hAnsi="宋体" w:cs="宋体"/>
          <w:spacing w:val="-3"/>
          <w:szCs w:val="24"/>
        </w:rPr>
        <w:t>（</w:t>
      </w:r>
      <w:r>
        <w:rPr>
          <w:rFonts w:hint="eastAsia" w:hAnsi="宋体" w:cs="宋体"/>
          <w:szCs w:val="24"/>
        </w:rPr>
        <w:t>签字）：</w:t>
      </w:r>
    </w:p>
    <w:p>
      <w:pPr>
        <w:pStyle w:val="7"/>
        <w:rPr>
          <w:rFonts w:hAnsi="宋体" w:cs="宋体"/>
          <w:szCs w:val="24"/>
        </w:rPr>
      </w:pPr>
    </w:p>
    <w:p>
      <w:pPr>
        <w:pStyle w:val="7"/>
        <w:tabs>
          <w:tab w:val="left" w:pos="2360"/>
          <w:tab w:val="left" w:pos="3061"/>
          <w:tab w:val="left" w:pos="3759"/>
          <w:tab w:val="left" w:pos="4599"/>
          <w:tab w:val="left" w:pos="6841"/>
          <w:tab w:val="left" w:pos="7539"/>
          <w:tab w:val="left" w:pos="8240"/>
        </w:tabs>
        <w:rPr>
          <w:rFonts w:hAnsi="宋体" w:cs="宋体"/>
          <w:szCs w:val="24"/>
        </w:rPr>
        <w:sectPr>
          <w:pgSz w:w="11910" w:h="16840"/>
          <w:pgMar w:top="1440" w:right="1800" w:bottom="1440" w:left="1800" w:header="0" w:footer="975" w:gutter="0"/>
          <w:cols w:space="720" w:num="1"/>
          <w:docGrid w:linePitch="299" w:charSpace="0"/>
        </w:sectPr>
      </w:pPr>
      <w:r>
        <w:rPr>
          <w:rFonts w:hint="eastAsia" w:hAnsi="宋体" w:cs="宋体"/>
          <w:szCs w:val="24"/>
        </w:rPr>
        <w:t>签</w:t>
      </w:r>
      <w:r>
        <w:rPr>
          <w:rFonts w:hint="eastAsia" w:hAnsi="宋体" w:cs="宋体"/>
          <w:spacing w:val="-3"/>
          <w:szCs w:val="24"/>
        </w:rPr>
        <w:t>字</w:t>
      </w:r>
      <w:r>
        <w:rPr>
          <w:rFonts w:hint="eastAsia" w:hAnsi="宋体" w:cs="宋体"/>
          <w:szCs w:val="24"/>
        </w:rPr>
        <w:t>日期：</w:t>
      </w:r>
      <w:r>
        <w:rPr>
          <w:rFonts w:hint="eastAsia" w:hAnsi="宋体" w:cs="宋体"/>
          <w:szCs w:val="24"/>
        </w:rPr>
        <w:tab/>
      </w:r>
      <w:r>
        <w:rPr>
          <w:rFonts w:hAnsi="宋体" w:cs="宋体"/>
          <w:szCs w:val="24"/>
        </w:rPr>
        <w:t xml:space="preserve">                   </w:t>
      </w:r>
      <w:r>
        <w:rPr>
          <w:rFonts w:hint="eastAsia" w:hAnsi="宋体" w:cs="宋体"/>
          <w:szCs w:val="24"/>
        </w:rPr>
        <w:t>签</w:t>
      </w:r>
      <w:r>
        <w:rPr>
          <w:rFonts w:hint="eastAsia" w:hAnsi="宋体" w:cs="宋体"/>
          <w:spacing w:val="-3"/>
          <w:szCs w:val="24"/>
        </w:rPr>
        <w:t>字</w:t>
      </w:r>
      <w:r>
        <w:rPr>
          <w:rFonts w:hint="eastAsia" w:hAnsi="宋体" w:cs="宋体"/>
          <w:szCs w:val="24"/>
        </w:rPr>
        <w:t>日期：</w:t>
      </w:r>
      <w:r>
        <w:rPr>
          <w:rFonts w:hint="eastAsia" w:hAnsi="宋体" w:cs="宋体"/>
          <w:szCs w:val="24"/>
        </w:rPr>
        <w:tab/>
      </w:r>
    </w:p>
    <w:p>
      <w:pPr>
        <w:pStyle w:val="7"/>
        <w:rPr>
          <w:rFonts w:hAnsi="宋体" w:cs="宋体"/>
          <w:szCs w:val="24"/>
        </w:rPr>
      </w:pPr>
      <w:r>
        <w:rPr>
          <w:rFonts w:hint="eastAsia" w:hAnsi="宋体" w:cs="宋体"/>
          <w:szCs w:val="24"/>
        </w:rPr>
        <w:t>附件：</w:t>
      </w:r>
    </w:p>
    <w:p>
      <w:pPr>
        <w:pStyle w:val="7"/>
        <w:ind w:left="142" w:right="-41"/>
        <w:jc w:val="center"/>
        <w:rPr>
          <w:rFonts w:hAnsi="宋体" w:cs="宋体"/>
          <w:szCs w:val="24"/>
        </w:rPr>
      </w:pPr>
      <w:r>
        <w:rPr>
          <w:rFonts w:hint="eastAsia" w:hAnsi="宋体" w:cs="宋体"/>
          <w:szCs w:val="24"/>
        </w:rPr>
        <w:t>额外代收费包含内容说明</w:t>
      </w:r>
    </w:p>
    <w:p>
      <w:pPr>
        <w:pStyle w:val="7"/>
        <w:ind w:left="119" w:right="357" w:firstLine="566"/>
        <w:rPr>
          <w:rFonts w:hAnsi="宋体" w:cs="宋体"/>
          <w:szCs w:val="24"/>
        </w:rPr>
      </w:pPr>
      <w:r>
        <w:rPr>
          <w:rFonts w:hint="eastAsia" w:hAnsi="宋体" w:cs="宋体"/>
          <w:szCs w:val="24"/>
        </w:rPr>
        <w:t>额外代收费指在办理进口及减免税过程中因</w:t>
      </w:r>
      <w:r>
        <w:rPr>
          <w:rFonts w:hint="eastAsia" w:hAnsi="宋体" w:cs="宋体"/>
          <w:szCs w:val="24"/>
          <w:lang w:val="en-US" w:eastAsia="zh-Hans"/>
        </w:rPr>
        <w:t>供应商</w:t>
      </w:r>
      <w:r>
        <w:rPr>
          <w:rFonts w:hint="eastAsia" w:hAnsi="宋体" w:cs="宋体"/>
          <w:szCs w:val="24"/>
        </w:rPr>
        <w:t>或</w:t>
      </w:r>
      <w:r>
        <w:rPr>
          <w:rFonts w:hint="eastAsia" w:hAnsi="宋体" w:cs="宋体"/>
          <w:szCs w:val="24"/>
          <w:lang w:val="en-US" w:eastAsia="zh-Hans"/>
        </w:rPr>
        <w:t>甲方</w:t>
      </w:r>
      <w:r>
        <w:rPr>
          <w:rFonts w:hint="eastAsia" w:hAnsi="宋体" w:cs="宋体"/>
          <w:szCs w:val="24"/>
        </w:rPr>
        <w:t>的原因不能按约定的常规方式办理导致的额外支出，如以下费用：</w:t>
      </w:r>
    </w:p>
    <w:p>
      <w:pPr>
        <w:pStyle w:val="7"/>
        <w:ind w:left="119" w:right="204" w:firstLine="566"/>
        <w:rPr>
          <w:rFonts w:hAnsi="宋体" w:cs="宋体"/>
          <w:szCs w:val="24"/>
        </w:rPr>
      </w:pPr>
      <w:r>
        <w:rPr>
          <w:rFonts w:hint="eastAsia" w:hAnsi="宋体" w:cs="宋体"/>
          <w:szCs w:val="24"/>
        </w:rPr>
        <w:t>1、将一次性支付变更为多次付费的，由提出方承担增加的银行费用。如一个成交项目需要分开签署多份外贸合同的，每个合同根据合同金额所处区间确定代理费率。</w:t>
      </w:r>
    </w:p>
    <w:p>
      <w:pPr>
        <w:pStyle w:val="7"/>
        <w:ind w:left="119" w:right="202" w:firstLine="566"/>
        <w:rPr>
          <w:rFonts w:hAnsi="宋体" w:cs="宋体"/>
          <w:szCs w:val="24"/>
        </w:rPr>
      </w:pPr>
      <w:r>
        <w:rPr>
          <w:rFonts w:hint="eastAsia" w:hAnsi="宋体" w:cs="宋体"/>
          <w:szCs w:val="24"/>
        </w:rPr>
        <w:t>2、货物到港</w:t>
      </w:r>
      <w:r>
        <w:rPr>
          <w:rFonts w:hint="eastAsia" w:hAnsi="宋体" w:cs="宋体"/>
          <w:szCs w:val="24"/>
          <w:lang w:val="en-US" w:eastAsia="zh-Hans"/>
        </w:rPr>
        <w:t>为非属地港</w:t>
      </w:r>
      <w:r>
        <w:rPr>
          <w:rFonts w:hint="eastAsia" w:hAnsi="宋体" w:cs="宋体"/>
          <w:szCs w:val="24"/>
        </w:rPr>
        <w:t>，需要产生的额外运费、保险费和搬卸费。</w:t>
      </w:r>
    </w:p>
    <w:p>
      <w:pPr>
        <w:pStyle w:val="7"/>
        <w:ind w:left="119" w:right="224" w:firstLine="566"/>
        <w:rPr>
          <w:rFonts w:hAnsi="宋体" w:cs="宋体"/>
          <w:szCs w:val="24"/>
        </w:rPr>
      </w:pPr>
      <w:r>
        <w:rPr>
          <w:rFonts w:hint="eastAsia" w:hAnsi="宋体" w:cs="宋体"/>
          <w:szCs w:val="24"/>
        </w:rPr>
        <w:t>3、海运进口换单费超出 300元/票的部分 (此条款针对个别海运进口的供应商，在发货当地选择价格特别低廉甚至0成本运费的方式， 从而把物流成本转嫁到国内段，以换单费等形式向国内客户收取的情况)。</w:t>
      </w:r>
    </w:p>
    <w:p>
      <w:pPr>
        <w:pStyle w:val="7"/>
        <w:ind w:left="119" w:right="204" w:firstLine="566"/>
        <w:rPr>
          <w:rFonts w:hAnsi="宋体" w:cs="宋体"/>
          <w:szCs w:val="24"/>
        </w:rPr>
      </w:pPr>
      <w:r>
        <w:rPr>
          <w:rFonts w:hint="eastAsia" w:hAnsi="宋体" w:cs="宋体"/>
          <w:szCs w:val="24"/>
        </w:rPr>
        <w:t>4、特种设备检测费、最终用户和最终用途说明办理费用；特殊物品生物卫生检验备案费等其它特殊收费；因特殊原因导致额外增加的仓储费，如入冷冻仓库和危险品仓库的仓储费；需要使用特殊运输车辆（如避震车、冷链运输等）的费用；试剂类产品额外增加费用。</w:t>
      </w:r>
    </w:p>
    <w:p>
      <w:pPr>
        <w:pStyle w:val="7"/>
        <w:ind w:left="685"/>
        <w:rPr>
          <w:rFonts w:hAnsi="宋体" w:cs="宋体"/>
          <w:szCs w:val="24"/>
        </w:rPr>
      </w:pPr>
      <w:r>
        <w:rPr>
          <w:rFonts w:hint="eastAsia" w:hAnsi="宋体" w:cs="宋体"/>
          <w:szCs w:val="24"/>
        </w:rPr>
        <w:t>5、因供应商指定货代导致的额外费用。</w:t>
      </w:r>
    </w:p>
    <w:p>
      <w:pPr>
        <w:pStyle w:val="7"/>
        <w:ind w:left="119" w:right="357" w:firstLine="566"/>
        <w:rPr>
          <w:rFonts w:hAnsi="宋体" w:cs="宋体"/>
          <w:szCs w:val="24"/>
        </w:rPr>
      </w:pPr>
      <w:r>
        <w:rPr>
          <w:rFonts w:hint="eastAsia" w:hAnsi="宋体" w:cs="宋体"/>
          <w:szCs w:val="24"/>
        </w:rPr>
        <w:t>额外代收费用据实结算，在结算时向收费人列出明细及单据，并向甲方备案。允许甲方对此明细进行公示。</w:t>
      </w:r>
    </w:p>
    <w:p>
      <w:pPr>
        <w:pStyle w:val="7"/>
        <w:ind w:left="119" w:right="359" w:firstLine="566"/>
        <w:rPr>
          <w:rFonts w:hAnsi="宋体" w:cs="宋体"/>
          <w:szCs w:val="24"/>
        </w:rPr>
      </w:pPr>
      <w:r>
        <w:rPr>
          <w:rFonts w:hint="eastAsia" w:hAnsi="宋体" w:cs="宋体"/>
          <w:szCs w:val="24"/>
        </w:rPr>
        <w:t>如遇以上未涉及的收费，参照以上协商处理。甲方可根据实际情况，对以上例外内容与乙方进行商量后调整本附件内容。</w:t>
      </w:r>
    </w:p>
    <w:p>
      <w:pPr>
        <w:spacing w:line="360" w:lineRule="auto"/>
        <w:ind w:right="840"/>
        <w:jc w:val="center"/>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autoSpaceDE w:val="0"/>
        <w:autoSpaceDN w:val="0"/>
        <w:adjustRightInd/>
        <w:spacing w:line="480" w:lineRule="auto"/>
        <w:jc w:val="center"/>
        <w:rPr>
          <w:rFonts w:ascii="楷体" w:hAnsi="楷体" w:eastAsia="楷体" w:cs="楷体"/>
          <w:b/>
          <w:kern w:val="0"/>
          <w:sz w:val="44"/>
          <w:szCs w:val="44"/>
          <w:lang w:val="zh-CN" w:bidi="zh-CN"/>
        </w:rPr>
      </w:pPr>
      <w:r>
        <w:rPr>
          <w:rFonts w:hint="eastAsia" w:ascii="楷体" w:hAnsi="楷体" w:eastAsia="楷体" w:cs="楷体"/>
          <w:b/>
          <w:kern w:val="0"/>
          <w:sz w:val="44"/>
          <w:szCs w:val="44"/>
          <w:lang w:val="zh-CN" w:bidi="zh-CN"/>
        </w:rPr>
        <w:t>进口代理服务商年度服务评估</w:t>
      </w:r>
    </w:p>
    <w:p>
      <w:pPr>
        <w:numPr>
          <w:ilvl w:val="0"/>
          <w:numId w:val="8"/>
        </w:numPr>
        <w:autoSpaceDE w:val="0"/>
        <w:autoSpaceDN w:val="0"/>
        <w:spacing w:line="360" w:lineRule="auto"/>
        <w:rPr>
          <w:rFonts w:ascii="楷体" w:hAnsi="楷体" w:eastAsia="楷体" w:cs="楷体"/>
          <w:b/>
          <w:sz w:val="24"/>
          <w:szCs w:val="22"/>
          <w:lang w:val="zh-CN" w:bidi="zh-CN"/>
        </w:rPr>
      </w:pPr>
      <w:r>
        <w:rPr>
          <w:rFonts w:hint="eastAsia" w:ascii="楷体" w:hAnsi="楷体" w:eastAsia="楷体" w:cs="楷体"/>
          <w:b/>
          <w:sz w:val="24"/>
          <w:szCs w:val="22"/>
          <w:lang w:val="zh-CN" w:bidi="zh-CN"/>
        </w:rPr>
        <w:t>基本信息：</w:t>
      </w:r>
    </w:p>
    <w:p>
      <w:pPr>
        <w:autoSpaceDE w:val="0"/>
        <w:autoSpaceDN w:val="0"/>
        <w:spacing w:line="360" w:lineRule="auto"/>
        <w:ind w:left="360"/>
        <w:rPr>
          <w:rFonts w:ascii="楷体" w:hAnsi="楷体" w:eastAsia="楷体" w:cs="楷体"/>
          <w:bCs/>
          <w:sz w:val="24"/>
          <w:u w:val="single"/>
          <w:lang w:bidi="zh-CN"/>
        </w:rPr>
      </w:pPr>
      <w:r>
        <w:rPr>
          <w:rFonts w:hint="eastAsia" w:ascii="楷体" w:hAnsi="楷体" w:eastAsia="楷体" w:cs="楷体"/>
          <w:bCs/>
          <w:sz w:val="24"/>
          <w:lang w:bidi="zh-CN"/>
        </w:rPr>
        <w:t>进口代理服务商：</w:t>
      </w:r>
      <w:r>
        <w:rPr>
          <w:rFonts w:hint="eastAsia" w:ascii="楷体" w:hAnsi="楷体" w:eastAsia="楷体" w:cs="楷体"/>
          <w:bCs/>
          <w:sz w:val="24"/>
          <w:u w:val="single"/>
          <w:lang w:bidi="zh-CN"/>
        </w:rPr>
        <w:t xml:space="preserve">                                </w:t>
      </w:r>
    </w:p>
    <w:p>
      <w:pPr>
        <w:autoSpaceDE w:val="0"/>
        <w:autoSpaceDN w:val="0"/>
        <w:spacing w:line="360" w:lineRule="auto"/>
        <w:ind w:left="360"/>
        <w:rPr>
          <w:rFonts w:ascii="楷体" w:hAnsi="楷体" w:eastAsia="楷体" w:cs="楷体"/>
          <w:b/>
          <w:sz w:val="24"/>
          <w:szCs w:val="22"/>
          <w:lang w:val="zh-CN" w:bidi="zh-CN"/>
        </w:rPr>
      </w:pPr>
      <w:r>
        <w:rPr>
          <w:rFonts w:hint="eastAsia" w:ascii="楷体" w:hAnsi="楷体" w:eastAsia="楷体" w:cs="楷体"/>
          <w:bCs/>
          <w:sz w:val="24"/>
          <w:lang w:bidi="zh-CN"/>
        </w:rPr>
        <w:t>评价时间段：</w:t>
      </w:r>
      <w:r>
        <w:rPr>
          <w:rFonts w:hint="eastAsia" w:ascii="楷体" w:hAnsi="楷体" w:eastAsia="楷体" w:cs="楷体"/>
          <w:bCs/>
          <w:sz w:val="24"/>
          <w:u w:val="single"/>
          <w:lang w:bidi="zh-CN"/>
        </w:rPr>
        <w:t xml:space="preserve">                                    </w:t>
      </w:r>
      <w:r>
        <w:rPr>
          <w:rFonts w:hint="eastAsia" w:ascii="楷体" w:hAnsi="楷体" w:eastAsia="楷体" w:cs="楷体"/>
          <w:bCs/>
          <w:sz w:val="24"/>
          <w:lang w:val="zh-CN" w:bidi="zh-CN"/>
        </w:rPr>
        <w:t xml:space="preserve"> </w:t>
      </w:r>
      <w:r>
        <w:rPr>
          <w:rFonts w:hint="eastAsia" w:ascii="楷体" w:hAnsi="楷体" w:eastAsia="楷体" w:cs="楷体"/>
          <w:bCs/>
          <w:sz w:val="24"/>
          <w:lang w:bidi="zh-CN"/>
        </w:rPr>
        <w:t xml:space="preserve">   </w:t>
      </w:r>
      <w:r>
        <w:rPr>
          <w:rFonts w:hint="eastAsia" w:ascii="楷体" w:hAnsi="楷体" w:eastAsia="楷体" w:cs="楷体"/>
          <w:b/>
          <w:sz w:val="28"/>
          <w:szCs w:val="28"/>
          <w:lang w:bidi="zh-CN"/>
        </w:rPr>
        <w:t xml:space="preserve">      </w:t>
      </w:r>
      <w:r>
        <w:rPr>
          <w:rFonts w:hint="eastAsia" w:ascii="楷体" w:hAnsi="楷体" w:eastAsia="楷体" w:cs="楷体"/>
          <w:b/>
          <w:sz w:val="28"/>
          <w:szCs w:val="28"/>
          <w:lang w:val="zh-CN" w:bidi="zh-CN"/>
        </w:rPr>
        <w:t xml:space="preserve"> </w:t>
      </w:r>
    </w:p>
    <w:p>
      <w:pPr>
        <w:numPr>
          <w:ilvl w:val="0"/>
          <w:numId w:val="8"/>
        </w:numPr>
        <w:autoSpaceDE w:val="0"/>
        <w:autoSpaceDN w:val="0"/>
        <w:spacing w:line="360" w:lineRule="auto"/>
        <w:rPr>
          <w:rFonts w:ascii="楷体" w:hAnsi="楷体" w:eastAsia="楷体" w:cs="楷体"/>
          <w:b/>
          <w:sz w:val="24"/>
          <w:szCs w:val="22"/>
          <w:lang w:val="zh-CN" w:bidi="zh-CN"/>
        </w:rPr>
      </w:pPr>
      <w:r>
        <w:rPr>
          <w:rFonts w:hint="eastAsia" w:ascii="楷体" w:hAnsi="楷体" w:eastAsia="楷体" w:cs="楷体"/>
          <w:b/>
          <w:sz w:val="24"/>
          <w:szCs w:val="22"/>
          <w:lang w:val="zh-CN" w:bidi="zh-CN"/>
        </w:rPr>
        <w:t>得分：</w:t>
      </w: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tcPr>
          <w:p>
            <w:pPr>
              <w:autoSpaceDE w:val="0"/>
              <w:autoSpaceDN w:val="0"/>
              <w:adjustRightInd/>
              <w:spacing w:line="360" w:lineRule="auto"/>
              <w:jc w:val="center"/>
              <w:rPr>
                <w:rFonts w:ascii="楷体" w:hAnsi="楷体" w:eastAsia="楷体" w:cs="楷体"/>
                <w:b/>
                <w:kern w:val="0"/>
                <w:sz w:val="24"/>
                <w:szCs w:val="22"/>
                <w:lang w:val="zh-CN" w:bidi="zh-CN"/>
              </w:rPr>
            </w:pPr>
            <w:r>
              <w:rPr>
                <w:rFonts w:hint="eastAsia" w:ascii="楷体" w:hAnsi="楷体" w:eastAsia="楷体" w:cs="楷体"/>
                <w:b/>
                <w:kern w:val="0"/>
                <w:sz w:val="24"/>
                <w:szCs w:val="22"/>
                <w:lang w:val="zh-CN" w:bidi="zh-CN"/>
              </w:rPr>
              <w:t>评估内容（分值）</w:t>
            </w:r>
          </w:p>
        </w:tc>
        <w:tc>
          <w:tcPr>
            <w:tcW w:w="2615" w:type="dxa"/>
          </w:tcPr>
          <w:p>
            <w:pPr>
              <w:autoSpaceDE w:val="0"/>
              <w:autoSpaceDN w:val="0"/>
              <w:adjustRightInd/>
              <w:spacing w:line="360" w:lineRule="auto"/>
              <w:jc w:val="center"/>
              <w:rPr>
                <w:rFonts w:ascii="楷体" w:hAnsi="楷体" w:eastAsia="楷体" w:cs="楷体"/>
                <w:b/>
                <w:kern w:val="0"/>
                <w:sz w:val="24"/>
                <w:szCs w:val="22"/>
                <w:lang w:val="zh-CN" w:bidi="zh-CN"/>
              </w:rPr>
            </w:pPr>
            <w:r>
              <w:rPr>
                <w:rFonts w:hint="eastAsia" w:ascii="楷体" w:hAnsi="楷体" w:eastAsia="楷体" w:cs="楷体"/>
                <w:b/>
                <w:kern w:val="0"/>
                <w:sz w:val="24"/>
                <w:szCs w:val="22"/>
                <w:lang w:val="zh-CN" w:bidi="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bidi="zh-CN"/>
              </w:rPr>
              <w:t>外贸合同与免表、信用证等的开具速度、与办理质量</w:t>
            </w:r>
            <w:r>
              <w:rPr>
                <w:rFonts w:hint="eastAsia" w:ascii="楷体" w:hAnsi="楷体" w:eastAsia="楷体" w:cs="楷体"/>
                <w:sz w:val="24"/>
                <w:szCs w:val="22"/>
                <w:lang w:val="zh-CN" w:bidi="zh-CN"/>
              </w:rPr>
              <w:t>（</w:t>
            </w:r>
            <w:r>
              <w:rPr>
                <w:rFonts w:hint="eastAsia" w:ascii="楷体" w:hAnsi="楷体" w:eastAsia="楷体" w:cs="楷体"/>
                <w:sz w:val="24"/>
                <w:szCs w:val="22"/>
                <w:lang w:bidi="zh-CN"/>
              </w:rPr>
              <w:t>50</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bidi="zh-CN"/>
              </w:rPr>
              <w:t>清关手续的办理速度与服务质量</w:t>
            </w:r>
            <w:r>
              <w:rPr>
                <w:rFonts w:hint="eastAsia" w:ascii="楷体" w:hAnsi="楷体" w:eastAsia="楷体" w:cs="楷体"/>
                <w:sz w:val="24"/>
                <w:szCs w:val="22"/>
                <w:lang w:val="zh-CN" w:bidi="zh-CN"/>
              </w:rPr>
              <w:t>（</w:t>
            </w:r>
            <w:r>
              <w:rPr>
                <w:rFonts w:hint="eastAsia" w:ascii="楷体" w:hAnsi="楷体" w:eastAsia="楷体" w:cs="楷体"/>
                <w:sz w:val="24"/>
                <w:szCs w:val="22"/>
                <w:lang w:bidi="zh-CN"/>
              </w:rPr>
              <w:t>10</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bidi="zh-CN"/>
              </w:rPr>
              <w:t>对</w:t>
            </w:r>
            <w:r>
              <w:rPr>
                <w:rFonts w:hint="eastAsia" w:ascii="楷体" w:hAnsi="楷体" w:eastAsia="楷体" w:cs="楷体"/>
                <w:sz w:val="24"/>
                <w:szCs w:val="22"/>
                <w:lang w:val="zh-CN" w:bidi="zh-CN"/>
              </w:rPr>
              <w:t>项目执行情况</w:t>
            </w:r>
            <w:r>
              <w:rPr>
                <w:rFonts w:hint="eastAsia" w:ascii="楷体" w:hAnsi="楷体" w:eastAsia="楷体" w:cs="楷体"/>
                <w:sz w:val="24"/>
                <w:szCs w:val="22"/>
                <w:lang w:bidi="zh-CN"/>
              </w:rPr>
              <w:t>的持续跟踪，并定期向采购人反馈</w:t>
            </w:r>
            <w:r>
              <w:rPr>
                <w:rFonts w:hint="eastAsia" w:ascii="楷体" w:hAnsi="楷体" w:eastAsia="楷体" w:cs="楷体"/>
                <w:sz w:val="24"/>
                <w:szCs w:val="22"/>
                <w:lang w:val="zh-CN" w:bidi="zh-CN"/>
              </w:rPr>
              <w:t>（</w:t>
            </w:r>
            <w:r>
              <w:rPr>
                <w:rFonts w:hint="eastAsia" w:ascii="楷体" w:hAnsi="楷体" w:eastAsia="楷体" w:cs="楷体"/>
                <w:sz w:val="24"/>
                <w:szCs w:val="22"/>
                <w:lang w:bidi="zh-CN"/>
              </w:rPr>
              <w:t>15</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val="zh-CN" w:bidi="zh-CN"/>
              </w:rPr>
              <w:t>每年记录汇总，协助采购人完成海关等政府主管部门履行的年检、抽检及其他相关工作</w:t>
            </w:r>
            <w:r>
              <w:rPr>
                <w:rFonts w:hint="eastAsia" w:ascii="楷体" w:hAnsi="楷体" w:eastAsia="楷体" w:cs="楷体"/>
                <w:sz w:val="24"/>
                <w:szCs w:val="22"/>
                <w:lang w:bidi="zh-CN"/>
              </w:rPr>
              <w:t>的完成情况</w:t>
            </w:r>
            <w:r>
              <w:rPr>
                <w:rFonts w:hint="eastAsia" w:ascii="楷体" w:hAnsi="楷体" w:eastAsia="楷体" w:cs="楷体"/>
                <w:sz w:val="24"/>
                <w:szCs w:val="22"/>
                <w:lang w:val="zh-CN" w:bidi="zh-CN"/>
              </w:rPr>
              <w:t>（</w:t>
            </w:r>
            <w:r>
              <w:rPr>
                <w:rFonts w:hint="eastAsia" w:ascii="楷体" w:hAnsi="楷体" w:eastAsia="楷体" w:cs="楷体"/>
                <w:sz w:val="24"/>
                <w:szCs w:val="22"/>
                <w:lang w:bidi="zh-CN"/>
              </w:rPr>
              <w:t>15</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tcPr>
          <w:p>
            <w:pPr>
              <w:numPr>
                <w:ilvl w:val="0"/>
                <w:numId w:val="9"/>
              </w:numPr>
              <w:autoSpaceDE w:val="0"/>
              <w:autoSpaceDN w:val="0"/>
              <w:spacing w:line="360" w:lineRule="auto"/>
              <w:rPr>
                <w:rFonts w:ascii="楷体" w:hAnsi="楷体" w:eastAsia="楷体" w:cs="楷体"/>
                <w:sz w:val="24"/>
                <w:szCs w:val="22"/>
                <w:lang w:val="zh-CN" w:bidi="zh-CN"/>
              </w:rPr>
            </w:pPr>
            <w:r>
              <w:rPr>
                <w:rFonts w:hint="eastAsia" w:ascii="楷体" w:hAnsi="楷体" w:eastAsia="楷体" w:cs="楷体"/>
                <w:sz w:val="24"/>
                <w:szCs w:val="22"/>
                <w:lang w:val="zh-CN" w:bidi="zh-CN"/>
              </w:rPr>
              <w:t>服务态度（</w:t>
            </w:r>
            <w:r>
              <w:rPr>
                <w:rFonts w:hint="eastAsia" w:ascii="楷体" w:hAnsi="楷体" w:eastAsia="楷体" w:cs="楷体"/>
                <w:sz w:val="24"/>
                <w:szCs w:val="22"/>
                <w:lang w:bidi="zh-CN"/>
              </w:rPr>
              <w:t>10</w:t>
            </w:r>
            <w:r>
              <w:rPr>
                <w:rFonts w:hint="eastAsia" w:ascii="楷体" w:hAnsi="楷体" w:eastAsia="楷体" w:cs="楷体"/>
                <w:sz w:val="24"/>
                <w:szCs w:val="22"/>
                <w:lang w:val="zh-CN" w:bidi="zh-CN"/>
              </w:rPr>
              <w:t>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tcPr>
          <w:p>
            <w:pPr>
              <w:autoSpaceDE w:val="0"/>
              <w:autoSpaceDN w:val="0"/>
              <w:adjustRightInd/>
              <w:spacing w:line="360" w:lineRule="auto"/>
              <w:jc w:val="center"/>
              <w:rPr>
                <w:rFonts w:ascii="楷体" w:hAnsi="楷体" w:eastAsia="楷体" w:cs="楷体"/>
                <w:b/>
                <w:kern w:val="0"/>
                <w:sz w:val="24"/>
                <w:szCs w:val="22"/>
                <w:lang w:val="zh-CN" w:bidi="zh-CN"/>
              </w:rPr>
            </w:pPr>
            <w:r>
              <w:rPr>
                <w:rFonts w:hint="eastAsia" w:ascii="楷体" w:hAnsi="楷体" w:eastAsia="楷体" w:cs="楷体"/>
                <w:b/>
                <w:kern w:val="0"/>
                <w:sz w:val="24"/>
                <w:szCs w:val="22"/>
                <w:lang w:val="zh-CN" w:bidi="zh-CN"/>
              </w:rPr>
              <w:t>总分</w:t>
            </w:r>
          </w:p>
        </w:tc>
        <w:tc>
          <w:tcPr>
            <w:tcW w:w="2615" w:type="dxa"/>
          </w:tcPr>
          <w:p>
            <w:pPr>
              <w:autoSpaceDE w:val="0"/>
              <w:autoSpaceDN w:val="0"/>
              <w:adjustRightInd/>
              <w:spacing w:line="360" w:lineRule="auto"/>
              <w:jc w:val="left"/>
              <w:rPr>
                <w:rFonts w:ascii="楷体" w:hAnsi="楷体" w:eastAsia="楷体" w:cs="楷体"/>
                <w:kern w:val="0"/>
                <w:sz w:val="24"/>
                <w:szCs w:val="22"/>
                <w:lang w:val="zh-CN" w:bidi="zh-CN"/>
              </w:rPr>
            </w:pPr>
          </w:p>
        </w:tc>
      </w:tr>
    </w:tbl>
    <w:p>
      <w:pPr>
        <w:autoSpaceDE w:val="0"/>
        <w:autoSpaceDN w:val="0"/>
        <w:adjustRightInd/>
        <w:spacing w:line="360" w:lineRule="auto"/>
        <w:ind w:firstLine="720"/>
        <w:jc w:val="left"/>
        <w:rPr>
          <w:rFonts w:ascii="楷体" w:hAnsi="楷体" w:eastAsia="楷体" w:cs="楷体"/>
          <w:kern w:val="0"/>
          <w:sz w:val="24"/>
          <w:szCs w:val="22"/>
          <w:lang w:bidi="zh-CN"/>
        </w:rPr>
      </w:pPr>
    </w:p>
    <w:p>
      <w:pPr>
        <w:autoSpaceDE w:val="0"/>
        <w:autoSpaceDN w:val="0"/>
        <w:spacing w:line="360" w:lineRule="auto"/>
        <w:ind w:left="119" w:right="359" w:firstLine="566"/>
        <w:rPr>
          <w:rFonts w:ascii="宋体" w:hAnsi="宋体" w:cs="宋体"/>
          <w:sz w:val="24"/>
          <w:lang w:val="zh-CN" w:bidi="zh-CN"/>
        </w:rPr>
      </w:pPr>
    </w:p>
    <w:p>
      <w:pPr>
        <w:autoSpaceDE w:val="0"/>
        <w:autoSpaceDN w:val="0"/>
        <w:spacing w:line="360" w:lineRule="auto"/>
        <w:ind w:left="119" w:right="359" w:firstLine="566"/>
        <w:rPr>
          <w:rFonts w:ascii="宋体" w:hAnsi="宋体" w:cs="宋体"/>
          <w:sz w:val="24"/>
          <w:lang w:val="zh-CN" w:bidi="zh-CN"/>
        </w:rPr>
      </w:pPr>
    </w:p>
    <w:p>
      <w:pPr>
        <w:autoSpaceDE w:val="0"/>
        <w:autoSpaceDN w:val="0"/>
        <w:spacing w:line="360" w:lineRule="auto"/>
        <w:ind w:left="119" w:right="359" w:firstLine="566"/>
        <w:rPr>
          <w:rFonts w:ascii="宋体" w:hAnsi="宋体" w:cs="宋体"/>
          <w:b/>
          <w:bCs/>
          <w:sz w:val="24"/>
          <w:u w:val="single"/>
          <w:lang w:bidi="zh-CN"/>
        </w:rPr>
      </w:pPr>
      <w:r>
        <w:rPr>
          <w:rFonts w:hint="eastAsia" w:ascii="宋体" w:hAnsi="宋体" w:cs="宋体"/>
          <w:b/>
          <w:bCs/>
          <w:sz w:val="24"/>
          <w:lang w:bidi="zh-CN"/>
        </w:rPr>
        <w:t>使用科室确认：</w:t>
      </w:r>
      <w:r>
        <w:rPr>
          <w:rFonts w:hint="eastAsia" w:ascii="宋体" w:hAnsi="宋体" w:cs="宋体"/>
          <w:b/>
          <w:bCs/>
          <w:sz w:val="24"/>
          <w:u w:val="single"/>
          <w:lang w:bidi="zh-CN"/>
        </w:rPr>
        <w:t xml:space="preserve">                           </w:t>
      </w:r>
    </w:p>
    <w:p>
      <w:pPr>
        <w:jc w:val="left"/>
        <w:rPr>
          <w:rFonts w:ascii="仿宋_GB2312" w:hAnsi="仿宋" w:eastAsia="仿宋_GB2312"/>
          <w:b/>
          <w:sz w:val="36"/>
          <w:szCs w:val="20"/>
        </w:rPr>
      </w:pPr>
      <w:r>
        <w:rPr>
          <w:rFonts w:hint="eastAsia" w:ascii="仿宋_GB2312" w:eastAsia="仿宋_GB2312"/>
        </w:rPr>
        <w:br w:type="page"/>
      </w:r>
      <w:bookmarkEnd w:id="419"/>
      <w:bookmarkEnd w:id="420"/>
      <w:r>
        <w:rPr>
          <w:rFonts w:hint="eastAsia" w:ascii="仿宋_GB2312" w:hAnsi="仿宋" w:eastAsia="仿宋_GB2312"/>
          <w:b/>
          <w:sz w:val="36"/>
          <w:szCs w:val="20"/>
        </w:rPr>
        <w:t>第六部分 应提交的有关格式范例</w:t>
      </w:r>
    </w:p>
    <w:p>
      <w:pPr>
        <w:adjustRightInd/>
        <w:spacing w:line="360" w:lineRule="exact"/>
        <w:jc w:val="center"/>
        <w:rPr>
          <w:rFonts w:ascii="仿宋_GB2312" w:hAnsi="宋体" w:eastAsia="仿宋_GB2312"/>
          <w:sz w:val="30"/>
          <w:szCs w:val="30"/>
        </w:rPr>
      </w:pPr>
      <w:r>
        <w:rPr>
          <w:rFonts w:hint="eastAsia" w:ascii="仿宋_GB2312" w:hAnsi="宋体" w:eastAsia="仿宋_GB2312"/>
          <w:sz w:val="30"/>
          <w:szCs w:val="30"/>
        </w:rPr>
        <w:t>第六章  投标文件格式（参考）</w:t>
      </w:r>
    </w:p>
    <w:p>
      <w:pPr>
        <w:adjustRightInd/>
        <w:snapToGrid w:val="0"/>
        <w:spacing w:line="360" w:lineRule="exact"/>
        <w:jc w:val="center"/>
        <w:outlineLvl w:val="1"/>
        <w:rPr>
          <w:rFonts w:ascii="仿宋_GB2312" w:hAnsi="宋体" w:eastAsia="仿宋_GB2312"/>
          <w:b/>
          <w:bCs/>
          <w:sz w:val="24"/>
          <w:szCs w:val="20"/>
        </w:rPr>
      </w:pPr>
      <w:r>
        <w:rPr>
          <w:rFonts w:hint="eastAsia" w:ascii="仿宋_GB2312" w:hAnsi="宋体" w:eastAsia="仿宋_GB2312"/>
          <w:b/>
          <w:bCs/>
          <w:sz w:val="24"/>
        </w:rPr>
        <w:t>一、投标文件外层包装封面格式</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报 价 文 件/资格、商 务 技 术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4080" w:firstLineChars="1700"/>
        <w:rPr>
          <w:rFonts w:ascii="仿宋_GB2312" w:hAnsi="宋体" w:eastAsia="仿宋_GB2312"/>
          <w:bCs/>
          <w:sz w:val="24"/>
          <w:szCs w:val="20"/>
        </w:rPr>
      </w:pPr>
    </w:p>
    <w:p>
      <w:pPr>
        <w:adjustRightInd/>
        <w:snapToGrid w:val="0"/>
        <w:spacing w:line="360" w:lineRule="exact"/>
        <w:ind w:firstLine="645"/>
        <w:jc w:val="center"/>
        <w:rPr>
          <w:rFonts w:ascii="仿宋_GB2312" w:hAnsi="宋体" w:eastAsia="仿宋_GB2312"/>
          <w:bCs/>
          <w:sz w:val="24"/>
          <w:szCs w:val="20"/>
        </w:rPr>
      </w:pPr>
      <w:r>
        <w:rPr>
          <w:rFonts w:hint="eastAsia" w:ascii="仿宋_GB2312" w:hAnsi="宋体" w:eastAsia="仿宋_GB2312"/>
          <w:bCs/>
          <w:sz w:val="24"/>
        </w:rPr>
        <w:t xml:space="preserve">                        年  月  日</w:t>
      </w:r>
    </w:p>
    <w:p>
      <w:pPr>
        <w:adjustRightInd/>
        <w:snapToGrid w:val="0"/>
        <w:spacing w:line="360" w:lineRule="exact"/>
        <w:jc w:val="center"/>
        <w:outlineLvl w:val="1"/>
        <w:rPr>
          <w:rFonts w:ascii="仿宋_GB2312" w:hAnsi="宋体" w:eastAsia="仿宋_GB2312"/>
          <w:b/>
          <w:bCs/>
          <w:sz w:val="24"/>
        </w:rPr>
      </w:pPr>
      <w:r>
        <w:rPr>
          <w:rFonts w:hint="eastAsia" w:ascii="仿宋_GB2312" w:hAnsi="宋体" w:eastAsia="仿宋_GB2312"/>
          <w:b/>
          <w:bCs/>
          <w:sz w:val="24"/>
        </w:rPr>
        <w:t>二、投标文件封面格式</w:t>
      </w:r>
    </w:p>
    <w:p>
      <w:pPr>
        <w:adjustRightInd/>
        <w:snapToGrid w:val="0"/>
        <w:spacing w:line="360" w:lineRule="exact"/>
        <w:rPr>
          <w:rFonts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报 价 文 件/资格、商 务 技 术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before="50" w:after="50"/>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before="120" w:beforeLines="50" w:after="50"/>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rPr>
          <w:rFonts w:ascii="仿宋_GB2312" w:hAnsi="宋体" w:eastAsia="仿宋_GB2312"/>
          <w:b/>
          <w:bCs/>
          <w:sz w:val="24"/>
        </w:rPr>
      </w:pPr>
      <w:r>
        <w:rPr>
          <w:rFonts w:hint="eastAsia" w:ascii="仿宋_GB2312" w:hAnsi="宋体" w:eastAsia="仿宋_GB2312"/>
          <w:b/>
          <w:bCs/>
          <w:sz w:val="24"/>
        </w:rPr>
        <w:br w:type="page"/>
      </w:r>
    </w:p>
    <w:p>
      <w:pPr>
        <w:tabs>
          <w:tab w:val="center" w:pos="4706"/>
          <w:tab w:val="left" w:pos="6222"/>
        </w:tabs>
        <w:spacing w:line="360" w:lineRule="auto"/>
        <w:jc w:val="center"/>
        <w:outlineLvl w:val="1"/>
        <w:rPr>
          <w:rFonts w:ascii="仿宋" w:hAnsi="仿宋" w:eastAsia="仿宋" w:cs="仿宋"/>
          <w:b/>
          <w:bCs/>
          <w:spacing w:val="-6"/>
          <w:sz w:val="24"/>
        </w:rPr>
      </w:pPr>
      <w:r>
        <w:rPr>
          <w:rFonts w:hint="eastAsia" w:ascii="仿宋" w:hAnsi="仿宋" w:eastAsia="仿宋" w:cs="仿宋"/>
          <w:b/>
          <w:bCs/>
          <w:spacing w:val="-6"/>
          <w:sz w:val="24"/>
        </w:rPr>
        <w:t>评分索引表</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971"/>
        <w:gridCol w:w="669"/>
        <w:gridCol w:w="3611"/>
        <w:gridCol w:w="912"/>
        <w:gridCol w:w="1162"/>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1971" w:type="dxa"/>
            <w:vAlign w:val="center"/>
          </w:tcPr>
          <w:p>
            <w:pPr>
              <w:jc w:val="center"/>
              <w:rPr>
                <w:rFonts w:ascii="仿宋" w:hAnsi="仿宋" w:eastAsia="仿宋" w:cs="仿宋"/>
                <w:b/>
                <w:bCs/>
                <w:szCs w:val="21"/>
              </w:rPr>
            </w:pPr>
            <w:r>
              <w:rPr>
                <w:rFonts w:hint="eastAsia" w:ascii="仿宋" w:hAnsi="仿宋" w:eastAsia="仿宋" w:cs="仿宋"/>
                <w:b/>
                <w:bCs/>
                <w:szCs w:val="21"/>
              </w:rPr>
              <w:t>评审因素</w:t>
            </w:r>
          </w:p>
        </w:tc>
        <w:tc>
          <w:tcPr>
            <w:tcW w:w="669" w:type="dxa"/>
            <w:vAlign w:val="center"/>
          </w:tcPr>
          <w:p>
            <w:pPr>
              <w:jc w:val="center"/>
              <w:rPr>
                <w:rFonts w:ascii="仿宋" w:hAnsi="仿宋" w:eastAsia="仿宋" w:cs="仿宋"/>
                <w:b/>
                <w:bCs/>
                <w:szCs w:val="21"/>
              </w:rPr>
            </w:pPr>
            <w:r>
              <w:rPr>
                <w:rFonts w:hint="eastAsia" w:ascii="仿宋" w:hAnsi="仿宋" w:eastAsia="仿宋" w:cs="仿宋"/>
                <w:b/>
                <w:bCs/>
                <w:szCs w:val="21"/>
              </w:rPr>
              <w:t>分值</w:t>
            </w:r>
          </w:p>
        </w:tc>
        <w:tc>
          <w:tcPr>
            <w:tcW w:w="3611" w:type="dxa"/>
            <w:vAlign w:val="center"/>
          </w:tcPr>
          <w:p>
            <w:pPr>
              <w:jc w:val="center"/>
              <w:rPr>
                <w:rFonts w:ascii="仿宋" w:hAnsi="仿宋" w:eastAsia="仿宋" w:cs="仿宋"/>
                <w:b/>
                <w:bCs/>
                <w:szCs w:val="21"/>
              </w:rPr>
            </w:pPr>
            <w:r>
              <w:rPr>
                <w:rFonts w:hint="eastAsia" w:ascii="仿宋" w:hAnsi="仿宋" w:eastAsia="仿宋" w:cs="仿宋"/>
                <w:b/>
                <w:bCs/>
                <w:szCs w:val="21"/>
              </w:rPr>
              <w:t>评分细则</w:t>
            </w:r>
          </w:p>
        </w:tc>
        <w:tc>
          <w:tcPr>
            <w:tcW w:w="912" w:type="dxa"/>
            <w:vAlign w:val="center"/>
          </w:tcPr>
          <w:p>
            <w:pPr>
              <w:jc w:val="center"/>
              <w:rPr>
                <w:rFonts w:ascii="仿宋" w:hAnsi="仿宋" w:eastAsia="仿宋" w:cs="仿宋"/>
                <w:b/>
                <w:bCs/>
                <w:szCs w:val="21"/>
              </w:rPr>
            </w:pPr>
            <w:r>
              <w:rPr>
                <w:rFonts w:hint="eastAsia" w:ascii="仿宋" w:hAnsi="仿宋" w:eastAsia="仿宋" w:cs="仿宋"/>
                <w:b/>
                <w:bCs/>
                <w:szCs w:val="21"/>
              </w:rPr>
              <w:t>自评分</w:t>
            </w:r>
          </w:p>
        </w:tc>
        <w:tc>
          <w:tcPr>
            <w:tcW w:w="1162" w:type="dxa"/>
            <w:vAlign w:val="center"/>
          </w:tcPr>
          <w:p>
            <w:pPr>
              <w:jc w:val="center"/>
              <w:rPr>
                <w:rFonts w:ascii="仿宋" w:hAnsi="仿宋" w:eastAsia="仿宋" w:cs="仿宋"/>
                <w:b/>
                <w:bCs/>
                <w:szCs w:val="21"/>
              </w:rPr>
            </w:pPr>
            <w:r>
              <w:rPr>
                <w:rFonts w:hint="eastAsia" w:ascii="仿宋" w:hAnsi="仿宋" w:eastAsia="仿宋" w:cs="仿宋"/>
                <w:b/>
                <w:bCs/>
                <w:szCs w:val="21"/>
              </w:rPr>
              <w:t>自评依据</w:t>
            </w:r>
          </w:p>
        </w:tc>
        <w:tc>
          <w:tcPr>
            <w:tcW w:w="661" w:type="dxa"/>
            <w:vAlign w:val="center"/>
          </w:tcPr>
          <w:p>
            <w:pPr>
              <w:jc w:val="center"/>
              <w:rPr>
                <w:rFonts w:ascii="仿宋" w:hAnsi="仿宋" w:eastAsia="仿宋" w:cs="仿宋"/>
                <w:b/>
                <w:bCs/>
                <w:szCs w:val="21"/>
              </w:rPr>
            </w:pPr>
            <w:r>
              <w:rPr>
                <w:rFonts w:hint="eastAsia" w:ascii="仿宋" w:hAnsi="仿宋" w:eastAsia="仿宋" w:cs="仿宋"/>
                <w:b/>
                <w:bCs/>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vAlign w:val="center"/>
          </w:tcPr>
          <w:p>
            <w:pPr>
              <w:jc w:val="center"/>
              <w:rPr>
                <w:rFonts w:ascii="仿宋" w:hAnsi="仿宋" w:eastAsia="仿宋" w:cs="仿宋"/>
                <w:b/>
                <w:bCs/>
                <w:szCs w:val="21"/>
              </w:rPr>
            </w:pPr>
            <w:r>
              <w:rPr>
                <w:rFonts w:hint="eastAsia" w:ascii="仿宋" w:hAnsi="仿宋" w:eastAsia="仿宋" w:cs="仿宋"/>
                <w:b/>
                <w:bCs/>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jc w:val="center"/>
              <w:rPr>
                <w:rFonts w:ascii="仿宋" w:hAnsi="仿宋" w:eastAsia="仿宋" w:cs="仿宋"/>
                <w:b/>
                <w:bCs/>
                <w:szCs w:val="21"/>
              </w:rPr>
            </w:pPr>
          </w:p>
        </w:tc>
        <w:tc>
          <w:tcPr>
            <w:tcW w:w="1971" w:type="dxa"/>
            <w:vAlign w:val="center"/>
          </w:tcPr>
          <w:p>
            <w:pPr>
              <w:jc w:val="center"/>
              <w:rPr>
                <w:rFonts w:ascii="仿宋" w:hAnsi="仿宋" w:eastAsia="仿宋" w:cs="仿宋"/>
                <w:b/>
                <w:bCs/>
                <w:szCs w:val="21"/>
              </w:rPr>
            </w:pPr>
          </w:p>
        </w:tc>
        <w:tc>
          <w:tcPr>
            <w:tcW w:w="669" w:type="dxa"/>
            <w:vAlign w:val="center"/>
          </w:tcPr>
          <w:p>
            <w:pPr>
              <w:jc w:val="center"/>
              <w:rPr>
                <w:rFonts w:ascii="仿宋" w:hAnsi="仿宋" w:eastAsia="仿宋" w:cs="仿宋"/>
                <w:b/>
                <w:bCs/>
                <w:szCs w:val="21"/>
              </w:rPr>
            </w:pPr>
          </w:p>
        </w:tc>
        <w:tc>
          <w:tcPr>
            <w:tcW w:w="3611" w:type="dxa"/>
            <w:vAlign w:val="center"/>
          </w:tcPr>
          <w:p>
            <w:pPr>
              <w:jc w:val="center"/>
              <w:rPr>
                <w:rFonts w:ascii="仿宋" w:hAnsi="仿宋" w:eastAsia="仿宋" w:cs="仿宋"/>
                <w:b/>
                <w:bCs/>
                <w:szCs w:val="21"/>
              </w:rPr>
            </w:pPr>
          </w:p>
        </w:tc>
        <w:tc>
          <w:tcPr>
            <w:tcW w:w="912" w:type="dxa"/>
            <w:vAlign w:val="center"/>
          </w:tcPr>
          <w:p>
            <w:pPr>
              <w:jc w:val="center"/>
              <w:rPr>
                <w:rFonts w:ascii="仿宋" w:hAnsi="仿宋" w:eastAsia="仿宋" w:cs="仿宋"/>
                <w:b/>
                <w:bCs/>
                <w:szCs w:val="21"/>
              </w:rPr>
            </w:pPr>
          </w:p>
        </w:tc>
        <w:tc>
          <w:tcPr>
            <w:tcW w:w="1162" w:type="dxa"/>
            <w:vAlign w:val="center"/>
          </w:tcPr>
          <w:p>
            <w:pPr>
              <w:jc w:val="center"/>
              <w:rPr>
                <w:rFonts w:ascii="仿宋" w:hAnsi="仿宋" w:eastAsia="仿宋" w:cs="仿宋"/>
                <w:b/>
                <w:bCs/>
                <w:szCs w:val="21"/>
              </w:rPr>
            </w:pPr>
          </w:p>
        </w:tc>
        <w:tc>
          <w:tcPr>
            <w:tcW w:w="661" w:type="dxa"/>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8" w:type="dxa"/>
            <w:gridSpan w:val="7"/>
            <w:vAlign w:val="center"/>
          </w:tcPr>
          <w:p>
            <w:pPr>
              <w:jc w:val="center"/>
              <w:rPr>
                <w:rFonts w:ascii="仿宋" w:hAnsi="仿宋" w:eastAsia="仿宋" w:cs="仿宋"/>
                <w:b/>
                <w:bCs/>
                <w:szCs w:val="21"/>
              </w:rPr>
            </w:pPr>
            <w:r>
              <w:rPr>
                <w:rFonts w:hint="eastAsia" w:ascii="仿宋" w:hAnsi="仿宋" w:eastAsia="仿宋" w:cs="仿宋"/>
                <w:b/>
                <w:bCs/>
                <w:szCs w:val="21"/>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2" w:type="dxa"/>
            <w:vAlign w:val="center"/>
          </w:tcPr>
          <w:p>
            <w:pPr>
              <w:rPr>
                <w:rFonts w:ascii="仿宋" w:hAnsi="仿宋" w:eastAsia="仿宋" w:cs="仿宋"/>
                <w:b/>
                <w:bCs/>
                <w:szCs w:val="21"/>
              </w:rPr>
            </w:pPr>
          </w:p>
        </w:tc>
        <w:tc>
          <w:tcPr>
            <w:tcW w:w="1971" w:type="dxa"/>
            <w:vAlign w:val="center"/>
          </w:tcPr>
          <w:p>
            <w:pPr>
              <w:rPr>
                <w:rFonts w:ascii="仿宋" w:hAnsi="仿宋" w:eastAsia="仿宋" w:cs="仿宋"/>
                <w:b/>
                <w:bCs/>
                <w:szCs w:val="21"/>
              </w:rPr>
            </w:pPr>
          </w:p>
        </w:tc>
        <w:tc>
          <w:tcPr>
            <w:tcW w:w="669" w:type="dxa"/>
            <w:vAlign w:val="center"/>
          </w:tcPr>
          <w:p>
            <w:pPr>
              <w:rPr>
                <w:rFonts w:ascii="仿宋" w:hAnsi="仿宋" w:eastAsia="仿宋" w:cs="仿宋"/>
                <w:b/>
                <w:bCs/>
                <w:szCs w:val="21"/>
              </w:rPr>
            </w:pPr>
          </w:p>
        </w:tc>
        <w:tc>
          <w:tcPr>
            <w:tcW w:w="3611" w:type="dxa"/>
            <w:vAlign w:val="center"/>
          </w:tcPr>
          <w:p>
            <w:pPr>
              <w:rPr>
                <w:rFonts w:ascii="仿宋" w:hAnsi="仿宋" w:eastAsia="仿宋" w:cs="仿宋"/>
                <w:b/>
                <w:bCs/>
                <w:szCs w:val="21"/>
              </w:rPr>
            </w:pPr>
          </w:p>
        </w:tc>
        <w:tc>
          <w:tcPr>
            <w:tcW w:w="912" w:type="dxa"/>
            <w:vAlign w:val="center"/>
          </w:tcPr>
          <w:p>
            <w:pPr>
              <w:rPr>
                <w:rFonts w:ascii="仿宋" w:hAnsi="仿宋" w:eastAsia="仿宋" w:cs="仿宋"/>
                <w:b/>
                <w:bCs/>
                <w:szCs w:val="21"/>
              </w:rPr>
            </w:pPr>
          </w:p>
        </w:tc>
        <w:tc>
          <w:tcPr>
            <w:tcW w:w="1162" w:type="dxa"/>
            <w:vAlign w:val="center"/>
          </w:tcPr>
          <w:p>
            <w:pPr>
              <w:rPr>
                <w:rFonts w:ascii="仿宋" w:hAnsi="仿宋" w:eastAsia="仿宋" w:cs="仿宋"/>
                <w:b/>
                <w:bCs/>
                <w:szCs w:val="21"/>
              </w:rPr>
            </w:pPr>
          </w:p>
        </w:tc>
        <w:tc>
          <w:tcPr>
            <w:tcW w:w="661" w:type="dxa"/>
          </w:tcPr>
          <w:p>
            <w:pPr>
              <w:rPr>
                <w:rFonts w:ascii="仿宋" w:hAnsi="仿宋" w:eastAsia="仿宋" w:cs="仿宋"/>
                <w:b/>
                <w:bCs/>
                <w:szCs w:val="21"/>
              </w:rPr>
            </w:pPr>
          </w:p>
        </w:tc>
      </w:tr>
    </w:tbl>
    <w:p>
      <w:pPr>
        <w:spacing w:line="360" w:lineRule="auto"/>
        <w:rPr>
          <w:rFonts w:ascii="仿宋" w:hAnsi="仿宋" w:eastAsia="仿宋" w:cs="仿宋"/>
          <w:spacing w:val="-6"/>
          <w:sz w:val="18"/>
          <w:szCs w:val="18"/>
        </w:rPr>
      </w:pPr>
    </w:p>
    <w:p>
      <w:pPr>
        <w:pStyle w:val="17"/>
        <w:ind w:firstLine="169"/>
      </w:pPr>
      <w:r>
        <w:rPr>
          <w:rFonts w:hint="eastAsia" w:ascii="仿宋" w:hAnsi="仿宋" w:eastAsia="仿宋" w:cs="仿宋"/>
          <w:b/>
          <w:bCs/>
          <w:spacing w:val="-6"/>
          <w:sz w:val="18"/>
          <w:szCs w:val="18"/>
        </w:rPr>
        <w:t>备注：本表仅为方便评分小组评审使用，不作为判别响应文件是否有效的依据。</w:t>
      </w:r>
      <w:r>
        <w:br w:type="page"/>
      </w:r>
    </w:p>
    <w:p>
      <w:pPr>
        <w:rPr>
          <w:rFonts w:ascii="仿宋_GB2312" w:hAnsi="宋体" w:eastAsia="仿宋_GB2312"/>
          <w:b/>
          <w:bCs/>
          <w:sz w:val="24"/>
        </w:rPr>
      </w:pPr>
    </w:p>
    <w:p>
      <w:pPr>
        <w:adjustRightInd/>
        <w:snapToGrid w:val="0"/>
        <w:spacing w:before="50" w:after="50"/>
        <w:rPr>
          <w:rFonts w:ascii="仿宋_GB2312" w:hAnsi="宋体" w:eastAsia="仿宋_GB2312"/>
          <w:sz w:val="24"/>
          <w:szCs w:val="20"/>
        </w:rPr>
      </w:pPr>
      <w:r>
        <w:rPr>
          <w:rFonts w:hint="eastAsia" w:ascii="仿宋_GB2312" w:hAnsi="宋体" w:eastAsia="仿宋_GB2312"/>
          <w:b/>
          <w:bCs/>
          <w:sz w:val="24"/>
        </w:rPr>
        <w:t>商务文件其它格式</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t>投 标 函</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致：</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1、我方已全面阅读和研究贵方的招标编号为</w:t>
      </w:r>
      <w:r>
        <w:rPr>
          <w:rFonts w:hint="eastAsia" w:ascii="仿宋_GB2312" w:hAnsi="宋体" w:eastAsia="仿宋_GB2312" w:cs="宋体"/>
          <w:szCs w:val="21"/>
          <w:u w:val="single"/>
        </w:rPr>
        <w:t xml:space="preserve"> XXX </w:t>
      </w:r>
      <w:r>
        <w:rPr>
          <w:rFonts w:hint="eastAsia" w:ascii="仿宋_GB2312" w:hAnsi="宋体" w:eastAsia="仿宋_GB2312" w:cs="宋体"/>
          <w:szCs w:val="21"/>
        </w:rPr>
        <w:t>的</w:t>
      </w:r>
      <w:r>
        <w:rPr>
          <w:rFonts w:hint="eastAsia" w:ascii="仿宋_GB2312" w:hAnsi="宋体" w:eastAsia="仿宋_GB2312" w:cs="宋体"/>
          <w:szCs w:val="21"/>
          <w:u w:val="single"/>
        </w:rPr>
        <w:t xml:space="preserve"> </w:t>
      </w:r>
      <w:r>
        <w:rPr>
          <w:rFonts w:hint="eastAsia" w:ascii="仿宋_GB2312" w:hAnsi="宋体" w:eastAsia="仿宋_GB2312" w:cs="宋体"/>
          <w:kern w:val="0"/>
          <w:szCs w:val="21"/>
          <w:u w:val="single"/>
        </w:rPr>
        <w:t>浙江大学国际健康医学研究院2022-2023年度进口代理服务商遴选项目</w:t>
      </w:r>
      <w:r>
        <w:rPr>
          <w:rFonts w:hint="eastAsia" w:ascii="仿宋_GB2312" w:hAnsi="宋体" w:eastAsia="仿宋_GB2312" w:cs="宋体"/>
          <w:szCs w:val="21"/>
        </w:rPr>
        <w:t>采购文件和招标补充文件，同意接受采购文件的全部内容和条件，并按此确定本项目投标的全部内容，以本投标文件向你方发包的全部内容进行投标。</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2、我方将严格按照有关招标投标法规及采购文件的规定参加投标，并理解贵方不一定接受最低标价的投标，对决标结果也没有解释义务。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3、如由我方中标，在接到你方发出的中标通知后在规定的时间内，按中标通知、采购文件和本投标文件的约定与你方签定招标代理合同，并递交采购文件中规定金额的履约保证金，履行规定的一切责任和义务。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4、我方将按照采购文件的所有要求，提供优质的代理服务。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5、我方已详细审查全部采购文件，我们完全理解并同意放弃对这方面有不明及误解的权利。</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6、我方同意提供按照贵方可能要求的于其投标有关的一切数据和资料。</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7、我方承认该投标文件格式为投标文件的组成部分。</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8、本投标文件自递交你方之日起</w:t>
      </w:r>
      <w:r>
        <w:rPr>
          <w:rFonts w:hint="eastAsia" w:ascii="仿宋_GB2312" w:hAnsi="宋体" w:eastAsia="仿宋_GB2312" w:cs="宋体"/>
          <w:szCs w:val="21"/>
          <w:u w:val="single"/>
        </w:rPr>
        <w:t xml:space="preserve"> 90</w:t>
      </w:r>
      <w:r>
        <w:rPr>
          <w:rFonts w:hint="eastAsia" w:ascii="仿宋_GB2312" w:hAnsi="宋体" w:eastAsia="仿宋_GB2312" w:cs="宋体"/>
          <w:szCs w:val="21"/>
        </w:rPr>
        <w:t>天内有效，在此有效期内，全部条款内容对我方具有约束力，如中标将成为招标代理合同文件组成部分。</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投标人（盖公章）：             法定代表人或授权代表（签章）：</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联系人：                      联系地址：</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电话：                        邮编：</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开户银行：                    帐号：</w:t>
      </w:r>
    </w:p>
    <w:p>
      <w:pPr>
        <w:snapToGrid w:val="0"/>
        <w:spacing w:line="360" w:lineRule="auto"/>
        <w:ind w:firstLine="525" w:firstLineChars="250"/>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日期：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法定代表人资格证明书</w:t>
      </w:r>
    </w:p>
    <w:p>
      <w:pPr>
        <w:snapToGrid w:val="0"/>
        <w:spacing w:line="360" w:lineRule="auto"/>
        <w:ind w:firstLine="718" w:firstLineChars="342"/>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单位名称：</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地址：</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姓名：</w:t>
      </w:r>
      <w:r>
        <w:rPr>
          <w:rFonts w:hint="eastAsia" w:ascii="仿宋_GB2312" w:hAnsi="宋体" w:eastAsia="仿宋_GB2312" w:cs="宋体"/>
          <w:szCs w:val="21"/>
          <w:u w:val="single"/>
        </w:rPr>
        <w:t xml:space="preserve">            </w:t>
      </w:r>
      <w:r>
        <w:rPr>
          <w:rFonts w:hint="eastAsia" w:ascii="仿宋_GB2312" w:hAnsi="宋体" w:eastAsia="仿宋_GB2312" w:cs="宋体"/>
          <w:szCs w:val="21"/>
        </w:rPr>
        <w:t>性别：</w:t>
      </w:r>
      <w:r>
        <w:rPr>
          <w:rFonts w:hint="eastAsia" w:ascii="仿宋_GB2312" w:hAnsi="宋体" w:eastAsia="仿宋_GB2312" w:cs="宋体"/>
          <w:szCs w:val="21"/>
          <w:u w:val="single"/>
        </w:rPr>
        <w:t xml:space="preserve">      </w:t>
      </w:r>
      <w:r>
        <w:rPr>
          <w:rFonts w:hint="eastAsia" w:ascii="仿宋_GB2312" w:hAnsi="宋体" w:eastAsia="仿宋_GB2312" w:cs="宋体"/>
          <w:szCs w:val="21"/>
        </w:rPr>
        <w:t>年龄：</w:t>
      </w:r>
      <w:r>
        <w:rPr>
          <w:rFonts w:hint="eastAsia" w:ascii="仿宋_GB2312" w:hAnsi="宋体" w:eastAsia="仿宋_GB2312" w:cs="宋体"/>
          <w:szCs w:val="21"/>
          <w:u w:val="single"/>
        </w:rPr>
        <w:t xml:space="preserve">      </w:t>
      </w:r>
      <w:r>
        <w:rPr>
          <w:rFonts w:hint="eastAsia" w:ascii="仿宋_GB2312" w:hAnsi="宋体" w:eastAsia="仿宋_GB2312" w:cs="宋体"/>
          <w:szCs w:val="21"/>
        </w:rPr>
        <w:t>职务：</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系</w:t>
      </w:r>
      <w:r>
        <w:rPr>
          <w:rFonts w:hint="eastAsia" w:ascii="仿宋_GB2312" w:hAnsi="宋体" w:eastAsia="仿宋_GB2312" w:cs="宋体"/>
          <w:szCs w:val="21"/>
          <w:u w:val="single"/>
        </w:rPr>
        <w:t xml:space="preserve">                                 </w:t>
      </w:r>
      <w:r>
        <w:rPr>
          <w:rFonts w:hint="eastAsia" w:ascii="仿宋_GB2312" w:hAnsi="宋体" w:eastAsia="仿宋_GB2312" w:cs="宋体"/>
          <w:szCs w:val="21"/>
        </w:rPr>
        <w:t>的法定代表人。为委托招标代理投标签署投标文件，进行合同谈判、签署合同和处理与之有关的一切事务。</w:t>
      </w:r>
    </w:p>
    <w:p>
      <w:pPr>
        <w:snapToGrid w:val="0"/>
        <w:spacing w:line="360" w:lineRule="auto"/>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特此证明。</w:t>
      </w:r>
    </w:p>
    <w:p>
      <w:pPr>
        <w:snapToGrid w:val="0"/>
        <w:spacing w:line="360" w:lineRule="auto"/>
        <w:ind w:firstLine="840" w:firstLineChars="400"/>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rPr>
          <w:rFonts w:ascii="仿宋_GB2312" w:hAnsi="宋体" w:eastAsia="仿宋_GB2312" w:cs="宋体"/>
          <w:szCs w:val="21"/>
        </w:rPr>
      </w:pP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授权委托书</w:t>
      </w: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__________________________：</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ascii="仿宋_GB2312" w:hAnsi="宋体" w:eastAsia="仿宋_GB2312" w:cs="宋体"/>
          <w:szCs w:val="21"/>
        </w:rPr>
      </w:pPr>
    </w:p>
    <w:p>
      <w:pPr>
        <w:snapToGrid w:val="0"/>
        <w:spacing w:line="360" w:lineRule="auto"/>
        <w:ind w:firstLine="310" w:firstLineChars="147"/>
        <w:rPr>
          <w:rFonts w:ascii="仿宋_GB2312" w:hAnsi="宋体" w:eastAsia="仿宋_GB2312" w:cs="宋体"/>
          <w:b/>
          <w:szCs w:val="21"/>
        </w:rPr>
      </w:pPr>
      <w:r>
        <w:rPr>
          <w:rFonts w:hint="eastAsia" w:ascii="仿宋_GB2312" w:hAnsi="宋体" w:eastAsia="仿宋_GB2312" w:cs="宋体"/>
          <w:b/>
          <w:szCs w:val="21"/>
        </w:rPr>
        <w:t>（本委托书应与受托人身份证一并在开标会上出示）。</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  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法定代表人：（签字或盖章）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日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adjustRightInd/>
        <w:snapToGrid w:val="0"/>
        <w:spacing w:before="120" w:beforeLines="50" w:after="50"/>
        <w:rPr>
          <w:rFonts w:ascii="仿宋_GB2312" w:hAnsi="宋体" w:eastAsia="仿宋_GB2312"/>
          <w:sz w:val="24"/>
          <w:szCs w:val="20"/>
        </w:rPr>
      </w:pPr>
    </w:p>
    <w:p>
      <w:pPr>
        <w:adjustRightInd/>
        <w:snapToGrid w:val="0"/>
        <w:spacing w:before="50" w:after="120" w:afterLines="50"/>
        <w:jc w:val="left"/>
        <w:rPr>
          <w:rFonts w:ascii="仿宋_GB2312" w:hAnsi="宋体" w:eastAsia="仿宋_GB2312"/>
          <w:sz w:val="24"/>
        </w:rPr>
      </w:pPr>
      <w:r>
        <w:rPr>
          <w:rFonts w:hint="eastAsia" w:ascii="仿宋_GB2312" w:hAnsi="宋体" w:eastAsia="仿宋_GB2312"/>
          <w:sz w:val="24"/>
        </w:rPr>
        <w:t>5.投标声明书格式：</w:t>
      </w:r>
    </w:p>
    <w:p>
      <w:pPr>
        <w:adjustRightInd/>
        <w:snapToGrid w:val="0"/>
        <w:spacing w:before="50" w:after="120" w:afterLines="50"/>
        <w:jc w:val="left"/>
        <w:rPr>
          <w:rFonts w:ascii="仿宋_GB2312" w:hAnsi="宋体" w:eastAsia="仿宋_GB2312"/>
          <w:sz w:val="24"/>
        </w:rPr>
      </w:pPr>
    </w:p>
    <w:p>
      <w:pPr>
        <w:tabs>
          <w:tab w:val="left" w:pos="8100"/>
          <w:tab w:val="left" w:pos="9360"/>
        </w:tabs>
        <w:adjustRightInd/>
        <w:spacing w:line="400" w:lineRule="exact"/>
        <w:ind w:left="840" w:hanging="840"/>
        <w:jc w:val="center"/>
        <w:rPr>
          <w:rFonts w:ascii="仿宋_GB2312" w:hAnsi="宋体" w:eastAsia="仿宋_GB2312"/>
          <w:b/>
          <w:bCs/>
          <w:sz w:val="24"/>
        </w:rPr>
      </w:pPr>
      <w:r>
        <w:rPr>
          <w:rFonts w:hint="eastAsia" w:ascii="仿宋_GB2312" w:hAnsi="宋体" w:eastAsia="仿宋_GB2312"/>
          <w:b/>
          <w:bCs/>
          <w:sz w:val="24"/>
        </w:rPr>
        <w:t>投 标 人 声 明</w:t>
      </w:r>
    </w:p>
    <w:p>
      <w:pPr>
        <w:tabs>
          <w:tab w:val="left" w:pos="8100"/>
          <w:tab w:val="left" w:pos="9360"/>
        </w:tabs>
        <w:adjustRightInd/>
        <w:spacing w:line="360" w:lineRule="auto"/>
        <w:rPr>
          <w:rFonts w:ascii="仿宋_GB2312" w:eastAsia="仿宋_GB2312"/>
          <w:sz w:val="28"/>
          <w:szCs w:val="28"/>
        </w:rPr>
      </w:pPr>
      <w:r>
        <w:rPr>
          <w:rFonts w:hint="eastAsia" w:ascii="仿宋_GB2312" w:eastAsia="仿宋_GB2312"/>
          <w:sz w:val="24"/>
        </w:rPr>
        <w:t xml:space="preserve">   </w:t>
      </w:r>
      <w:r>
        <w:rPr>
          <w:rFonts w:hint="eastAsia" w:ascii="仿宋_GB2312" w:eastAsia="仿宋_GB2312"/>
          <w:sz w:val="28"/>
          <w:szCs w:val="28"/>
        </w:rPr>
        <w:t xml:space="preserve"> </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特此声明。</w:t>
      </w:r>
    </w:p>
    <w:p>
      <w:pPr>
        <w:tabs>
          <w:tab w:val="left" w:pos="8100"/>
          <w:tab w:val="left" w:pos="9360"/>
        </w:tabs>
        <w:adjustRightInd/>
        <w:spacing w:line="360" w:lineRule="auto"/>
        <w:ind w:firstLine="480"/>
        <w:rPr>
          <w:rFonts w:ascii="仿宋_GB2312" w:eastAsia="仿宋_GB2312"/>
          <w:sz w:val="28"/>
          <w:szCs w:val="28"/>
        </w:rPr>
      </w:pPr>
    </w:p>
    <w:p>
      <w:pPr>
        <w:adjustRightInd/>
        <w:snapToGrid w:val="0"/>
        <w:spacing w:before="120" w:beforeLines="50"/>
        <w:ind w:firstLine="200"/>
        <w:rPr>
          <w:rFonts w:ascii="仿宋_GB2312" w:hAnsi="宋体" w:eastAsia="仿宋_GB2312"/>
          <w:sz w:val="24"/>
          <w:szCs w:val="20"/>
          <w:u w:val="single"/>
        </w:rPr>
      </w:pPr>
      <w:r>
        <w:rPr>
          <w:rFonts w:hint="eastAsia" w:ascii="仿宋_GB2312" w:hAnsi="宋体" w:eastAsia="仿宋_GB2312"/>
          <w:sz w:val="24"/>
        </w:rPr>
        <w:t>法定代表人签字：</w:t>
      </w:r>
      <w:r>
        <w:rPr>
          <w:rFonts w:hint="eastAsia" w:ascii="仿宋_GB2312" w:hAnsi="宋体" w:eastAsia="仿宋_GB2312"/>
          <w:sz w:val="24"/>
          <w:u w:val="single"/>
        </w:rPr>
        <w:t xml:space="preserve">             </w:t>
      </w:r>
    </w:p>
    <w:p>
      <w:pPr>
        <w:adjustRightInd/>
        <w:snapToGrid w:val="0"/>
        <w:spacing w:before="120" w:beforeLines="50" w:after="50"/>
        <w:ind w:firstLine="240" w:firstLineChars="100"/>
        <w:rPr>
          <w:rFonts w:ascii="仿宋_GB2312" w:hAnsi="宋体" w:eastAsia="仿宋_GB2312"/>
          <w:sz w:val="24"/>
          <w:szCs w:val="20"/>
        </w:rPr>
      </w:pPr>
      <w:r>
        <w:rPr>
          <w:rFonts w:hint="eastAsia" w:ascii="仿宋_GB2312" w:hAnsi="宋体" w:eastAsia="仿宋_GB2312"/>
          <w:sz w:val="24"/>
        </w:rPr>
        <w:t>投标人公章：</w:t>
      </w:r>
      <w:r>
        <w:rPr>
          <w:rFonts w:hint="eastAsia" w:ascii="仿宋_GB2312" w:hAnsi="宋体" w:eastAsia="仿宋_GB2312"/>
          <w:sz w:val="24"/>
          <w:u w:val="single"/>
        </w:rPr>
        <w:t xml:space="preserve">               </w:t>
      </w:r>
      <w:r>
        <w:rPr>
          <w:rFonts w:hint="eastAsia" w:ascii="仿宋_GB2312" w:hAnsi="宋体" w:eastAsia="仿宋_GB2312"/>
          <w:sz w:val="24"/>
        </w:rPr>
        <w:t xml:space="preserve">                      年    月    日</w:t>
      </w:r>
    </w:p>
    <w:p>
      <w:pPr>
        <w:adjustRightInd/>
        <w:snapToGrid w:val="0"/>
        <w:spacing w:before="120" w:beforeLines="50" w:after="50"/>
        <w:jc w:val="left"/>
        <w:rPr>
          <w:rFonts w:ascii="仿宋_GB2312" w:hAnsi="宋体" w:eastAsia="仿宋_GB2312"/>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rPr>
          <w:rFonts w:ascii="仿宋_GB2312" w:hAnsi="宋体" w:eastAsia="仿宋_GB2312"/>
          <w:b/>
          <w:bCs/>
          <w:sz w:val="24"/>
        </w:rPr>
      </w:pPr>
    </w:p>
    <w:p>
      <w:pPr>
        <w:pStyle w:val="17"/>
        <w:ind w:firstLine="240"/>
      </w:pPr>
      <w:r>
        <w:br w:type="page"/>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报价一览表</w:t>
      </w:r>
    </w:p>
    <w:p>
      <w:pPr>
        <w:spacing w:line="480" w:lineRule="exact"/>
        <w:rPr>
          <w:rFonts w:ascii="宋体"/>
          <w:szCs w:val="21"/>
        </w:rPr>
      </w:pPr>
      <w:r>
        <w:rPr>
          <w:rFonts w:hint="eastAsia" w:ascii="宋体" w:hAnsi="宋体"/>
          <w:szCs w:val="21"/>
        </w:rPr>
        <w:t>投标方名称：</w:t>
      </w:r>
      <w:r>
        <w:rPr>
          <w:rFonts w:ascii="宋体" w:hAnsi="宋体"/>
          <w:szCs w:val="21"/>
          <w:u w:val="single"/>
        </w:rPr>
        <w:t xml:space="preserve">                            </w:t>
      </w:r>
      <w:r>
        <w:rPr>
          <w:rFonts w:hint="eastAsia" w:ascii="宋体" w:hAnsi="宋体"/>
          <w:szCs w:val="21"/>
        </w:rPr>
        <w:t>（公章）</w:t>
      </w:r>
    </w:p>
    <w:p>
      <w:pPr>
        <w:spacing w:line="480" w:lineRule="exact"/>
        <w:ind w:firstLine="420" w:firstLineChars="200"/>
        <w:rPr>
          <w:rFonts w:ascii="宋体"/>
          <w:szCs w:val="21"/>
        </w:rPr>
      </w:pPr>
      <w:r>
        <w:rPr>
          <w:rFonts w:hint="eastAsia" w:ascii="宋体" w:hAnsi="宋体"/>
          <w:szCs w:val="21"/>
        </w:rPr>
        <w:t>一：进口代理费率</w:t>
      </w:r>
      <w:r>
        <w:rPr>
          <w:rFonts w:hint="eastAsia" w:ascii="宋体" w:hAnsi="宋体"/>
          <w:kern w:val="0"/>
          <w:szCs w:val="21"/>
        </w:rPr>
        <w:t>投标报价为</w:t>
      </w:r>
      <w:r>
        <w:rPr>
          <w:rFonts w:ascii="宋体" w:hAnsi="宋体"/>
          <w:kern w:val="0"/>
          <w:szCs w:val="21"/>
        </w:rPr>
        <w:t>:</w:t>
      </w:r>
    </w:p>
    <w:tbl>
      <w:tblPr>
        <w:tblStyle w:val="18"/>
        <w:tblW w:w="7014"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27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hAnsi="宋体"/>
                <w:szCs w:val="21"/>
              </w:rPr>
            </w:pPr>
            <w:r>
              <w:rPr>
                <w:rFonts w:hint="eastAsia" w:ascii="宋体" w:hAnsi="宋体"/>
                <w:szCs w:val="21"/>
              </w:rPr>
              <w:t>代理金额</w:t>
            </w:r>
            <w:r>
              <w:rPr>
                <w:rFonts w:ascii="宋体" w:hAnsi="宋体"/>
                <w:szCs w:val="21"/>
              </w:rPr>
              <w:t>(</w:t>
            </w:r>
            <w:r>
              <w:rPr>
                <w:rFonts w:hint="eastAsia" w:ascii="宋体" w:hAnsi="宋体"/>
                <w:szCs w:val="21"/>
              </w:rPr>
              <w:t>单票</w:t>
            </w:r>
            <w:r>
              <w:rPr>
                <w:rFonts w:ascii="宋体" w:hAnsi="宋体"/>
                <w:szCs w:val="21"/>
              </w:rPr>
              <w:t>)</w:t>
            </w:r>
          </w:p>
        </w:tc>
        <w:tc>
          <w:tcPr>
            <w:tcW w:w="2272" w:type="dxa"/>
            <w:vAlign w:val="center"/>
          </w:tcPr>
          <w:p>
            <w:pPr>
              <w:spacing w:line="480" w:lineRule="exact"/>
              <w:jc w:val="center"/>
              <w:rPr>
                <w:rFonts w:ascii="宋体"/>
                <w:szCs w:val="21"/>
              </w:rPr>
            </w:pPr>
            <w:r>
              <w:rPr>
                <w:rFonts w:hint="eastAsia" w:ascii="宋体" w:hAnsi="宋体"/>
                <w:szCs w:val="21"/>
              </w:rPr>
              <w:t>代理费率报价</w:t>
            </w:r>
          </w:p>
        </w:tc>
        <w:tc>
          <w:tcPr>
            <w:tcW w:w="2207" w:type="dxa"/>
            <w:vAlign w:val="center"/>
          </w:tcPr>
          <w:p>
            <w:pPr>
              <w:spacing w:line="480" w:lineRule="exact"/>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spacing w:val="16"/>
                <w:szCs w:val="21"/>
              </w:rPr>
            </w:pPr>
            <w:r>
              <w:rPr>
                <w:rFonts w:hint="eastAsia" w:ascii="宋体" w:hAnsi="宋体"/>
                <w:kern w:val="0"/>
                <w:szCs w:val="21"/>
              </w:rPr>
              <w:t>大于</w:t>
            </w:r>
            <w:r>
              <w:rPr>
                <w:rFonts w:ascii="宋体" w:hAnsi="宋体"/>
                <w:kern w:val="0"/>
                <w:szCs w:val="21"/>
              </w:rPr>
              <w:t>10</w:t>
            </w:r>
            <w:r>
              <w:rPr>
                <w:rFonts w:hint="eastAsia" w:ascii="宋体" w:hAnsi="宋体"/>
                <w:kern w:val="0"/>
                <w:szCs w:val="21"/>
              </w:rPr>
              <w:t>万人民币，且小于35万人民币项目</w:t>
            </w:r>
          </w:p>
        </w:tc>
        <w:tc>
          <w:tcPr>
            <w:tcW w:w="2272" w:type="dxa"/>
            <w:vAlign w:val="center"/>
          </w:tcPr>
          <w:p>
            <w:pPr>
              <w:spacing w:line="480" w:lineRule="exact"/>
              <w:jc w:val="center"/>
              <w:rPr>
                <w:rFonts w:ascii="宋体"/>
                <w:spacing w:val="16"/>
                <w:szCs w:val="21"/>
              </w:rPr>
            </w:pPr>
            <w:r>
              <w:rPr>
                <w:rFonts w:ascii="宋体" w:hAnsi="宋体"/>
                <w:spacing w:val="16"/>
                <w:szCs w:val="21"/>
              </w:rPr>
              <w:t>%</w:t>
            </w:r>
          </w:p>
        </w:tc>
        <w:tc>
          <w:tcPr>
            <w:tcW w:w="2207" w:type="dxa"/>
            <w:vAlign w:val="center"/>
          </w:tcPr>
          <w:p>
            <w:pPr>
              <w:spacing w:line="480" w:lineRule="exact"/>
              <w:jc w:val="center"/>
              <w:rPr>
                <w:rFonts w:ascii="宋体"/>
                <w:szCs w:val="21"/>
              </w:rPr>
            </w:pPr>
            <w:r>
              <w:rPr>
                <w:rFonts w:hint="eastAsia" w:ascii="宋体" w:hAnsi="宋体"/>
                <w:kern w:val="0"/>
                <w:szCs w:val="21"/>
              </w:rPr>
              <w:t>以百分比报价，建议保留一位小数，如</w:t>
            </w:r>
            <w:r>
              <w:rPr>
                <w:rFonts w:ascii="宋体" w:hAnsi="宋体"/>
                <w:kern w:val="0"/>
                <w:szCs w:val="21"/>
              </w:rPr>
              <w:t>1.8%</w:t>
            </w:r>
            <w:r>
              <w:rPr>
                <w:rFonts w:hint="eastAsia" w:ascii="宋体" w:hAnsi="宋体"/>
                <w:kern w:val="0"/>
                <w:szCs w:val="21"/>
              </w:rPr>
              <w:t>、</w:t>
            </w:r>
            <w:r>
              <w:rPr>
                <w:rFonts w:ascii="宋体" w:hAnsi="宋体"/>
                <w:kern w:val="0"/>
                <w:szCs w:val="21"/>
              </w:rPr>
              <w:t>2.0%</w:t>
            </w:r>
          </w:p>
        </w:tc>
      </w:tr>
    </w:tbl>
    <w:p>
      <w:pPr>
        <w:pStyle w:val="9"/>
        <w:snapToGrid w:val="0"/>
        <w:spacing w:line="480" w:lineRule="exact"/>
        <w:ind w:left="458" w:hanging="457" w:hangingChars="218"/>
        <w:rPr>
          <w:rFonts w:hAnsi="宋体"/>
          <w:szCs w:val="21"/>
        </w:rPr>
      </w:pPr>
      <w:r>
        <w:rPr>
          <w:rFonts w:hint="eastAsia" w:hAnsi="宋体"/>
          <w:szCs w:val="21"/>
        </w:rPr>
        <w:t>供应商另需填报少于</w:t>
      </w:r>
      <w:r>
        <w:rPr>
          <w:rFonts w:hAnsi="宋体"/>
          <w:szCs w:val="21"/>
        </w:rPr>
        <w:t>10</w:t>
      </w:r>
      <w:r>
        <w:rPr>
          <w:rFonts w:hint="eastAsia" w:hAnsi="宋体"/>
          <w:szCs w:val="21"/>
        </w:rPr>
        <w:t>万人民币项目的代理费价格，按固定费用填报，单位为人民币元，此报价不参与投标价格计算。该类代理费价格为：</w:t>
      </w:r>
    </w:p>
    <w:tbl>
      <w:tblPr>
        <w:tblStyle w:val="18"/>
        <w:tblW w:w="7014"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52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hAnsi="宋体"/>
                <w:szCs w:val="21"/>
              </w:rPr>
            </w:pPr>
            <w:r>
              <w:rPr>
                <w:rFonts w:hint="eastAsia" w:ascii="宋体" w:hAnsi="宋体"/>
                <w:szCs w:val="21"/>
              </w:rPr>
              <w:t>代理金额</w:t>
            </w:r>
            <w:r>
              <w:rPr>
                <w:rFonts w:ascii="宋体" w:hAnsi="宋体"/>
                <w:szCs w:val="21"/>
              </w:rPr>
              <w:t>(</w:t>
            </w:r>
            <w:r>
              <w:rPr>
                <w:rFonts w:hint="eastAsia" w:ascii="宋体" w:hAnsi="宋体"/>
                <w:szCs w:val="21"/>
              </w:rPr>
              <w:t>单票</w:t>
            </w:r>
            <w:r>
              <w:rPr>
                <w:rFonts w:ascii="宋体" w:hAnsi="宋体"/>
                <w:szCs w:val="21"/>
              </w:rPr>
              <w:t>)</w:t>
            </w:r>
          </w:p>
        </w:tc>
        <w:tc>
          <w:tcPr>
            <w:tcW w:w="2520" w:type="dxa"/>
            <w:vAlign w:val="center"/>
          </w:tcPr>
          <w:p>
            <w:pPr>
              <w:spacing w:line="480" w:lineRule="exact"/>
              <w:jc w:val="center"/>
              <w:rPr>
                <w:rFonts w:ascii="宋体"/>
                <w:szCs w:val="21"/>
              </w:rPr>
            </w:pPr>
            <w:r>
              <w:rPr>
                <w:rFonts w:hint="eastAsia" w:ascii="宋体" w:hAnsi="宋体"/>
                <w:szCs w:val="21"/>
              </w:rPr>
              <w:t>代理费报价</w:t>
            </w:r>
          </w:p>
        </w:tc>
        <w:tc>
          <w:tcPr>
            <w:tcW w:w="1959" w:type="dxa"/>
            <w:vAlign w:val="center"/>
          </w:tcPr>
          <w:p>
            <w:pPr>
              <w:spacing w:line="480" w:lineRule="exact"/>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vAlign w:val="center"/>
          </w:tcPr>
          <w:p>
            <w:pPr>
              <w:spacing w:line="480" w:lineRule="exact"/>
              <w:jc w:val="center"/>
              <w:rPr>
                <w:rFonts w:ascii="宋体"/>
                <w:spacing w:val="16"/>
                <w:szCs w:val="21"/>
              </w:rPr>
            </w:pPr>
            <w:r>
              <w:rPr>
                <w:rFonts w:ascii="宋体" w:hAnsi="宋体"/>
                <w:szCs w:val="21"/>
              </w:rPr>
              <w:t>10</w:t>
            </w:r>
            <w:r>
              <w:rPr>
                <w:rFonts w:hint="eastAsia" w:ascii="宋体" w:hAnsi="宋体"/>
                <w:szCs w:val="21"/>
              </w:rPr>
              <w:t>万人民币以下项目</w:t>
            </w:r>
          </w:p>
        </w:tc>
        <w:tc>
          <w:tcPr>
            <w:tcW w:w="2520" w:type="dxa"/>
            <w:vAlign w:val="center"/>
          </w:tcPr>
          <w:p>
            <w:pPr>
              <w:spacing w:line="480" w:lineRule="exact"/>
              <w:jc w:val="center"/>
              <w:rPr>
                <w:rFonts w:ascii="宋体"/>
                <w:szCs w:val="21"/>
              </w:rPr>
            </w:pPr>
          </w:p>
        </w:tc>
        <w:tc>
          <w:tcPr>
            <w:tcW w:w="1959" w:type="dxa"/>
            <w:vAlign w:val="center"/>
          </w:tcPr>
          <w:p>
            <w:pPr>
              <w:spacing w:line="480" w:lineRule="exact"/>
              <w:jc w:val="center"/>
              <w:rPr>
                <w:rFonts w:ascii="宋体"/>
                <w:szCs w:val="21"/>
              </w:rPr>
            </w:pPr>
            <w:r>
              <w:rPr>
                <w:rFonts w:hint="eastAsia" w:ascii="宋体" w:hAnsi="宋体"/>
                <w:szCs w:val="21"/>
              </w:rPr>
              <w:t>以人民币元为单位报价</w:t>
            </w:r>
          </w:p>
        </w:tc>
      </w:tr>
    </w:tbl>
    <w:p>
      <w:pPr>
        <w:autoSpaceDE w:val="0"/>
        <w:autoSpaceDN w:val="0"/>
        <w:spacing w:line="600" w:lineRule="exact"/>
        <w:ind w:left="540" w:firstLine="30"/>
        <w:jc w:val="left"/>
        <w:rPr>
          <w:rFonts w:ascii="宋体"/>
          <w:szCs w:val="21"/>
        </w:rPr>
      </w:pPr>
      <w:r>
        <w:rPr>
          <w:rFonts w:ascii="宋体" w:hAnsi="宋体"/>
          <w:szCs w:val="21"/>
        </w:rPr>
        <w:t xml:space="preserve">                      </w:t>
      </w:r>
      <w:r>
        <w:rPr>
          <w:rFonts w:hint="eastAsia" w:ascii="宋体" w:hAnsi="宋体"/>
          <w:szCs w:val="21"/>
          <w:lang w:val="zh-CN"/>
        </w:rPr>
        <w:t>投标方名称（盖章）：</w:t>
      </w:r>
      <w:r>
        <w:rPr>
          <w:rFonts w:ascii="宋体" w:hAnsi="宋体"/>
          <w:szCs w:val="21"/>
          <w:u w:val="single"/>
        </w:rPr>
        <w:t xml:space="preserve">                </w:t>
      </w:r>
    </w:p>
    <w:p>
      <w:pPr>
        <w:autoSpaceDE w:val="0"/>
        <w:autoSpaceDN w:val="0"/>
        <w:spacing w:line="600" w:lineRule="exact"/>
        <w:ind w:left="540" w:leftChars="257" w:firstLine="1600" w:firstLineChars="762"/>
        <w:jc w:val="left"/>
        <w:rPr>
          <w:rFonts w:ascii="宋体" w:hAnsi="宋体"/>
          <w:szCs w:val="21"/>
          <w:u w:val="single"/>
        </w:rPr>
      </w:pPr>
      <w:r>
        <w:rPr>
          <w:rFonts w:ascii="宋体" w:hAnsi="宋体"/>
          <w:szCs w:val="21"/>
          <w:lang w:val="zh-CN"/>
        </w:rPr>
        <w:t xml:space="preserve">        </w:t>
      </w:r>
      <w:r>
        <w:rPr>
          <w:rFonts w:hint="eastAsia" w:ascii="宋体" w:hAnsi="宋体"/>
          <w:szCs w:val="21"/>
          <w:lang w:val="zh-CN"/>
        </w:rPr>
        <w:t>全权代表签字：</w:t>
      </w:r>
      <w:r>
        <w:rPr>
          <w:rFonts w:ascii="宋体" w:hAnsi="宋体"/>
          <w:szCs w:val="21"/>
          <w:u w:val="single"/>
        </w:rPr>
        <w:t xml:space="preserve">                     </w:t>
      </w:r>
    </w:p>
    <w:p>
      <w:pPr>
        <w:autoSpaceDE w:val="0"/>
        <w:autoSpaceDN w:val="0"/>
        <w:spacing w:line="600" w:lineRule="exact"/>
        <w:ind w:left="540" w:firstLine="1294"/>
        <w:jc w:val="right"/>
        <w:rPr>
          <w:rFonts w:ascii="宋体"/>
          <w:b/>
          <w:bCs/>
          <w:szCs w:val="21"/>
        </w:rPr>
      </w:pPr>
      <w:r>
        <w:rPr>
          <w:rFonts w:ascii="宋体" w:hAnsi="宋体"/>
          <w:szCs w:val="21"/>
          <w:lang w:val="zh-CN"/>
        </w:rPr>
        <w:t>202</w:t>
      </w:r>
      <w:r>
        <w:rPr>
          <w:rFonts w:ascii="宋体" w:hAnsi="宋体"/>
          <w:szCs w:val="21"/>
        </w:rPr>
        <w:t>2</w:t>
      </w:r>
      <w:r>
        <w:rPr>
          <w:rFonts w:hint="eastAsia" w:ascii="宋体" w:hAnsi="宋体"/>
          <w:szCs w:val="21"/>
          <w:lang w:val="zh-CN"/>
        </w:rPr>
        <w:t>年</w:t>
      </w:r>
      <w:r>
        <w:rPr>
          <w:rFonts w:ascii="宋体" w:hAnsi="宋体"/>
          <w:szCs w:val="21"/>
          <w:u w:val="single"/>
        </w:rPr>
        <w:t xml:space="preserve">   </w:t>
      </w:r>
      <w:r>
        <w:rPr>
          <w:rFonts w:hint="eastAsia" w:ascii="宋体" w:hAnsi="宋体"/>
          <w:szCs w:val="21"/>
          <w:lang w:val="zh-CN"/>
        </w:rPr>
        <w:t>月</w:t>
      </w:r>
      <w:r>
        <w:rPr>
          <w:rFonts w:ascii="宋体" w:hAnsi="宋体"/>
          <w:szCs w:val="21"/>
          <w:u w:val="single"/>
        </w:rPr>
        <w:t xml:space="preserve">   </w:t>
      </w:r>
      <w:r>
        <w:rPr>
          <w:rFonts w:hint="eastAsia" w:ascii="宋体" w:hAnsi="宋体"/>
          <w:szCs w:val="21"/>
          <w:lang w:val="zh-CN"/>
        </w:rPr>
        <w:t>日</w:t>
      </w:r>
    </w:p>
    <w:p>
      <w:pPr>
        <w:spacing w:line="480" w:lineRule="exact"/>
        <w:ind w:left="540" w:firstLine="30"/>
        <w:rPr>
          <w:rFonts w:ascii="宋体"/>
          <w:szCs w:val="21"/>
        </w:rPr>
      </w:pPr>
    </w:p>
    <w:p/>
    <w:p>
      <w:pPr>
        <w:pStyle w:val="2"/>
        <w:ind w:left="0" w:leftChars="0" w:firstLine="0" w:firstLineChars="0"/>
      </w:pPr>
    </w:p>
    <w:p/>
    <w:p>
      <w:pPr>
        <w:spacing w:line="360" w:lineRule="auto"/>
        <w:rPr>
          <w:rFonts w:ascii="仿宋" w:hAnsi="仿宋" w:eastAsia="仿宋" w:cs="仿宋"/>
          <w:b/>
          <w:bCs/>
          <w:spacing w:val="-6"/>
          <w:sz w:val="24"/>
        </w:rPr>
      </w:pPr>
      <w:r>
        <w:rPr>
          <w:rFonts w:hint="eastAsia" w:ascii="仿宋" w:hAnsi="仿宋" w:eastAsia="仿宋" w:cs="仿宋"/>
          <w:b/>
          <w:bCs/>
          <w:spacing w:val="-6"/>
          <w:sz w:val="24"/>
        </w:rPr>
        <w:t>说明：</w:t>
      </w:r>
    </w:p>
    <w:p>
      <w:pPr>
        <w:spacing w:line="288" w:lineRule="auto"/>
        <w:ind w:firstLine="458" w:firstLineChars="200"/>
        <w:rPr>
          <w:rFonts w:hint="eastAsia" w:ascii="仿宋" w:hAnsi="仿宋" w:eastAsia="仿宋" w:cs="仿宋"/>
          <w:b/>
          <w:bCs/>
          <w:spacing w:val="-6"/>
          <w:sz w:val="24"/>
          <w:lang w:eastAsia="zh-CN"/>
        </w:rPr>
      </w:pPr>
      <w:r>
        <w:rPr>
          <w:rFonts w:hint="eastAsia" w:ascii="仿宋" w:hAnsi="仿宋" w:eastAsia="仿宋" w:cs="仿宋"/>
          <w:b/>
          <w:bCs/>
          <w:spacing w:val="-6"/>
          <w:sz w:val="24"/>
        </w:rPr>
        <w:t>进口代理费按所占进口货物CIP采购人指定地点价的百分比进行投标报价，包括银行手续费、换单、报关报检、清关、仓储、运输等与进口有关的一切费用</w:t>
      </w:r>
      <w:r>
        <w:rPr>
          <w:rFonts w:hint="eastAsia" w:ascii="仿宋" w:hAnsi="仿宋" w:eastAsia="仿宋" w:cs="仿宋"/>
          <w:b/>
          <w:bCs/>
          <w:spacing w:val="-6"/>
          <w:sz w:val="24"/>
          <w:lang w:eastAsia="zh-CN"/>
        </w:rPr>
        <w:t>，</w:t>
      </w:r>
      <w:r>
        <w:rPr>
          <w:rFonts w:hint="eastAsia" w:ascii="仿宋" w:hAnsi="仿宋" w:eastAsia="仿宋" w:cs="仿宋"/>
          <w:b/>
          <w:bCs/>
          <w:spacing w:val="-6"/>
          <w:sz w:val="24"/>
          <w:lang w:val="en-US" w:eastAsia="zh-CN"/>
        </w:rPr>
        <w:t>不包含非属地</w:t>
      </w:r>
      <w:r>
        <w:rPr>
          <w:rFonts w:hint="eastAsia" w:ascii="仿宋" w:hAnsi="仿宋" w:eastAsia="仿宋" w:cs="仿宋"/>
          <w:b/>
          <w:bCs/>
          <w:spacing w:val="-6"/>
          <w:sz w:val="24"/>
          <w:lang w:eastAsia="zh-CN"/>
        </w:rPr>
        <w:t>港至采购人指定地点的运费、保险费和搬卸费</w:t>
      </w:r>
      <w:r>
        <w:rPr>
          <w:rFonts w:hint="eastAsia" w:ascii="仿宋" w:hAnsi="仿宋" w:eastAsia="仿宋" w:cs="仿宋"/>
          <w:b/>
          <w:bCs/>
          <w:spacing w:val="-6"/>
          <w:sz w:val="24"/>
        </w:rPr>
        <w:t>。因采购人实际使用用户或代理项目中标人（或成交供应商）的原因导致额外的支出，原则上由采购人实际使用用户或代理项目中标人（或成交供应商）支出</w:t>
      </w:r>
      <w:r>
        <w:rPr>
          <w:rFonts w:hint="eastAsia" w:ascii="仿宋" w:hAnsi="仿宋" w:eastAsia="仿宋" w:cs="仿宋"/>
          <w:b/>
          <w:bCs/>
          <w:spacing w:val="-6"/>
          <w:sz w:val="24"/>
          <w:lang w:eastAsia="zh-CN"/>
        </w:rPr>
        <w:t>。</w:t>
      </w:r>
    </w:p>
    <w:p>
      <w:pPr>
        <w:snapToGrid w:val="0"/>
        <w:spacing w:line="360" w:lineRule="auto"/>
        <w:rPr>
          <w:rFonts w:ascii="仿宋" w:hAnsi="仿宋" w:eastAsia="仿宋" w:cs="仿宋"/>
          <w:b/>
          <w:bCs/>
          <w:spacing w:val="-6"/>
          <w:sz w:val="24"/>
        </w:rPr>
      </w:pPr>
    </w:p>
    <w:p>
      <w:pPr>
        <w:snapToGrid w:val="0"/>
        <w:spacing w:line="360" w:lineRule="auto"/>
        <w:rPr>
          <w:rFonts w:ascii="仿宋" w:hAnsi="仿宋" w:eastAsia="仿宋" w:cs="仿宋"/>
          <w:b/>
          <w:bCs/>
          <w:spacing w:val="-6"/>
          <w:sz w:val="24"/>
        </w:rPr>
      </w:pPr>
    </w:p>
    <w:p>
      <w:pPr>
        <w:snapToGrid w:val="0"/>
        <w:spacing w:line="360" w:lineRule="auto"/>
        <w:rPr>
          <w:rFonts w:ascii="仿宋" w:hAnsi="仿宋" w:eastAsia="仿宋" w:cs="仿宋"/>
          <w:b/>
          <w:bCs/>
          <w:spacing w:val="-6"/>
          <w:sz w:val="24"/>
        </w:rPr>
      </w:pPr>
    </w:p>
    <w:p>
      <w:pPr>
        <w:pStyle w:val="17"/>
        <w:ind w:firstLine="240"/>
        <w:rPr>
          <w:lang w:val="en-US"/>
        </w:rPr>
      </w:pPr>
    </w:p>
    <w:p>
      <w:pPr>
        <w:pStyle w:val="17"/>
        <w:ind w:firstLine="240"/>
      </w:pPr>
      <w:r>
        <w:br w:type="page"/>
      </w:r>
    </w:p>
    <w:p>
      <w:pPr>
        <w:spacing w:line="360" w:lineRule="auto"/>
        <w:jc w:val="center"/>
        <w:outlineLvl w:val="2"/>
        <w:rPr>
          <w:rFonts w:ascii="仿宋" w:hAnsi="仿宋" w:eastAsia="仿宋" w:cs="仿宋"/>
          <w:b/>
          <w:spacing w:val="-6"/>
          <w:sz w:val="24"/>
        </w:rPr>
      </w:pPr>
      <w:r>
        <w:rPr>
          <w:rFonts w:hint="eastAsia" w:ascii="仿宋" w:hAnsi="仿宋" w:eastAsia="仿宋" w:cs="仿宋"/>
          <w:b/>
          <w:spacing w:val="-6"/>
          <w:sz w:val="24"/>
        </w:rPr>
        <w:t>供应商进口代理项目实施情况一览表</w:t>
      </w:r>
    </w:p>
    <w:tbl>
      <w:tblPr>
        <w:tblStyle w:val="18"/>
        <w:tblW w:w="94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1375"/>
        <w:gridCol w:w="1749"/>
        <w:gridCol w:w="1114"/>
        <w:gridCol w:w="1781"/>
        <w:gridCol w:w="24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序号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采购单位</w:t>
            </w: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项目名称</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附件页码</w:t>
            </w: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合同签订时间</w:t>
            </w: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r>
              <w:rPr>
                <w:rFonts w:hint="eastAsia" w:ascii="仿宋" w:hAnsi="仿宋" w:eastAsia="仿宋" w:cs="仿宋"/>
                <w:bCs/>
                <w:color w:val="000000"/>
                <w:sz w:val="24"/>
              </w:rPr>
              <w:t>采购单位联系人</w:t>
            </w:r>
          </w:p>
          <w:p>
            <w:pPr>
              <w:jc w:val="center"/>
              <w:rPr>
                <w:rFonts w:ascii="仿宋" w:hAnsi="仿宋" w:eastAsia="仿宋" w:cs="仿宋"/>
                <w:bCs/>
                <w:color w:val="000000"/>
                <w:sz w:val="24"/>
              </w:rPr>
            </w:pPr>
            <w:r>
              <w:rPr>
                <w:rFonts w:hint="eastAsia" w:ascii="仿宋" w:hAnsi="仿宋" w:eastAsia="仿宋" w:cs="仿宋"/>
                <w:bCs/>
                <w:color w:val="000000"/>
                <w:sz w:val="24"/>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Cs/>
                <w:color w:val="000000"/>
                <w:sz w:val="24"/>
              </w:rPr>
            </w:pPr>
          </w:p>
        </w:tc>
        <w:tc>
          <w:tcPr>
            <w:tcW w:w="240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Cs/>
                <w:color w:val="000000"/>
                <w:sz w:val="24"/>
              </w:rPr>
            </w:pPr>
          </w:p>
        </w:tc>
      </w:tr>
    </w:tbl>
    <w:p>
      <w:pPr>
        <w:pStyle w:val="13"/>
        <w:spacing w:line="360" w:lineRule="auto"/>
        <w:ind w:left="480" w:hanging="480"/>
        <w:rPr>
          <w:rFonts w:ascii="仿宋" w:hAnsi="仿宋" w:eastAsia="仿宋" w:cs="仿宋"/>
          <w:color w:val="000000"/>
          <w:sz w:val="24"/>
        </w:rPr>
      </w:pPr>
    </w:p>
    <w:p>
      <w:pPr>
        <w:spacing w:line="360" w:lineRule="auto"/>
        <w:rPr>
          <w:rFonts w:ascii="仿宋" w:hAnsi="仿宋" w:eastAsia="仿宋" w:cs="仿宋"/>
          <w:color w:val="000000"/>
          <w:spacing w:val="-6"/>
          <w:sz w:val="24"/>
        </w:rPr>
      </w:pPr>
      <w:r>
        <w:rPr>
          <w:rFonts w:hint="eastAsia" w:ascii="仿宋" w:hAnsi="仿宋" w:eastAsia="仿宋" w:cs="仿宋"/>
          <w:color w:val="000000"/>
          <w:spacing w:val="-6"/>
          <w:sz w:val="24"/>
        </w:rPr>
        <w:t>说明：</w:t>
      </w:r>
    </w:p>
    <w:p>
      <w:pPr>
        <w:spacing w:line="360" w:lineRule="auto"/>
        <w:rPr>
          <w:rFonts w:ascii="仿宋" w:hAnsi="仿宋" w:eastAsia="仿宋" w:cs="仿宋"/>
          <w:color w:val="000000"/>
          <w:spacing w:val="-6"/>
          <w:sz w:val="24"/>
        </w:rPr>
      </w:pPr>
      <w:r>
        <w:rPr>
          <w:rFonts w:ascii="仿宋" w:hAnsi="仿宋" w:eastAsia="仿宋" w:cs="仿宋"/>
          <w:color w:val="000000"/>
          <w:spacing w:val="-6"/>
          <w:sz w:val="24"/>
        </w:rPr>
        <w:t>1.供应商须提供上述业绩</w:t>
      </w:r>
      <w:r>
        <w:rPr>
          <w:rFonts w:hint="eastAsia" w:ascii="仿宋" w:hAnsi="仿宋" w:eastAsia="仿宋" w:cs="仿宋"/>
          <w:bCs/>
          <w:sz w:val="24"/>
        </w:rPr>
        <w:t>合同复印件</w:t>
      </w:r>
      <w:r>
        <w:rPr>
          <w:rFonts w:hint="eastAsia" w:ascii="仿宋" w:hAnsi="仿宋" w:eastAsia="仿宋" w:cs="仿宋"/>
          <w:color w:val="000000"/>
          <w:spacing w:val="-6"/>
          <w:sz w:val="24"/>
        </w:rPr>
        <w:t>；</w:t>
      </w:r>
    </w:p>
    <w:p>
      <w:pPr>
        <w:spacing w:line="360" w:lineRule="auto"/>
        <w:rPr>
          <w:rFonts w:ascii="仿宋" w:hAnsi="仿宋" w:eastAsia="仿宋" w:cs="仿宋"/>
          <w:color w:val="000000"/>
          <w:spacing w:val="-6"/>
          <w:sz w:val="24"/>
        </w:rPr>
      </w:pPr>
      <w:r>
        <w:rPr>
          <w:rFonts w:ascii="仿宋" w:hAnsi="仿宋" w:eastAsia="仿宋" w:cs="仿宋"/>
          <w:color w:val="000000"/>
          <w:spacing w:val="-6"/>
          <w:sz w:val="24"/>
        </w:rPr>
        <w:t>2.所有合同复印件应清晰，应能体现合同签订时间、双方签字盖章等内容；</w:t>
      </w:r>
    </w:p>
    <w:p>
      <w:pPr>
        <w:snapToGrid w:val="0"/>
        <w:spacing w:line="360" w:lineRule="auto"/>
        <w:rPr>
          <w:rFonts w:ascii="仿宋" w:hAnsi="仿宋" w:eastAsia="仿宋" w:cs="仿宋"/>
          <w:color w:val="000000"/>
          <w:spacing w:val="-6"/>
          <w:sz w:val="24"/>
        </w:rPr>
      </w:pPr>
      <w:r>
        <w:rPr>
          <w:rFonts w:ascii="仿宋" w:hAnsi="仿宋" w:eastAsia="仿宋" w:cs="仿宋"/>
          <w:color w:val="000000"/>
          <w:spacing w:val="-6"/>
          <w:sz w:val="24"/>
        </w:rPr>
        <w:t>3.供应商应在不涉及商业秘密的前提下尽可能提供详细的合同复印件内容。</w:t>
      </w:r>
    </w:p>
    <w:p>
      <w:pPr>
        <w:pStyle w:val="17"/>
        <w:ind w:firstLine="240"/>
      </w:pPr>
    </w:p>
    <w:p>
      <w:pPr>
        <w:snapToGrid w:val="0"/>
        <w:spacing w:line="360" w:lineRule="auto"/>
        <w:rPr>
          <w:rFonts w:ascii="仿宋" w:hAnsi="仿宋" w:eastAsia="仿宋" w:cs="仿宋"/>
          <w:bCs/>
          <w:spacing w:val="-6"/>
          <w:sz w:val="24"/>
        </w:rPr>
      </w:pPr>
      <w:r>
        <w:rPr>
          <w:rFonts w:hint="eastAsia" w:ascii="仿宋" w:hAnsi="仿宋" w:eastAsia="仿宋" w:cs="仿宋"/>
          <w:bCs/>
          <w:spacing w:val="-6"/>
          <w:sz w:val="24"/>
        </w:rPr>
        <w:t>投标人名称（公章）：</w:t>
      </w:r>
    </w:p>
    <w:p>
      <w:pPr>
        <w:snapToGrid w:val="0"/>
        <w:spacing w:line="360" w:lineRule="auto"/>
        <w:rPr>
          <w:rFonts w:ascii="仿宋" w:hAnsi="仿宋" w:eastAsia="仿宋" w:cs="仿宋"/>
          <w:bCs/>
          <w:spacing w:val="-6"/>
          <w:sz w:val="24"/>
        </w:rPr>
      </w:pPr>
      <w:r>
        <w:rPr>
          <w:rFonts w:hint="eastAsia" w:ascii="仿宋" w:hAnsi="仿宋" w:eastAsia="仿宋" w:cs="仿宋"/>
          <w:bCs/>
          <w:spacing w:val="-6"/>
          <w:sz w:val="24"/>
        </w:rPr>
        <w:t>法定代表人或授权代表（签章）：</w:t>
      </w:r>
    </w:p>
    <w:p>
      <w:pPr>
        <w:rPr>
          <w:rFonts w:ascii="仿宋" w:hAnsi="仿宋" w:eastAsia="仿宋" w:cs="仿宋"/>
          <w:bCs/>
          <w:spacing w:val="-6"/>
          <w:sz w:val="24"/>
        </w:rPr>
      </w:pPr>
      <w:r>
        <w:rPr>
          <w:rFonts w:hint="eastAsia" w:ascii="仿宋" w:hAnsi="仿宋" w:eastAsia="仿宋" w:cs="仿宋"/>
          <w:bCs/>
          <w:spacing w:val="-6"/>
          <w:sz w:val="24"/>
        </w:rPr>
        <w:t>日期：</w:t>
      </w:r>
      <w:r>
        <w:rPr>
          <w:rFonts w:ascii="仿宋" w:hAnsi="仿宋" w:eastAsia="仿宋" w:cs="仿宋"/>
          <w:bCs/>
          <w:spacing w:val="-6"/>
          <w:sz w:val="24"/>
        </w:rPr>
        <w:t xml:space="preserve">     </w:t>
      </w:r>
      <w:r>
        <w:rPr>
          <w:rFonts w:hint="eastAsia" w:ascii="仿宋" w:hAnsi="仿宋" w:eastAsia="仿宋" w:cs="仿宋"/>
          <w:bCs/>
          <w:spacing w:val="-6"/>
          <w:sz w:val="24"/>
        </w:rPr>
        <w:t>年</w:t>
      </w:r>
      <w:r>
        <w:rPr>
          <w:rFonts w:ascii="仿宋" w:hAnsi="仿宋" w:eastAsia="仿宋" w:cs="仿宋"/>
          <w:bCs/>
          <w:spacing w:val="-6"/>
          <w:sz w:val="24"/>
        </w:rPr>
        <w:t xml:space="preserve">   </w:t>
      </w:r>
      <w:r>
        <w:rPr>
          <w:rFonts w:hint="eastAsia" w:ascii="仿宋" w:hAnsi="仿宋" w:eastAsia="仿宋" w:cs="仿宋"/>
          <w:bCs/>
          <w:spacing w:val="-6"/>
          <w:sz w:val="24"/>
        </w:rPr>
        <w:t>月</w:t>
      </w:r>
      <w:r>
        <w:rPr>
          <w:rFonts w:ascii="仿宋" w:hAnsi="仿宋" w:eastAsia="仿宋" w:cs="仿宋"/>
          <w:bCs/>
          <w:spacing w:val="-6"/>
          <w:sz w:val="24"/>
        </w:rPr>
        <w:t xml:space="preserve">   </w:t>
      </w:r>
      <w:r>
        <w:rPr>
          <w:rFonts w:hint="eastAsia" w:ascii="仿宋" w:hAnsi="仿宋" w:eastAsia="仿宋" w:cs="仿宋"/>
          <w:bCs/>
          <w:spacing w:val="-6"/>
          <w:sz w:val="24"/>
        </w:rPr>
        <w:t>日</w:t>
      </w:r>
    </w:p>
    <w:p/>
    <w:p>
      <w:pPr>
        <w:pStyle w:val="17"/>
        <w:ind w:firstLine="240"/>
      </w:pPr>
      <w:r>
        <w:br w:type="page"/>
      </w:r>
    </w:p>
    <w:p>
      <w:pPr>
        <w:snapToGrid w:val="0"/>
        <w:spacing w:line="360" w:lineRule="auto"/>
        <w:jc w:val="center"/>
        <w:outlineLvl w:val="2"/>
        <w:rPr>
          <w:rFonts w:ascii="仿宋" w:hAnsi="仿宋" w:eastAsia="仿宋" w:cs="仿宋"/>
          <w:b/>
          <w:bCs/>
          <w:spacing w:val="-6"/>
          <w:sz w:val="24"/>
        </w:rPr>
      </w:pPr>
      <w:r>
        <w:rPr>
          <w:rFonts w:hint="eastAsia" w:ascii="仿宋" w:hAnsi="仿宋" w:eastAsia="仿宋" w:cs="仿宋"/>
          <w:b/>
          <w:bCs/>
          <w:spacing w:val="-6"/>
          <w:sz w:val="24"/>
        </w:rPr>
        <w:t>对口工作人员一览表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3"/>
        <w:gridCol w:w="1712"/>
        <w:gridCol w:w="700"/>
        <w:gridCol w:w="750"/>
        <w:gridCol w:w="1080"/>
        <w:gridCol w:w="780"/>
        <w:gridCol w:w="780"/>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bCs/>
                <w:sz w:val="24"/>
              </w:rPr>
            </w:pPr>
            <w:r>
              <w:rPr>
                <w:rFonts w:hint="eastAsia" w:ascii="仿宋" w:hAnsi="仿宋" w:eastAsia="仿宋" w:cs="仿宋"/>
                <w:bCs/>
                <w:sz w:val="24"/>
              </w:rPr>
              <w:t>序号</w:t>
            </w:r>
          </w:p>
        </w:tc>
        <w:tc>
          <w:tcPr>
            <w:tcW w:w="1023" w:type="dxa"/>
            <w:vAlign w:val="center"/>
          </w:tcPr>
          <w:p>
            <w:pPr>
              <w:jc w:val="center"/>
              <w:rPr>
                <w:rFonts w:ascii="仿宋" w:hAnsi="仿宋" w:eastAsia="仿宋" w:cs="仿宋"/>
                <w:bCs/>
                <w:sz w:val="24"/>
              </w:rPr>
            </w:pPr>
            <w:r>
              <w:rPr>
                <w:rFonts w:hint="eastAsia" w:ascii="仿宋" w:hAnsi="仿宋" w:eastAsia="仿宋" w:cs="仿宋"/>
                <w:bCs/>
                <w:sz w:val="24"/>
              </w:rPr>
              <w:t>姓名</w:t>
            </w:r>
          </w:p>
        </w:tc>
        <w:tc>
          <w:tcPr>
            <w:tcW w:w="1712" w:type="dxa"/>
            <w:vAlign w:val="center"/>
          </w:tcPr>
          <w:p>
            <w:pPr>
              <w:jc w:val="center"/>
              <w:rPr>
                <w:rFonts w:ascii="仿宋" w:hAnsi="仿宋" w:eastAsia="仿宋" w:cs="仿宋"/>
                <w:bCs/>
                <w:sz w:val="24"/>
              </w:rPr>
            </w:pPr>
            <w:r>
              <w:rPr>
                <w:rFonts w:hint="eastAsia" w:ascii="仿宋" w:hAnsi="仿宋" w:eastAsia="仿宋" w:cs="仿宋"/>
                <w:bCs/>
                <w:sz w:val="24"/>
              </w:rPr>
              <w:t>本项目拟任岗位</w:t>
            </w:r>
          </w:p>
        </w:tc>
        <w:tc>
          <w:tcPr>
            <w:tcW w:w="700" w:type="dxa"/>
            <w:vAlign w:val="center"/>
          </w:tcPr>
          <w:p>
            <w:pPr>
              <w:jc w:val="center"/>
              <w:rPr>
                <w:rFonts w:ascii="仿宋" w:hAnsi="仿宋" w:eastAsia="仿宋" w:cs="仿宋"/>
                <w:bCs/>
                <w:sz w:val="24"/>
              </w:rPr>
            </w:pPr>
            <w:r>
              <w:rPr>
                <w:rFonts w:hint="eastAsia" w:ascii="仿宋" w:hAnsi="仿宋" w:eastAsia="仿宋" w:cs="仿宋"/>
                <w:bCs/>
                <w:sz w:val="24"/>
              </w:rPr>
              <w:t>性别</w:t>
            </w:r>
          </w:p>
        </w:tc>
        <w:tc>
          <w:tcPr>
            <w:tcW w:w="750" w:type="dxa"/>
            <w:vAlign w:val="center"/>
          </w:tcPr>
          <w:p>
            <w:pPr>
              <w:jc w:val="center"/>
              <w:rPr>
                <w:rFonts w:ascii="仿宋" w:hAnsi="仿宋" w:eastAsia="仿宋" w:cs="仿宋"/>
                <w:bCs/>
                <w:sz w:val="24"/>
              </w:rPr>
            </w:pPr>
            <w:r>
              <w:rPr>
                <w:rFonts w:hint="eastAsia" w:ascii="仿宋" w:hAnsi="仿宋" w:eastAsia="仿宋" w:cs="仿宋"/>
                <w:bCs/>
                <w:sz w:val="24"/>
              </w:rPr>
              <w:t>年龄</w:t>
            </w:r>
          </w:p>
        </w:tc>
        <w:tc>
          <w:tcPr>
            <w:tcW w:w="1080" w:type="dxa"/>
            <w:vAlign w:val="center"/>
          </w:tcPr>
          <w:p>
            <w:pPr>
              <w:jc w:val="center"/>
              <w:rPr>
                <w:rFonts w:ascii="仿宋" w:hAnsi="仿宋" w:eastAsia="仿宋" w:cs="仿宋"/>
                <w:bCs/>
                <w:sz w:val="24"/>
              </w:rPr>
            </w:pPr>
            <w:r>
              <w:rPr>
                <w:rFonts w:hint="eastAsia" w:ascii="仿宋" w:hAnsi="仿宋" w:eastAsia="仿宋" w:cs="仿宋"/>
                <w:bCs/>
                <w:sz w:val="24"/>
              </w:rPr>
              <w:t>从业年限</w:t>
            </w:r>
          </w:p>
        </w:tc>
        <w:tc>
          <w:tcPr>
            <w:tcW w:w="780" w:type="dxa"/>
            <w:vAlign w:val="center"/>
          </w:tcPr>
          <w:p>
            <w:pPr>
              <w:jc w:val="center"/>
              <w:rPr>
                <w:rFonts w:ascii="仿宋" w:hAnsi="仿宋" w:eastAsia="仿宋" w:cs="仿宋"/>
                <w:bCs/>
                <w:sz w:val="24"/>
              </w:rPr>
            </w:pPr>
            <w:r>
              <w:rPr>
                <w:rFonts w:hint="eastAsia" w:ascii="仿宋" w:hAnsi="仿宋" w:eastAsia="仿宋" w:cs="仿宋"/>
                <w:bCs/>
                <w:sz w:val="24"/>
              </w:rPr>
              <w:t>学历</w:t>
            </w:r>
          </w:p>
        </w:tc>
        <w:tc>
          <w:tcPr>
            <w:tcW w:w="780" w:type="dxa"/>
            <w:vAlign w:val="center"/>
          </w:tcPr>
          <w:p>
            <w:pPr>
              <w:jc w:val="center"/>
              <w:rPr>
                <w:rFonts w:ascii="仿宋" w:hAnsi="仿宋" w:eastAsia="仿宋" w:cs="仿宋"/>
                <w:bCs/>
                <w:sz w:val="24"/>
              </w:rPr>
            </w:pPr>
            <w:r>
              <w:rPr>
                <w:rFonts w:hint="eastAsia" w:ascii="仿宋" w:hAnsi="仿宋" w:eastAsia="仿宋" w:cs="仿宋"/>
                <w:bCs/>
                <w:sz w:val="24"/>
              </w:rPr>
              <w:t>专业</w:t>
            </w:r>
          </w:p>
        </w:tc>
        <w:tc>
          <w:tcPr>
            <w:tcW w:w="2099" w:type="dxa"/>
            <w:vAlign w:val="center"/>
          </w:tcPr>
          <w:p>
            <w:pPr>
              <w:jc w:val="center"/>
              <w:rPr>
                <w:rFonts w:ascii="仿宋" w:hAnsi="仿宋" w:eastAsia="仿宋" w:cs="仿宋"/>
                <w:bCs/>
                <w:sz w:val="24"/>
              </w:rPr>
            </w:pPr>
            <w:r>
              <w:rPr>
                <w:rFonts w:hint="eastAsia" w:ascii="仿宋" w:hAnsi="仿宋" w:eastAsia="仿宋" w:cs="仿宋"/>
                <w:bCs/>
                <w:sz w:val="24"/>
              </w:rPr>
              <w:t>具有的资质证书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pPr>
              <w:jc w:val="center"/>
              <w:rPr>
                <w:rFonts w:ascii="仿宋" w:hAnsi="仿宋" w:eastAsia="仿宋" w:cs="仿宋"/>
                <w:sz w:val="24"/>
              </w:rPr>
            </w:pPr>
            <w:r>
              <w:rPr>
                <w:rFonts w:hint="eastAsia" w:ascii="仿宋" w:hAnsi="仿宋" w:eastAsia="仿宋" w:cs="仿宋"/>
                <w:sz w:val="24"/>
              </w:rPr>
              <w:t>……</w:t>
            </w:r>
          </w:p>
        </w:tc>
        <w:tc>
          <w:tcPr>
            <w:tcW w:w="1023" w:type="dxa"/>
            <w:vAlign w:val="center"/>
          </w:tcPr>
          <w:p>
            <w:pPr>
              <w:jc w:val="center"/>
              <w:rPr>
                <w:rFonts w:ascii="仿宋" w:hAnsi="仿宋" w:eastAsia="仿宋" w:cs="仿宋"/>
                <w:sz w:val="24"/>
              </w:rPr>
            </w:pPr>
          </w:p>
        </w:tc>
        <w:tc>
          <w:tcPr>
            <w:tcW w:w="1712" w:type="dxa"/>
            <w:vAlign w:val="center"/>
          </w:tcPr>
          <w:p>
            <w:pPr>
              <w:jc w:val="center"/>
              <w:rPr>
                <w:rFonts w:ascii="仿宋" w:hAnsi="仿宋" w:eastAsia="仿宋" w:cs="仿宋"/>
                <w:sz w:val="24"/>
              </w:rPr>
            </w:pPr>
          </w:p>
        </w:tc>
        <w:tc>
          <w:tcPr>
            <w:tcW w:w="700" w:type="dxa"/>
            <w:vAlign w:val="center"/>
          </w:tcPr>
          <w:p>
            <w:pPr>
              <w:jc w:val="center"/>
              <w:rPr>
                <w:rFonts w:ascii="仿宋" w:hAnsi="仿宋" w:eastAsia="仿宋" w:cs="仿宋"/>
                <w:sz w:val="24"/>
              </w:rPr>
            </w:pPr>
          </w:p>
        </w:tc>
        <w:tc>
          <w:tcPr>
            <w:tcW w:w="75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780" w:type="dxa"/>
            <w:vAlign w:val="center"/>
          </w:tcPr>
          <w:p>
            <w:pPr>
              <w:jc w:val="center"/>
              <w:rPr>
                <w:rFonts w:ascii="仿宋" w:hAnsi="仿宋" w:eastAsia="仿宋" w:cs="仿宋"/>
                <w:sz w:val="24"/>
              </w:rPr>
            </w:pPr>
          </w:p>
        </w:tc>
        <w:tc>
          <w:tcPr>
            <w:tcW w:w="2099" w:type="dxa"/>
            <w:vAlign w:val="center"/>
          </w:tcPr>
          <w:p>
            <w:pPr>
              <w:jc w:val="center"/>
              <w:rPr>
                <w:rFonts w:ascii="仿宋" w:hAnsi="仿宋" w:eastAsia="仿宋" w:cs="仿宋"/>
                <w:sz w:val="24"/>
              </w:rPr>
            </w:pPr>
          </w:p>
        </w:tc>
      </w:tr>
    </w:tbl>
    <w:p>
      <w:pPr>
        <w:pStyle w:val="8"/>
        <w:spacing w:line="240" w:lineRule="auto"/>
        <w:ind w:firstLine="456"/>
        <w:rPr>
          <w:rFonts w:ascii="仿宋" w:hAnsi="仿宋" w:eastAsia="仿宋" w:cs="仿宋"/>
          <w:color w:val="000000"/>
          <w:spacing w:val="-6"/>
        </w:rPr>
      </w:pPr>
    </w:p>
    <w:p>
      <w:pPr>
        <w:rPr>
          <w:sz w:val="24"/>
        </w:rPr>
      </w:pPr>
      <w:r>
        <w:rPr>
          <w:rFonts w:hint="eastAsia" w:ascii="仿宋" w:hAnsi="仿宋" w:eastAsia="仿宋" w:cs="仿宋"/>
          <w:color w:val="000000"/>
          <w:spacing w:val="-6"/>
          <w:sz w:val="24"/>
        </w:rPr>
        <w:t>说明：工作职责、分工、学历证书复印件、外贸业务相关的专业技术能力和水平相关证明材料、人员履历随表格一并提供</w:t>
      </w:r>
    </w:p>
    <w:p>
      <w:pPr>
        <w:pStyle w:val="17"/>
        <w:ind w:firstLine="240"/>
      </w:pPr>
      <w:r>
        <w:br w:type="page"/>
      </w:r>
    </w:p>
    <w:p>
      <w:pPr>
        <w:snapToGrid w:val="0"/>
        <w:spacing w:line="360" w:lineRule="auto"/>
        <w:jc w:val="center"/>
        <w:outlineLvl w:val="2"/>
        <w:rPr>
          <w:rFonts w:ascii="仿宋" w:hAnsi="仿宋" w:eastAsia="仿宋" w:cs="仿宋"/>
          <w:b/>
          <w:bCs/>
          <w:spacing w:val="-6"/>
          <w:sz w:val="24"/>
        </w:rPr>
      </w:pPr>
      <w:r>
        <w:rPr>
          <w:rFonts w:hint="eastAsia" w:ascii="仿宋" w:hAnsi="仿宋" w:eastAsia="仿宋" w:cs="仿宋"/>
          <w:b/>
          <w:bCs/>
          <w:spacing w:val="-6"/>
          <w:sz w:val="24"/>
        </w:rPr>
        <w:t>服务方案</w:t>
      </w:r>
    </w:p>
    <w:p>
      <w:pPr>
        <w:widowControl/>
        <w:snapToGrid w:val="0"/>
        <w:spacing w:line="360" w:lineRule="auto"/>
        <w:jc w:val="left"/>
        <w:rPr>
          <w:rFonts w:ascii="仿宋" w:hAnsi="仿宋" w:eastAsia="仿宋" w:cs="仿宋"/>
          <w:b/>
          <w:spacing w:val="-6"/>
          <w:sz w:val="24"/>
        </w:rPr>
      </w:pPr>
      <w:r>
        <w:rPr>
          <w:rFonts w:hint="eastAsia" w:ascii="仿宋" w:hAnsi="仿宋" w:eastAsia="仿宋" w:cs="仿宋"/>
          <w:b/>
          <w:spacing w:val="-6"/>
          <w:sz w:val="24"/>
        </w:rPr>
        <w:t>根据评分细则提供和编写（格式自拟），包括但不仅限于：</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1.对采购人现状及需求的分析</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2.难点、要点、关键点环节分析及应对方法、解决方案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3.进口业务资金往来方案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4.特殊情况下垫付资金措施</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5.发生不可预见情况时处理方案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6.发生国际贸易纠纷时处理方案</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7.与海关、商检等部门沟通和协调措施</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8.服务响应及时性保障措施</w:t>
      </w:r>
    </w:p>
    <w:p>
      <w:pPr>
        <w:widowControl/>
        <w:snapToGrid w:val="0"/>
        <w:spacing w:line="360" w:lineRule="auto"/>
        <w:jc w:val="left"/>
        <w:rPr>
          <w:rFonts w:ascii="仿宋" w:hAnsi="仿宋" w:eastAsia="仿宋" w:cs="仿宋"/>
          <w:b/>
          <w:spacing w:val="-6"/>
          <w:sz w:val="24"/>
        </w:rPr>
      </w:pPr>
      <w:r>
        <w:rPr>
          <w:rFonts w:ascii="仿宋" w:hAnsi="仿宋" w:eastAsia="仿宋" w:cs="仿宋"/>
          <w:b/>
          <w:spacing w:val="-6"/>
          <w:sz w:val="24"/>
        </w:rPr>
        <w:t>9.物流、仓储情况及对应解决方案</w:t>
      </w:r>
    </w:p>
    <w:p>
      <w:pPr>
        <w:widowControl/>
        <w:snapToGrid w:val="0"/>
        <w:spacing w:line="360" w:lineRule="auto"/>
        <w:jc w:val="left"/>
        <w:rPr>
          <w:rFonts w:ascii="仿宋" w:hAnsi="仿宋" w:eastAsia="仿宋" w:cs="仿宋"/>
          <w:b/>
          <w:spacing w:val="-6"/>
          <w:sz w:val="24"/>
        </w:rPr>
      </w:pPr>
    </w:p>
    <w:p>
      <w:pPr>
        <w:widowControl/>
        <w:snapToGrid w:val="0"/>
        <w:spacing w:line="360" w:lineRule="auto"/>
        <w:jc w:val="left"/>
        <w:rPr>
          <w:rFonts w:ascii="仿宋" w:hAnsi="仿宋" w:eastAsia="仿宋" w:cs="仿宋"/>
          <w:b/>
          <w:spacing w:val="-6"/>
          <w:sz w:val="24"/>
        </w:rPr>
      </w:pPr>
    </w:p>
    <w:p>
      <w:pPr>
        <w:widowControl/>
        <w:snapToGrid w:val="0"/>
        <w:spacing w:line="360" w:lineRule="auto"/>
        <w:jc w:val="left"/>
        <w:rPr>
          <w:rFonts w:ascii="仿宋" w:hAnsi="仿宋" w:eastAsia="仿宋" w:cs="仿宋"/>
          <w:b/>
          <w:spacing w:val="-6"/>
          <w:sz w:val="24"/>
        </w:rPr>
      </w:pPr>
    </w:p>
    <w:p>
      <w:pPr>
        <w:snapToGrid w:val="0"/>
        <w:spacing w:line="360" w:lineRule="auto"/>
        <w:jc w:val="center"/>
        <w:outlineLvl w:val="2"/>
        <w:rPr>
          <w:rFonts w:ascii="仿宋" w:hAnsi="仿宋" w:eastAsia="仿宋" w:cs="仿宋"/>
          <w:b/>
          <w:bCs/>
          <w:spacing w:val="-6"/>
          <w:sz w:val="24"/>
        </w:rPr>
      </w:pPr>
      <w:r>
        <w:rPr>
          <w:rFonts w:hint="eastAsia" w:ascii="仿宋" w:hAnsi="仿宋" w:eastAsia="仿宋" w:cs="仿宋"/>
          <w:b/>
          <w:bCs/>
          <w:spacing w:val="-6"/>
          <w:sz w:val="24"/>
        </w:rPr>
        <w:t>特别优惠承诺</w:t>
      </w:r>
    </w:p>
    <w:p>
      <w:pPr>
        <w:rPr>
          <w:sz w:val="24"/>
        </w:rPr>
      </w:pPr>
      <w:r>
        <w:rPr>
          <w:rFonts w:hint="eastAsia" w:ascii="仿宋" w:hAnsi="仿宋" w:eastAsia="仿宋" w:cs="仿宋"/>
          <w:b/>
          <w:bCs/>
          <w:spacing w:val="-6"/>
          <w:sz w:val="24"/>
        </w:rPr>
        <w:t>（格式自拟）</w:t>
      </w:r>
    </w:p>
    <w:p>
      <w:pPr>
        <w:pStyle w:val="17"/>
        <w:ind w:firstLine="240"/>
        <w:rPr>
          <w:lang w:val="en-US"/>
        </w:rPr>
      </w:pPr>
    </w:p>
    <w:sectPr>
      <w:headerReference r:id="rId15" w:type="first"/>
      <w:footerReference r:id="rId18" w:type="first"/>
      <w:headerReference r:id="rId14" w:type="default"/>
      <w:footerReference r:id="rId16" w:type="default"/>
      <w:footerReference r:id="rId17"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0"/>
    <w:family w:val="swiss"/>
    <w:pitch w:val="default"/>
    <w:sig w:usb0="0001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35</w:t>
    </w:r>
    <w:r>
      <w:rPr>
        <w:rFonts w:hint="eastAsia" w:ascii="仿宋_GB2312" w:eastAsia="仿宋_GB2312"/>
        <w:kern w:val="0"/>
        <w:szCs w:val="21"/>
      </w:rPr>
      <w:fldChar w:fldCharType="end"/>
    </w:r>
    <w:bookmarkStart w:id="422" w:name="_Toc164085800"/>
    <w:bookmarkStart w:id="423" w:name="_Toc131845147"/>
    <w:bookmarkStart w:id="424" w:name="_Toc36110187"/>
    <w:bookmarkStart w:id="425" w:name="_Toc91899912"/>
    <w:r>
      <w:rPr>
        <w:rFonts w:hint="eastAsia" w:ascii="仿宋_GB2312" w:eastAsia="仿宋_GB2312"/>
        <w:kern w:val="0"/>
        <w:szCs w:val="21"/>
      </w:rPr>
      <w:t xml:space="preserve"> 页</w:t>
    </w:r>
    <w:bookmarkEnd w:id="422"/>
    <w:bookmarkEnd w:id="423"/>
    <w:bookmarkEnd w:id="424"/>
    <w:bookmarkEnd w:id="42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10" w:firstLineChars="100"/>
      <w:jc w:val="both"/>
      <w:rPr>
        <w:rFonts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eastAsia="仿宋_GB2312"/>
        <w:i/>
      </w:rPr>
    </w:pPr>
    <w:r>
      <w:rPr>
        <w:rFonts w:hint="eastAsia" w:eastAsia="仿宋_GB2312"/>
        <w:i/>
      </w:rPr>
      <w:t>杭州高新区（滨江）政府采购公开采购文件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80" w:firstLineChars="100"/>
      <w:jc w:val="both"/>
      <w:rPr>
        <w:rFonts w:ascii="仿宋_GB2312" w:eastAsia="仿宋_GB2312"/>
        <w:b w:val="0"/>
        <w:i/>
        <w:sz w:val="11"/>
        <w:u w:val="single"/>
      </w:rPr>
    </w:pPr>
    <w:r>
      <w:rPr>
        <w:rFonts w:hint="eastAsia" w:eastAsia="仿宋_GB2312"/>
        <w:b w:val="0"/>
        <w:i/>
        <w:sz w:val="18"/>
        <w:u w:val="single"/>
      </w:rPr>
      <w:t xml:space="preserve">                                                         </w:t>
    </w:r>
  </w:p>
  <w:p>
    <w:pPr>
      <w:pStyle w:val="15"/>
      <w:ind w:firstLine="110" w:firstLineChars="100"/>
      <w:jc w:val="both"/>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0AF34822"/>
    <w:multiLevelType w:val="multilevel"/>
    <w:tmpl w:val="0AF348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23E77F3"/>
    <w:multiLevelType w:val="multilevel"/>
    <w:tmpl w:val="123E77F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2EA06F97"/>
    <w:multiLevelType w:val="multilevel"/>
    <w:tmpl w:val="2EA06F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E001FF3"/>
    <w:multiLevelType w:val="multilevel"/>
    <w:tmpl w:val="4E001FF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abstractNum w:abstractNumId="8">
    <w:nsid w:val="75A352DC"/>
    <w:multiLevelType w:val="multilevel"/>
    <w:tmpl w:val="75A352DC"/>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3"/>
  </w:num>
  <w:num w:numId="3">
    <w:abstractNumId w:val="6"/>
  </w:num>
  <w:num w:numId="4">
    <w:abstractNumId w:val="8"/>
  </w:num>
  <w:num w:numId="5">
    <w:abstractNumId w:val="4"/>
  </w:num>
  <w:num w:numId="6">
    <w:abstractNumId w:val="7"/>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18035F0E"/>
    <w:rsid w:val="0000258E"/>
    <w:rsid w:val="00087986"/>
    <w:rsid w:val="00097DC5"/>
    <w:rsid w:val="00155121"/>
    <w:rsid w:val="00161704"/>
    <w:rsid w:val="001765CB"/>
    <w:rsid w:val="0019082E"/>
    <w:rsid w:val="00215BBF"/>
    <w:rsid w:val="002270AC"/>
    <w:rsid w:val="00254818"/>
    <w:rsid w:val="002621AD"/>
    <w:rsid w:val="00283663"/>
    <w:rsid w:val="002F5500"/>
    <w:rsid w:val="002F7C21"/>
    <w:rsid w:val="003F3991"/>
    <w:rsid w:val="004377AD"/>
    <w:rsid w:val="00445321"/>
    <w:rsid w:val="00450A09"/>
    <w:rsid w:val="00576735"/>
    <w:rsid w:val="00697C1E"/>
    <w:rsid w:val="007820AB"/>
    <w:rsid w:val="0079375D"/>
    <w:rsid w:val="007A018B"/>
    <w:rsid w:val="007B3175"/>
    <w:rsid w:val="007C3F72"/>
    <w:rsid w:val="009023D6"/>
    <w:rsid w:val="0098423C"/>
    <w:rsid w:val="0099154D"/>
    <w:rsid w:val="009A4E52"/>
    <w:rsid w:val="00A160AF"/>
    <w:rsid w:val="00A70B21"/>
    <w:rsid w:val="00AC226C"/>
    <w:rsid w:val="00B3197F"/>
    <w:rsid w:val="00B47C96"/>
    <w:rsid w:val="00B852D2"/>
    <w:rsid w:val="00BA64C3"/>
    <w:rsid w:val="00BE2CEA"/>
    <w:rsid w:val="00CB72D7"/>
    <w:rsid w:val="00CE30E4"/>
    <w:rsid w:val="00CF4377"/>
    <w:rsid w:val="00D21D09"/>
    <w:rsid w:val="00DA423B"/>
    <w:rsid w:val="00E27824"/>
    <w:rsid w:val="00E575C4"/>
    <w:rsid w:val="00EA7194"/>
    <w:rsid w:val="00EE7D02"/>
    <w:rsid w:val="00F04C26"/>
    <w:rsid w:val="043B167C"/>
    <w:rsid w:val="045E127D"/>
    <w:rsid w:val="05A03EB9"/>
    <w:rsid w:val="05F55750"/>
    <w:rsid w:val="06FC367F"/>
    <w:rsid w:val="07337047"/>
    <w:rsid w:val="076E26B7"/>
    <w:rsid w:val="08572A98"/>
    <w:rsid w:val="091702C8"/>
    <w:rsid w:val="09535ABD"/>
    <w:rsid w:val="0AA861A5"/>
    <w:rsid w:val="0C620CDB"/>
    <w:rsid w:val="0E3377CA"/>
    <w:rsid w:val="114A5FCF"/>
    <w:rsid w:val="12E74136"/>
    <w:rsid w:val="14E7267B"/>
    <w:rsid w:val="15455BE0"/>
    <w:rsid w:val="172F3D9F"/>
    <w:rsid w:val="18035F0E"/>
    <w:rsid w:val="18992D0D"/>
    <w:rsid w:val="1AFE3935"/>
    <w:rsid w:val="1C623E90"/>
    <w:rsid w:val="1CFA6D64"/>
    <w:rsid w:val="1E874BF1"/>
    <w:rsid w:val="1FD21DDE"/>
    <w:rsid w:val="20087A5E"/>
    <w:rsid w:val="22804309"/>
    <w:rsid w:val="22E8009A"/>
    <w:rsid w:val="25064EBD"/>
    <w:rsid w:val="256D7D11"/>
    <w:rsid w:val="27D97F5A"/>
    <w:rsid w:val="281F4FDA"/>
    <w:rsid w:val="28DB1E35"/>
    <w:rsid w:val="2A7E6B46"/>
    <w:rsid w:val="2BE86CB6"/>
    <w:rsid w:val="2BF02E9A"/>
    <w:rsid w:val="2D9460B7"/>
    <w:rsid w:val="2F807DA9"/>
    <w:rsid w:val="30C741B7"/>
    <w:rsid w:val="32963E77"/>
    <w:rsid w:val="33F16AE7"/>
    <w:rsid w:val="35243D1E"/>
    <w:rsid w:val="354436E3"/>
    <w:rsid w:val="35C26903"/>
    <w:rsid w:val="36F86D6D"/>
    <w:rsid w:val="36FE6833"/>
    <w:rsid w:val="37BC4560"/>
    <w:rsid w:val="38523F49"/>
    <w:rsid w:val="39375990"/>
    <w:rsid w:val="399E17CA"/>
    <w:rsid w:val="3B1E5D0A"/>
    <w:rsid w:val="3B224958"/>
    <w:rsid w:val="3B271454"/>
    <w:rsid w:val="3B272698"/>
    <w:rsid w:val="3B6978A4"/>
    <w:rsid w:val="3C095F8F"/>
    <w:rsid w:val="3C17253C"/>
    <w:rsid w:val="3C470588"/>
    <w:rsid w:val="3C6F2DE4"/>
    <w:rsid w:val="3D142AB2"/>
    <w:rsid w:val="3D7E34A9"/>
    <w:rsid w:val="3F202C02"/>
    <w:rsid w:val="40C745AF"/>
    <w:rsid w:val="40EF67D6"/>
    <w:rsid w:val="43F41149"/>
    <w:rsid w:val="442A792B"/>
    <w:rsid w:val="445106D0"/>
    <w:rsid w:val="449B78FA"/>
    <w:rsid w:val="45A62135"/>
    <w:rsid w:val="472E309E"/>
    <w:rsid w:val="47EC79BF"/>
    <w:rsid w:val="488965FD"/>
    <w:rsid w:val="4ACD44D4"/>
    <w:rsid w:val="4BD44826"/>
    <w:rsid w:val="4C860F93"/>
    <w:rsid w:val="4D63082E"/>
    <w:rsid w:val="4E7F43E4"/>
    <w:rsid w:val="55D25EEE"/>
    <w:rsid w:val="56693264"/>
    <w:rsid w:val="56D20521"/>
    <w:rsid w:val="5AE81F01"/>
    <w:rsid w:val="5BF03378"/>
    <w:rsid w:val="5E4F7159"/>
    <w:rsid w:val="5EFF6DF2"/>
    <w:rsid w:val="5F2C4F5B"/>
    <w:rsid w:val="61884A25"/>
    <w:rsid w:val="624C0AEF"/>
    <w:rsid w:val="63BA3D18"/>
    <w:rsid w:val="645C254E"/>
    <w:rsid w:val="6654263E"/>
    <w:rsid w:val="6769498B"/>
    <w:rsid w:val="6B29553C"/>
    <w:rsid w:val="6BDA4B87"/>
    <w:rsid w:val="6C46473D"/>
    <w:rsid w:val="6D616C78"/>
    <w:rsid w:val="6DD64746"/>
    <w:rsid w:val="6ED44D5B"/>
    <w:rsid w:val="6F56234B"/>
    <w:rsid w:val="70145512"/>
    <w:rsid w:val="71974A4B"/>
    <w:rsid w:val="71F25D6B"/>
    <w:rsid w:val="72456303"/>
    <w:rsid w:val="73472B11"/>
    <w:rsid w:val="7434340C"/>
    <w:rsid w:val="74AE319C"/>
    <w:rsid w:val="76244651"/>
    <w:rsid w:val="774A26F9"/>
    <w:rsid w:val="78753F7C"/>
    <w:rsid w:val="7C223BE6"/>
    <w:rsid w:val="7DD602B7"/>
    <w:rsid w:val="7F79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2">
    <w:name w:val="heading 4"/>
    <w:basedOn w:val="1"/>
    <w:next w:val="1"/>
    <w:qFormat/>
    <w:uiPriority w:val="0"/>
    <w:pPr>
      <w:keepNext/>
      <w:snapToGrid w:val="0"/>
      <w:spacing w:line="600" w:lineRule="exact"/>
      <w:ind w:firstLine="1928" w:firstLineChars="600"/>
      <w:outlineLvl w:val="3"/>
    </w:pPr>
    <w:rPr>
      <w:rFonts w:ascii="宋体" w:hAnsi="宋体"/>
      <w:b/>
      <w:bCs/>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annotation text"/>
    <w:basedOn w:val="1"/>
    <w:link w:val="30"/>
    <w:qFormat/>
    <w:uiPriority w:val="0"/>
    <w:pPr>
      <w:jc w:val="left"/>
    </w:pPr>
  </w:style>
  <w:style w:type="paragraph" w:styleId="7">
    <w:name w:val="Body Text"/>
    <w:basedOn w:val="1"/>
    <w:next w:val="1"/>
    <w:qFormat/>
    <w:uiPriority w:val="0"/>
    <w:pPr>
      <w:autoSpaceDE w:val="0"/>
      <w:autoSpaceDN w:val="0"/>
      <w:spacing w:line="360" w:lineRule="auto"/>
    </w:pPr>
    <w:rPr>
      <w:rFonts w:ascii="宋体"/>
      <w:sz w:val="24"/>
      <w:szCs w:val="21"/>
      <w:lang w:val="zh-CN"/>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Balloon Text"/>
    <w:basedOn w:val="1"/>
    <w:link w:val="32"/>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adjustRightInd/>
      <w:ind w:left="200" w:hanging="200" w:hangingChars="200"/>
    </w:pPr>
    <w:rPr>
      <w:sz w:val="28"/>
    </w:rPr>
  </w:style>
  <w:style w:type="paragraph" w:styleId="14">
    <w:name w:val="Body Text 2"/>
    <w:basedOn w:val="1"/>
    <w:qFormat/>
    <w:uiPriority w:val="0"/>
    <w:pPr>
      <w:spacing w:after="120" w:line="480" w:lineRule="auto"/>
    </w:pPr>
  </w:style>
  <w:style w:type="paragraph" w:styleId="15">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16">
    <w:name w:val="annotation subject"/>
    <w:basedOn w:val="6"/>
    <w:next w:val="6"/>
    <w:link w:val="31"/>
    <w:qFormat/>
    <w:uiPriority w:val="0"/>
    <w:rPr>
      <w:b/>
      <w:bCs/>
    </w:rPr>
  </w:style>
  <w:style w:type="paragraph" w:styleId="17">
    <w:name w:val="Body Text First Indent"/>
    <w:basedOn w:val="7"/>
    <w:next w:val="1"/>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iPriority w:val="0"/>
    <w:rPr>
      <w:color w:val="0000FF"/>
      <w:u w:val="single"/>
    </w:rPr>
  </w:style>
  <w:style w:type="character" w:styleId="23">
    <w:name w:val="annotation reference"/>
    <w:basedOn w:val="20"/>
    <w:qFormat/>
    <w:uiPriority w:val="0"/>
    <w:rPr>
      <w:sz w:val="21"/>
      <w:szCs w:val="21"/>
    </w:rPr>
  </w:style>
  <w:style w:type="paragraph" w:customStyle="1" w:styleId="24">
    <w:name w:val="正文2"/>
    <w:basedOn w:val="1"/>
    <w:qFormat/>
    <w:uiPriority w:val="0"/>
    <w:pPr>
      <w:spacing w:before="156" w:line="360" w:lineRule="auto"/>
      <w:ind w:firstLine="510" w:firstLineChars="200"/>
    </w:pPr>
    <w:rPr>
      <w:sz w:val="24"/>
      <w:szCs w:val="20"/>
    </w:rPr>
  </w:style>
  <w:style w:type="paragraph" w:customStyle="1" w:styleId="2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1"/>
    <w:basedOn w:val="1"/>
    <w:next w:val="14"/>
    <w:qFormat/>
    <w:uiPriority w:val="0"/>
    <w:pPr>
      <w:adjustRightInd/>
      <w:spacing w:line="360" w:lineRule="auto"/>
    </w:pPr>
    <w:rPr>
      <w:rFonts w:eastAsia="仿宋_GB2312"/>
      <w:sz w:val="24"/>
    </w:rPr>
  </w:style>
  <w:style w:type="paragraph" w:customStyle="1" w:styleId="27">
    <w:name w:val="Body text|1"/>
    <w:basedOn w:val="1"/>
    <w:qFormat/>
    <w:uiPriority w:val="0"/>
    <w:pPr>
      <w:spacing w:line="475" w:lineRule="auto"/>
    </w:pPr>
    <w:rPr>
      <w:rFonts w:ascii="宋体" w:hAnsi="宋体" w:cs="宋体"/>
      <w:color w:val="7A7F8C"/>
      <w:sz w:val="18"/>
      <w:szCs w:val="18"/>
      <w:lang w:val="zh-TW" w:eastAsia="zh-TW" w:bidi="zh-TW"/>
    </w:rPr>
  </w:style>
  <w:style w:type="paragraph" w:customStyle="1" w:styleId="28">
    <w:name w:val="Table caption|1"/>
    <w:basedOn w:val="1"/>
    <w:qFormat/>
    <w:uiPriority w:val="0"/>
    <w:rPr>
      <w:rFonts w:ascii="宋体" w:hAnsi="宋体" w:cs="宋体"/>
      <w:sz w:val="18"/>
      <w:szCs w:val="18"/>
      <w:lang w:val="zh-TW" w:eastAsia="zh-TW" w:bidi="zh-TW"/>
    </w:rPr>
  </w:style>
  <w:style w:type="paragraph" w:customStyle="1" w:styleId="29">
    <w:name w:val="Other|1"/>
    <w:basedOn w:val="1"/>
    <w:qFormat/>
    <w:uiPriority w:val="0"/>
    <w:pPr>
      <w:spacing w:line="475" w:lineRule="auto"/>
    </w:pPr>
    <w:rPr>
      <w:rFonts w:ascii="宋体" w:hAnsi="宋体" w:cs="宋体"/>
      <w:color w:val="7A7F8C"/>
      <w:sz w:val="18"/>
      <w:szCs w:val="18"/>
      <w:lang w:val="zh-TW" w:eastAsia="zh-TW" w:bidi="zh-TW"/>
    </w:rPr>
  </w:style>
  <w:style w:type="character" w:customStyle="1" w:styleId="30">
    <w:name w:val="批注文字 字符"/>
    <w:basedOn w:val="20"/>
    <w:link w:val="6"/>
    <w:qFormat/>
    <w:uiPriority w:val="0"/>
    <w:rPr>
      <w:rFonts w:ascii="Times New Roman" w:hAnsi="Times New Roman" w:eastAsia="宋体"/>
      <w:kern w:val="2"/>
      <w:sz w:val="21"/>
      <w:szCs w:val="24"/>
    </w:rPr>
  </w:style>
  <w:style w:type="character" w:customStyle="1" w:styleId="31">
    <w:name w:val="批注主题 字符"/>
    <w:basedOn w:val="30"/>
    <w:link w:val="16"/>
    <w:qFormat/>
    <w:uiPriority w:val="0"/>
    <w:rPr>
      <w:rFonts w:ascii="Times New Roman" w:hAnsi="Times New Roman" w:eastAsia="宋体"/>
      <w:b/>
      <w:bCs/>
      <w:kern w:val="2"/>
      <w:sz w:val="21"/>
      <w:szCs w:val="24"/>
    </w:rPr>
  </w:style>
  <w:style w:type="character" w:customStyle="1" w:styleId="32">
    <w:name w:val="批注框文本 字符"/>
    <w:basedOn w:val="20"/>
    <w:link w:val="10"/>
    <w:qFormat/>
    <w:uiPriority w:val="0"/>
    <w:rPr>
      <w:rFonts w:ascii="Times New Roman" w:hAnsi="Times New Roman" w:eastAsia="宋体"/>
      <w:kern w:val="2"/>
      <w:sz w:val="18"/>
      <w:szCs w:val="18"/>
    </w:rPr>
  </w:style>
  <w:style w:type="paragraph" w:styleId="33">
    <w:name w:val="List Paragraph"/>
    <w:basedOn w:val="1"/>
    <w:qFormat/>
    <w:uiPriority w:val="99"/>
    <w:pPr>
      <w:ind w:firstLine="420" w:firstLineChars="200"/>
    </w:pPr>
  </w:style>
  <w:style w:type="paragraph" w:customStyle="1" w:styleId="34">
    <w:name w:val="Body Text Indent1"/>
    <w:basedOn w:val="1"/>
    <w:next w:val="1"/>
    <w:qFormat/>
    <w:uiPriority w:val="0"/>
    <w:pPr>
      <w:adjustRightInd/>
      <w:spacing w:after="120"/>
      <w:ind w:left="420" w:leftChars="200"/>
    </w:pPr>
    <w:rPr>
      <w:rFonts w:asciiTheme="minorHAnsi" w:hAnsiTheme="minorHAnsi" w:eastAsiaTheme="minorEastAsia" w:cstheme="minorBidi"/>
    </w:rPr>
  </w:style>
  <w:style w:type="character" w:customStyle="1" w:styleId="35">
    <w:name w:val="NormalCharacter"/>
    <w:qFormat/>
    <w:uiPriority w:val="0"/>
  </w:style>
  <w:style w:type="paragraph" w:customStyle="1" w:styleId="36">
    <w:name w:val="列表段落1"/>
    <w:basedOn w:val="1"/>
    <w:qFormat/>
    <w:uiPriority w:val="1"/>
    <w:pPr>
      <w:ind w:left="121" w:right="256" w:firstLine="559"/>
    </w:pPr>
  </w:style>
  <w:style w:type="paragraph" w:customStyle="1" w:styleId="37">
    <w:name w:val="179"/>
    <w:basedOn w:val="1"/>
    <w:qFormat/>
    <w:uiPriority w:val="0"/>
    <w:pPr>
      <w:widowControl/>
      <w:ind w:firstLine="420" w:firstLineChars="200"/>
      <w:textAlignment w:val="baseline"/>
    </w:pPr>
    <w:rPr>
      <w:rFonts w:cstheme="minorBid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1DF0A-1FE1-4EA9-92B5-E50B5EE8A75D}">
  <ds:schemaRefs/>
</ds:datastoreItem>
</file>

<file path=docProps/app.xml><?xml version="1.0" encoding="utf-8"?>
<Properties xmlns="http://schemas.openxmlformats.org/officeDocument/2006/extended-properties" xmlns:vt="http://schemas.openxmlformats.org/officeDocument/2006/docPropsVTypes">
  <Template>Normal</Template>
  <Pages>36</Pages>
  <Words>3345</Words>
  <Characters>19073</Characters>
  <Lines>158</Lines>
  <Paragraphs>44</Paragraphs>
  <TotalTime>721</TotalTime>
  <ScaleCrop>false</ScaleCrop>
  <LinksUpToDate>false</LinksUpToDate>
  <CharactersWithSpaces>22374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花冢</cp:lastModifiedBy>
  <cp:lastPrinted>2022-08-04T01:18:00Z</cp:lastPrinted>
  <dcterms:modified xsi:type="dcterms:W3CDTF">2022-08-13T02:32:27Z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40E6B24E58F64040916287B846FB7D16</vt:lpwstr>
  </property>
</Properties>
</file>