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360" w:lineRule="auto"/>
        <w:jc w:val="center"/>
        <w:rPr>
          <w:rFonts w:ascii="仿宋_GB2312" w:hAnsi="仿宋" w:eastAsia="仿宋_GB2312"/>
          <w:b/>
          <w:color w:val="auto"/>
          <w:sz w:val="44"/>
          <w:szCs w:val="44"/>
        </w:rPr>
      </w:pPr>
    </w:p>
    <w:p>
      <w:pPr>
        <w:adjustRightInd/>
        <w:spacing w:line="360" w:lineRule="auto"/>
        <w:jc w:val="center"/>
        <w:rPr>
          <w:rFonts w:ascii="仿宋_GB2312" w:hAnsi="仿宋" w:eastAsia="仿宋_GB2312"/>
          <w:b/>
          <w:color w:val="auto"/>
          <w:sz w:val="44"/>
          <w:szCs w:val="44"/>
        </w:rPr>
      </w:pPr>
      <w:r>
        <w:rPr>
          <w:rFonts w:hint="eastAsia" w:ascii="仿宋_GB2312" w:hAnsi="仿宋" w:eastAsia="仿宋_GB2312"/>
          <w:b/>
          <w:color w:val="auto"/>
          <w:sz w:val="44"/>
          <w:szCs w:val="44"/>
        </w:rPr>
        <w:t>浙江大学国际健康医学研究院2022-2023年度工程项目招标代理服务采购项目</w:t>
      </w:r>
    </w:p>
    <w:p>
      <w:pPr>
        <w:adjustRightInd/>
        <w:spacing w:line="360" w:lineRule="auto"/>
        <w:jc w:val="center"/>
        <w:rPr>
          <w:rFonts w:ascii="仿宋_GB2312" w:hAnsi="仿宋" w:eastAsia="仿宋_GB2312"/>
          <w:b/>
          <w:color w:val="auto"/>
          <w:sz w:val="72"/>
          <w:szCs w:val="72"/>
        </w:rPr>
      </w:pPr>
    </w:p>
    <w:p>
      <w:pPr>
        <w:adjustRightInd/>
        <w:spacing w:line="360" w:lineRule="auto"/>
        <w:jc w:val="center"/>
        <w:rPr>
          <w:rFonts w:ascii="仿宋_GB2312" w:hAnsi="仿宋" w:eastAsia="仿宋_GB2312"/>
          <w:b/>
          <w:color w:val="auto"/>
          <w:sz w:val="72"/>
          <w:szCs w:val="72"/>
        </w:rPr>
      </w:pPr>
    </w:p>
    <w:p>
      <w:pPr>
        <w:adjustRightInd/>
        <w:spacing w:line="360" w:lineRule="auto"/>
        <w:jc w:val="center"/>
        <w:rPr>
          <w:rFonts w:ascii="仿宋_GB2312" w:hAnsi="仿宋" w:eastAsia="仿宋_GB2312"/>
          <w:b/>
          <w:color w:val="auto"/>
          <w:sz w:val="72"/>
          <w:szCs w:val="72"/>
        </w:rPr>
      </w:pPr>
      <w:r>
        <w:rPr>
          <w:rFonts w:hint="eastAsia" w:ascii="仿宋_GB2312" w:hAnsi="仿宋" w:eastAsia="仿宋_GB2312"/>
          <w:b/>
          <w:color w:val="auto"/>
          <w:sz w:val="72"/>
          <w:szCs w:val="72"/>
        </w:rPr>
        <w:t>招标文件</w:t>
      </w:r>
    </w:p>
    <w:p>
      <w:pPr>
        <w:snapToGrid w:val="0"/>
        <w:spacing w:line="360" w:lineRule="auto"/>
        <w:rPr>
          <w:rFonts w:ascii="仿宋_GB2312" w:eastAsia="仿宋_GB2312"/>
          <w:color w:val="auto"/>
          <w:sz w:val="30"/>
          <w:szCs w:val="30"/>
        </w:rPr>
      </w:pPr>
    </w:p>
    <w:p>
      <w:pPr>
        <w:snapToGrid w:val="0"/>
        <w:spacing w:line="360" w:lineRule="auto"/>
        <w:jc w:val="center"/>
        <w:rPr>
          <w:rFonts w:ascii="仿宋_GB2312" w:eastAsia="仿宋_GB2312"/>
          <w:color w:val="auto"/>
          <w:sz w:val="30"/>
          <w:szCs w:val="30"/>
        </w:rPr>
      </w:pPr>
    </w:p>
    <w:p>
      <w:pPr>
        <w:snapToGrid w:val="0"/>
        <w:spacing w:line="360" w:lineRule="auto"/>
        <w:jc w:val="center"/>
        <w:rPr>
          <w:rFonts w:ascii="仿宋_GB2312" w:eastAsia="仿宋_GB2312"/>
          <w:color w:val="auto"/>
          <w:sz w:val="30"/>
          <w:szCs w:val="30"/>
        </w:rPr>
      </w:pPr>
    </w:p>
    <w:p>
      <w:pPr>
        <w:snapToGrid w:val="0"/>
        <w:spacing w:line="360" w:lineRule="auto"/>
        <w:jc w:val="center"/>
        <w:rPr>
          <w:rFonts w:ascii="仿宋_GB2312" w:eastAsia="仿宋_GB2312"/>
          <w:color w:val="auto"/>
          <w:sz w:val="30"/>
          <w:szCs w:val="30"/>
        </w:rPr>
      </w:pPr>
    </w:p>
    <w:p>
      <w:pPr>
        <w:snapToGrid w:val="0"/>
        <w:spacing w:line="360" w:lineRule="auto"/>
        <w:jc w:val="center"/>
        <w:rPr>
          <w:rFonts w:hint="default" w:ascii="仿宋_GB2312" w:eastAsia="仿宋_GB2312"/>
          <w:color w:val="auto"/>
          <w:sz w:val="30"/>
          <w:szCs w:val="30"/>
          <w:lang w:val="en-US" w:eastAsia="zh-CN"/>
        </w:rPr>
      </w:pPr>
      <w:r>
        <w:rPr>
          <w:rFonts w:hint="eastAsia" w:ascii="仿宋_GB2312" w:eastAsia="仿宋_GB2312"/>
          <w:color w:val="auto"/>
          <w:sz w:val="30"/>
          <w:szCs w:val="30"/>
        </w:rPr>
        <w:t>编号:</w:t>
      </w:r>
      <w:r>
        <w:rPr>
          <w:rFonts w:hint="eastAsia" w:ascii="仿宋_GB2312" w:eastAsia="仿宋_GB2312"/>
          <w:color w:val="auto"/>
          <w:sz w:val="30"/>
          <w:szCs w:val="30"/>
          <w:highlight w:val="yellow"/>
        </w:rPr>
        <w:t xml:space="preserve"> ZYSYYN20220703</w:t>
      </w:r>
      <w:r>
        <w:rPr>
          <w:rFonts w:hint="eastAsia" w:ascii="仿宋_GB2312" w:eastAsia="仿宋_GB2312"/>
          <w:color w:val="auto"/>
          <w:sz w:val="30"/>
          <w:szCs w:val="30"/>
          <w:highlight w:val="yellow"/>
          <w:lang w:val="en-US" w:eastAsia="zh-CN"/>
        </w:rPr>
        <w:t>-1</w:t>
      </w:r>
    </w:p>
    <w:p>
      <w:pPr>
        <w:adjustRightInd/>
        <w:spacing w:line="360" w:lineRule="auto"/>
        <w:rPr>
          <w:rFonts w:ascii="仿宋_GB2312" w:hAnsi="仿宋" w:eastAsia="仿宋_GB2312"/>
          <w:color w:val="auto"/>
          <w:sz w:val="28"/>
          <w:szCs w:val="20"/>
        </w:rPr>
      </w:pPr>
    </w:p>
    <w:p>
      <w:pPr>
        <w:spacing w:line="360" w:lineRule="auto"/>
        <w:rPr>
          <w:rFonts w:ascii="仿宋_GB2312" w:hAnsi="仿宋" w:eastAsia="仿宋_GB2312"/>
          <w:color w:val="auto"/>
          <w:sz w:val="24"/>
        </w:rPr>
      </w:pPr>
    </w:p>
    <w:p>
      <w:pPr>
        <w:spacing w:line="360" w:lineRule="auto"/>
        <w:rPr>
          <w:rFonts w:ascii="仿宋_GB2312" w:hAnsi="仿宋" w:eastAsia="仿宋_GB2312"/>
          <w:b/>
          <w:color w:val="auto"/>
          <w:sz w:val="24"/>
        </w:rPr>
      </w:pPr>
      <w:r>
        <w:rPr>
          <w:rFonts w:hint="eastAsia" w:ascii="仿宋_GB2312" w:hAnsi="仿宋" w:eastAsia="仿宋_GB2312"/>
          <w:color w:val="auto"/>
          <w:sz w:val="24"/>
        </w:rPr>
        <w:t xml:space="preserve">                                      </w:t>
      </w:r>
    </w:p>
    <w:p>
      <w:pPr>
        <w:snapToGrid w:val="0"/>
        <w:spacing w:line="360" w:lineRule="auto"/>
        <w:jc w:val="center"/>
        <w:rPr>
          <w:rFonts w:ascii="仿宋_GB2312" w:hAnsi="宋体" w:eastAsia="仿宋_GB2312"/>
          <w:color w:val="auto"/>
          <w:sz w:val="32"/>
          <w:szCs w:val="32"/>
        </w:rPr>
      </w:pPr>
    </w:p>
    <w:p>
      <w:pPr>
        <w:spacing w:line="360" w:lineRule="auto"/>
        <w:jc w:val="center"/>
        <w:rPr>
          <w:rFonts w:ascii="仿宋_GB2312" w:eastAsia="仿宋_GB2312"/>
          <w:bCs/>
          <w:color w:val="auto"/>
          <w:sz w:val="32"/>
          <w:szCs w:val="32"/>
        </w:rPr>
      </w:pPr>
      <w:r>
        <w:rPr>
          <w:rFonts w:hint="eastAsia" w:ascii="仿宋_GB2312" w:eastAsia="仿宋_GB2312"/>
          <w:bCs/>
          <w:color w:val="auto"/>
          <w:sz w:val="32"/>
          <w:szCs w:val="32"/>
        </w:rPr>
        <w:t>浙江大学医学院附属第四医院招标管理办公室</w:t>
      </w:r>
    </w:p>
    <w:p>
      <w:pPr>
        <w:snapToGrid w:val="0"/>
        <w:spacing w:line="360" w:lineRule="auto"/>
        <w:jc w:val="center"/>
        <w:rPr>
          <w:rFonts w:ascii="仿宋_GB2312" w:hAnsi="宋体" w:eastAsia="仿宋_GB2312"/>
          <w:color w:val="auto"/>
          <w:sz w:val="30"/>
          <w:szCs w:val="30"/>
        </w:rPr>
      </w:pPr>
      <w:r>
        <w:rPr>
          <w:rFonts w:hint="eastAsia" w:ascii="仿宋_GB2312" w:hAnsi="宋体" w:eastAsia="仿宋_GB2312"/>
          <w:color w:val="auto"/>
          <w:sz w:val="30"/>
          <w:szCs w:val="30"/>
        </w:rPr>
        <w:t>二</w:t>
      </w:r>
      <w:r>
        <w:rPr>
          <w:rFonts w:hint="eastAsia" w:ascii="仿宋_GB2312" w:hAnsi="宋体" w:cs="宋体"/>
          <w:color w:val="auto"/>
          <w:sz w:val="30"/>
          <w:szCs w:val="30"/>
        </w:rPr>
        <w:t>〇</w:t>
      </w:r>
      <w:r>
        <w:rPr>
          <w:rFonts w:hint="eastAsia" w:ascii="仿宋_GB2312" w:hAnsi="宋体" w:eastAsia="仿宋_GB2312"/>
          <w:color w:val="auto"/>
          <w:sz w:val="30"/>
          <w:szCs w:val="30"/>
        </w:rPr>
        <w:t>二二年八月</w:t>
      </w:r>
    </w:p>
    <w:p>
      <w:pPr>
        <w:spacing w:line="360" w:lineRule="auto"/>
        <w:rPr>
          <w:rFonts w:ascii="仿宋_GB2312" w:hAnsi="仿宋" w:eastAsia="仿宋_GB2312"/>
          <w:b/>
          <w:color w:val="auto"/>
          <w:sz w:val="24"/>
        </w:rPr>
      </w:pPr>
      <w:r>
        <w:rPr>
          <w:rFonts w:hint="eastAsia" w:ascii="仿宋_GB2312" w:hAnsi="仿宋" w:eastAsia="仿宋_GB2312"/>
          <w:color w:val="auto"/>
          <w:sz w:val="24"/>
        </w:rPr>
        <w:br w:type="page"/>
      </w:r>
      <w:bookmarkStart w:id="0" w:name="_Hlt67893495"/>
      <w:bookmarkEnd w:id="0"/>
    </w:p>
    <w:p>
      <w:pPr>
        <w:spacing w:line="360" w:lineRule="auto"/>
        <w:jc w:val="center"/>
        <w:rPr>
          <w:rFonts w:ascii="仿宋_GB2312" w:hAnsi="仿宋" w:eastAsia="仿宋_GB2312"/>
          <w:b/>
          <w:color w:val="auto"/>
          <w:sz w:val="48"/>
          <w:szCs w:val="48"/>
        </w:rPr>
      </w:pPr>
      <w:r>
        <w:rPr>
          <w:rFonts w:hint="eastAsia" w:ascii="仿宋_GB2312" w:hAnsi="仿宋" w:eastAsia="仿宋_GB2312"/>
          <w:b/>
          <w:color w:val="auto"/>
          <w:sz w:val="48"/>
          <w:szCs w:val="48"/>
        </w:rPr>
        <w:t>目  录</w:t>
      </w:r>
    </w:p>
    <w:p>
      <w:pPr>
        <w:spacing w:line="360" w:lineRule="auto"/>
        <w:rPr>
          <w:rFonts w:ascii="仿宋_GB2312" w:hAnsi="仿宋" w:eastAsia="仿宋_GB2312"/>
          <w:color w:val="auto"/>
          <w:sz w:val="32"/>
          <w:szCs w:val="32"/>
        </w:rPr>
      </w:pPr>
      <w:r>
        <w:rPr>
          <w:rFonts w:hint="eastAsia" w:ascii="仿宋_GB2312" w:hAnsi="仿宋" w:eastAsia="仿宋_GB2312"/>
          <w:color w:val="auto"/>
          <w:sz w:val="32"/>
          <w:szCs w:val="32"/>
        </w:rPr>
        <w:t>第一部分      招标公告</w:t>
      </w:r>
    </w:p>
    <w:p>
      <w:pPr>
        <w:spacing w:line="360" w:lineRule="auto"/>
        <w:rPr>
          <w:rFonts w:ascii="仿宋_GB2312" w:hAnsi="仿宋" w:eastAsia="仿宋_GB2312"/>
          <w:color w:val="auto"/>
          <w:sz w:val="36"/>
          <w:szCs w:val="20"/>
        </w:rPr>
      </w:pPr>
      <w:r>
        <w:rPr>
          <w:rFonts w:hint="eastAsia" w:ascii="仿宋_GB2312" w:hAnsi="仿宋" w:eastAsia="仿宋_GB2312"/>
          <w:color w:val="auto"/>
          <w:sz w:val="32"/>
          <w:szCs w:val="32"/>
        </w:rPr>
        <w:t xml:space="preserve">第二部分      </w:t>
      </w:r>
      <w:r>
        <w:rPr>
          <w:rFonts w:hint="eastAsia" w:ascii="仿宋_GB2312" w:hAnsi="仿宋" w:eastAsia="仿宋_GB2312"/>
          <w:color w:val="auto"/>
          <w:sz w:val="36"/>
          <w:szCs w:val="20"/>
        </w:rPr>
        <w:t>编制和提交采购响应文件须知</w:t>
      </w:r>
    </w:p>
    <w:p>
      <w:pPr>
        <w:spacing w:line="360" w:lineRule="auto"/>
        <w:rPr>
          <w:rFonts w:ascii="仿宋_GB2312" w:hAnsi="仿宋" w:eastAsia="仿宋_GB2312"/>
          <w:color w:val="auto"/>
          <w:sz w:val="32"/>
          <w:szCs w:val="32"/>
        </w:rPr>
      </w:pPr>
      <w:r>
        <w:rPr>
          <w:rFonts w:hint="eastAsia" w:ascii="仿宋_GB2312" w:hAnsi="仿宋" w:eastAsia="仿宋_GB2312"/>
          <w:color w:val="auto"/>
          <w:sz w:val="32"/>
          <w:szCs w:val="32"/>
        </w:rPr>
        <w:t>第三部分      评标办法及评分标准</w:t>
      </w:r>
    </w:p>
    <w:p>
      <w:pPr>
        <w:spacing w:line="360" w:lineRule="auto"/>
        <w:rPr>
          <w:rFonts w:ascii="仿宋_GB2312" w:hAnsi="仿宋" w:eastAsia="仿宋_GB2312"/>
          <w:color w:val="auto"/>
          <w:sz w:val="32"/>
          <w:szCs w:val="32"/>
        </w:rPr>
      </w:pPr>
      <w:r>
        <w:rPr>
          <w:rFonts w:hint="eastAsia" w:ascii="仿宋_GB2312" w:hAnsi="仿宋" w:eastAsia="仿宋_GB2312"/>
          <w:color w:val="auto"/>
          <w:sz w:val="32"/>
          <w:szCs w:val="32"/>
        </w:rPr>
        <w:t>第四部分      项目技术规范和服务要求</w:t>
      </w:r>
    </w:p>
    <w:p>
      <w:pPr>
        <w:spacing w:line="360" w:lineRule="auto"/>
        <w:rPr>
          <w:rFonts w:ascii="仿宋_GB2312" w:hAnsi="仿宋" w:eastAsia="仿宋_GB2312"/>
          <w:color w:val="auto"/>
          <w:sz w:val="32"/>
          <w:szCs w:val="32"/>
        </w:rPr>
      </w:pPr>
      <w:r>
        <w:rPr>
          <w:rFonts w:hint="eastAsia" w:ascii="仿宋_GB2312" w:hAnsi="仿宋" w:eastAsia="仿宋_GB2312"/>
          <w:color w:val="auto"/>
          <w:sz w:val="32"/>
          <w:szCs w:val="32"/>
        </w:rPr>
        <w:t>第五部分      采购合同的一般和特殊条款</w:t>
      </w:r>
    </w:p>
    <w:p>
      <w:pPr>
        <w:spacing w:line="360" w:lineRule="auto"/>
        <w:rPr>
          <w:rFonts w:ascii="仿宋_GB2312" w:hAnsi="仿宋" w:eastAsia="仿宋_GB2312"/>
          <w:color w:val="auto"/>
          <w:sz w:val="32"/>
          <w:szCs w:val="32"/>
        </w:rPr>
      </w:pPr>
      <w:r>
        <w:rPr>
          <w:rFonts w:hint="eastAsia" w:ascii="仿宋_GB2312" w:hAnsi="仿宋" w:eastAsia="仿宋_GB2312"/>
          <w:color w:val="auto"/>
          <w:sz w:val="32"/>
          <w:szCs w:val="32"/>
        </w:rPr>
        <w:t>第六部分      应提交的有关格式范例</w:t>
      </w:r>
      <w:bookmarkStart w:id="1" w:name="_Hlt91233176"/>
      <w:bookmarkEnd w:id="1"/>
      <w:bookmarkStart w:id="2" w:name="_Toc91899869"/>
    </w:p>
    <w:p>
      <w:pPr>
        <w:adjustRightInd/>
        <w:spacing w:line="360" w:lineRule="auto"/>
        <w:jc w:val="center"/>
        <w:outlineLvl w:val="0"/>
        <w:rPr>
          <w:rFonts w:ascii="仿宋_GB2312" w:hAnsi="仿宋" w:eastAsia="仿宋_GB2312"/>
          <w:b/>
          <w:color w:val="auto"/>
          <w:sz w:val="36"/>
          <w:szCs w:val="20"/>
        </w:rPr>
      </w:pPr>
      <w:bookmarkStart w:id="3" w:name="第一部分"/>
      <w:r>
        <w:rPr>
          <w:rFonts w:hint="eastAsia" w:ascii="仿宋_GB2312" w:hAnsi="仿宋" w:eastAsia="仿宋_GB2312"/>
          <w:b/>
          <w:color w:val="auto"/>
          <w:sz w:val="36"/>
          <w:szCs w:val="36"/>
        </w:rPr>
        <w:br w:type="page"/>
      </w:r>
      <w:bookmarkEnd w:id="2"/>
      <w:bookmarkEnd w:id="3"/>
      <w:bookmarkStart w:id="4" w:name="_Hlt74649545"/>
      <w:bookmarkEnd w:id="4"/>
      <w:bookmarkStart w:id="5" w:name="_Hlt74729822"/>
      <w:bookmarkEnd w:id="5"/>
      <w:bookmarkStart w:id="6" w:name="_Hlt74707423"/>
      <w:bookmarkEnd w:id="6"/>
      <w:bookmarkStart w:id="7" w:name="_Hlt74728647"/>
      <w:bookmarkEnd w:id="7"/>
      <w:bookmarkStart w:id="8" w:name="第二部分"/>
      <w:bookmarkStart w:id="9" w:name="_Toc91899870"/>
      <w:bookmarkStart w:id="10" w:name="_Toc91899871"/>
      <w:r>
        <w:rPr>
          <w:rFonts w:hint="eastAsia" w:ascii="仿宋_GB2312" w:hAnsi="仿宋" w:eastAsia="仿宋_GB2312"/>
          <w:b/>
          <w:color w:val="auto"/>
          <w:sz w:val="36"/>
          <w:szCs w:val="20"/>
        </w:rPr>
        <w:t>第一部分 招标公告</w:t>
      </w:r>
    </w:p>
    <w:p>
      <w:pPr>
        <w:snapToGrid w:val="0"/>
        <w:spacing w:line="360" w:lineRule="auto"/>
        <w:ind w:firstLine="420" w:firstLineChars="200"/>
        <w:rPr>
          <w:rFonts w:ascii="仿宋_GB2312" w:hAnsi="宋体" w:eastAsia="仿宋_GB2312"/>
          <w:color w:val="auto"/>
        </w:rPr>
      </w:pPr>
      <w:r>
        <w:rPr>
          <w:rFonts w:hint="eastAsia" w:ascii="仿宋_GB2312" w:hAnsi="宋体" w:eastAsia="仿宋_GB2312"/>
          <w:color w:val="auto"/>
        </w:rPr>
        <w:t>浙江大学国际健康医学研究院（以下简称浙医四院）就货物（医疗设备及其他货物类）、工程、服务等采购招标代理服务机构项目进行招标，欢迎国内合格的潜在投标人前来报名参加投标。现将有关事宜公告如下：</w:t>
      </w:r>
    </w:p>
    <w:p>
      <w:pPr>
        <w:pStyle w:val="9"/>
        <w:spacing w:line="360" w:lineRule="auto"/>
        <w:ind w:firstLine="413" w:firstLineChars="196"/>
        <w:rPr>
          <w:rFonts w:hint="default" w:ascii="仿宋_GB2312" w:hAnsi="仿宋" w:eastAsia="仿宋_GB2312"/>
          <w:color w:val="auto"/>
          <w:szCs w:val="24"/>
          <w:u w:val="single"/>
          <w:lang w:val="en-US" w:eastAsia="zh-CN"/>
        </w:rPr>
      </w:pPr>
      <w:r>
        <w:rPr>
          <w:rFonts w:hint="eastAsia" w:ascii="仿宋_GB2312" w:hAnsi="仿宋" w:eastAsia="仿宋_GB2312"/>
          <w:b/>
          <w:color w:val="auto"/>
          <w:szCs w:val="24"/>
        </w:rPr>
        <w:t>1、招标编号：</w:t>
      </w:r>
      <w:r>
        <w:rPr>
          <w:rFonts w:hint="eastAsia" w:ascii="仿宋_GB2312" w:hAnsi="仿宋" w:eastAsia="仿宋_GB2312"/>
          <w:color w:val="auto"/>
          <w:szCs w:val="24"/>
          <w:highlight w:val="yellow"/>
          <w:u w:val="single"/>
        </w:rPr>
        <w:t>ZYSYYN20220703</w:t>
      </w:r>
      <w:r>
        <w:rPr>
          <w:rFonts w:hint="eastAsia" w:ascii="仿宋_GB2312" w:hAnsi="仿宋" w:eastAsia="仿宋_GB2312"/>
          <w:color w:val="auto"/>
          <w:szCs w:val="24"/>
          <w:highlight w:val="yellow"/>
          <w:u w:val="single"/>
          <w:lang w:val="en-US" w:eastAsia="zh-CN"/>
        </w:rPr>
        <w:t>-1</w:t>
      </w:r>
    </w:p>
    <w:p>
      <w:pPr>
        <w:pStyle w:val="9"/>
        <w:spacing w:line="360" w:lineRule="auto"/>
        <w:ind w:firstLine="413" w:firstLineChars="196"/>
        <w:rPr>
          <w:rFonts w:ascii="仿宋_GB2312" w:hAnsi="宋体" w:eastAsia="仿宋_GB2312"/>
          <w:color w:val="auto"/>
          <w:u w:val="single"/>
        </w:rPr>
      </w:pPr>
      <w:r>
        <w:rPr>
          <w:rFonts w:hint="eastAsia" w:ascii="仿宋_GB2312" w:hAnsi="仿宋" w:eastAsia="仿宋_GB2312"/>
          <w:b/>
          <w:color w:val="auto"/>
          <w:szCs w:val="24"/>
        </w:rPr>
        <w:t>2、项目名称：</w:t>
      </w:r>
      <w:r>
        <w:rPr>
          <w:rFonts w:hint="eastAsia" w:ascii="仿宋_GB2312" w:hAnsi="宋体" w:eastAsia="仿宋_GB2312"/>
          <w:color w:val="auto"/>
          <w:u w:val="single"/>
        </w:rPr>
        <w:t>浙江大学国际健康医学研究院2022-2023年度工程项目招标代理服务采购项目</w:t>
      </w:r>
      <w:r>
        <w:rPr>
          <w:rFonts w:hint="eastAsia" w:ascii="仿宋_GB2312" w:eastAsia="仿宋_GB2312"/>
          <w:color w:val="auto"/>
          <w:sz w:val="18"/>
        </w:rPr>
        <w:t>。</w:t>
      </w:r>
    </w:p>
    <w:p>
      <w:pPr>
        <w:pStyle w:val="9"/>
        <w:spacing w:line="360" w:lineRule="auto"/>
        <w:ind w:firstLine="422" w:firstLineChars="200"/>
        <w:rPr>
          <w:rFonts w:ascii="仿宋_GB2312" w:hAnsi="仿宋" w:eastAsia="仿宋_GB2312"/>
          <w:color w:val="auto"/>
          <w:szCs w:val="24"/>
        </w:rPr>
      </w:pPr>
      <w:r>
        <w:rPr>
          <w:rFonts w:hint="eastAsia" w:ascii="仿宋_GB2312" w:hAnsi="仿宋" w:eastAsia="仿宋_GB2312"/>
          <w:b/>
          <w:color w:val="auto"/>
          <w:szCs w:val="24"/>
        </w:rPr>
        <w:t>3、采购方式：</w:t>
      </w:r>
      <w:r>
        <w:rPr>
          <w:rFonts w:hint="eastAsia" w:ascii="仿宋_GB2312" w:hAnsi="仿宋" w:eastAsia="仿宋_GB2312"/>
          <w:color w:val="auto"/>
          <w:szCs w:val="21"/>
        </w:rPr>
        <w:t>单位自行组织采购</w:t>
      </w:r>
      <w:r>
        <w:rPr>
          <w:rFonts w:hint="eastAsia" w:ascii="仿宋_GB2312" w:hAnsi="仿宋" w:eastAsia="仿宋_GB2312"/>
          <w:color w:val="auto"/>
          <w:szCs w:val="24"/>
        </w:rPr>
        <w:t>。</w:t>
      </w:r>
    </w:p>
    <w:p>
      <w:pPr>
        <w:spacing w:line="360" w:lineRule="auto"/>
        <w:ind w:firstLine="413" w:firstLineChars="196"/>
        <w:rPr>
          <w:rFonts w:ascii="仿宋_GB2312" w:hAnsi="仿宋" w:eastAsia="仿宋_GB2312"/>
          <w:color w:val="auto"/>
        </w:rPr>
      </w:pPr>
      <w:r>
        <w:rPr>
          <w:rFonts w:hint="eastAsia" w:ascii="仿宋_GB2312" w:hAnsi="仿宋" w:eastAsia="仿宋_GB2312"/>
          <w:b/>
          <w:color w:val="auto"/>
        </w:rPr>
        <w:t>4、招标范围：</w:t>
      </w:r>
    </w:p>
    <w:tbl>
      <w:tblPr>
        <w:tblStyle w:val="14"/>
        <w:tblW w:w="8820" w:type="dxa"/>
        <w:tblInd w:w="42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78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color w:val="auto"/>
              </w:rPr>
            </w:pPr>
            <w:r>
              <w:rPr>
                <w:rFonts w:hint="eastAsia" w:ascii="仿宋_GB2312" w:hAnsi="宋体" w:eastAsia="仿宋_GB2312" w:cs="Arial"/>
                <w:bCs/>
                <w:color w:val="auto"/>
              </w:rPr>
              <w:t>标项</w:t>
            </w:r>
          </w:p>
        </w:tc>
        <w:tc>
          <w:tcPr>
            <w:tcW w:w="78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color w:val="auto"/>
              </w:rPr>
            </w:pPr>
            <w:r>
              <w:rPr>
                <w:rFonts w:hint="eastAsia" w:ascii="仿宋_GB2312" w:hAnsi="宋体" w:eastAsia="仿宋_GB2312" w:cs="Arial"/>
                <w:bCs/>
                <w:color w:val="auto"/>
              </w:rPr>
              <w:t>采购内容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color w:val="auto"/>
              </w:rPr>
            </w:pPr>
            <w:r>
              <w:rPr>
                <w:rFonts w:hint="eastAsia" w:ascii="仿宋_GB2312" w:hAnsi="宋体" w:eastAsia="仿宋_GB2312" w:cs="Arial"/>
                <w:bCs/>
                <w:color w:val="auto"/>
              </w:rPr>
              <w:t>1</w:t>
            </w:r>
          </w:p>
        </w:tc>
        <w:tc>
          <w:tcPr>
            <w:tcW w:w="7875"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cs="Arial"/>
                <w:bCs/>
                <w:color w:val="auto"/>
              </w:rPr>
            </w:pPr>
            <w:r>
              <w:rPr>
                <w:rFonts w:hint="eastAsia" w:ascii="仿宋_GB2312" w:hAnsi="宋体" w:eastAsia="仿宋_GB2312"/>
                <w:color w:val="auto"/>
              </w:rPr>
              <w:t>浙江大学国际健康医学研究院</w:t>
            </w:r>
            <w:r>
              <w:rPr>
                <w:rFonts w:hint="eastAsia" w:ascii="仿宋_GB2312" w:hAnsi="宋体" w:eastAsia="仿宋_GB2312"/>
                <w:color w:val="auto"/>
                <w:kern w:val="0"/>
              </w:rPr>
              <w:t>所需一般工程类（不含基建及纳入政府采购项目 ）的招标代理服务 （工程项目涉及的施工、监理、货物等项目全过程）</w:t>
            </w:r>
          </w:p>
        </w:tc>
      </w:tr>
    </w:tbl>
    <w:p>
      <w:pPr>
        <w:spacing w:line="360" w:lineRule="auto"/>
        <w:ind w:firstLine="422" w:firstLineChars="200"/>
        <w:rPr>
          <w:rFonts w:ascii="仿宋_GB2312" w:eastAsia="仿宋_GB2312"/>
          <w:b/>
          <w:color w:val="auto"/>
        </w:rPr>
      </w:pPr>
      <w:r>
        <w:rPr>
          <w:rFonts w:hint="eastAsia" w:ascii="仿宋_GB2312" w:eastAsia="仿宋_GB2312"/>
          <w:b/>
          <w:color w:val="auto"/>
        </w:rPr>
        <w:t>5、合格的投标人应具备的资格要求：</w:t>
      </w:r>
    </w:p>
    <w:p>
      <w:pPr>
        <w:snapToGrid w:val="0"/>
        <w:spacing w:line="360" w:lineRule="auto"/>
        <w:ind w:firstLine="420" w:firstLineChars="200"/>
        <w:rPr>
          <w:rFonts w:ascii="仿宋_GB2312" w:hAnsi="宋体" w:eastAsia="仿宋_GB2312" w:cs="Vrinda"/>
          <w:color w:val="auto"/>
        </w:rPr>
      </w:pPr>
      <w:r>
        <w:rPr>
          <w:rFonts w:hint="eastAsia" w:ascii="仿宋_GB2312" w:hAnsi="宋体" w:eastAsia="仿宋_GB2312"/>
          <w:color w:val="auto"/>
        </w:rPr>
        <w:t>（1）基本资格条件：</w:t>
      </w:r>
      <w:r>
        <w:rPr>
          <w:rFonts w:hint="eastAsia" w:ascii="仿宋_GB2312" w:hAnsi="宋体" w:eastAsia="仿宋_GB2312" w:cs="Vrinda"/>
          <w:color w:val="auto"/>
        </w:rPr>
        <w:t>投标人自2019年1月1日起到中标公告期结束前无行贿犯罪记录（评标结束后，发放中标通知书前由采购人通过中国裁判文书网（http://wenshu.court.gov.cn/）按照招标文件约定对拟中标单位的行贿犯罪记录进行查询，查询结果以网站页面显示内容为准）。</w:t>
      </w:r>
    </w:p>
    <w:p>
      <w:pPr>
        <w:snapToGrid w:val="0"/>
        <w:spacing w:line="360" w:lineRule="auto"/>
        <w:ind w:firstLine="420" w:firstLineChars="200"/>
        <w:rPr>
          <w:rFonts w:ascii="仿宋_GB2312" w:hAnsi="宋体" w:eastAsia="仿宋_GB2312" w:cs="Vrinda"/>
          <w:color w:val="auto"/>
        </w:rPr>
      </w:pPr>
      <w:r>
        <w:rPr>
          <w:rFonts w:hint="eastAsia" w:ascii="仿宋_GB2312" w:hAnsi="宋体" w:eastAsia="仿宋_GB2312"/>
          <w:color w:val="auto"/>
        </w:rPr>
        <w:t>（2）标项要求：</w:t>
      </w:r>
      <w:r>
        <w:rPr>
          <w:rFonts w:hint="eastAsia" w:ascii="仿宋_GB2312" w:hAnsi="宋体" w:eastAsia="仿宋_GB2312"/>
          <w:bCs/>
          <w:color w:val="auto"/>
        </w:rPr>
        <w:t>拟派项目负责人：拟派项目负责人具有一级造价工程师注册证书且在有效期内。</w:t>
      </w:r>
    </w:p>
    <w:p>
      <w:pPr>
        <w:snapToGrid w:val="0"/>
        <w:spacing w:line="360" w:lineRule="auto"/>
        <w:ind w:firstLine="420" w:firstLineChars="200"/>
        <w:rPr>
          <w:rFonts w:ascii="仿宋_GB2312" w:hAnsi="宋体" w:eastAsia="仿宋_GB2312"/>
          <w:color w:val="auto"/>
        </w:rPr>
      </w:pPr>
      <w:r>
        <w:rPr>
          <w:rFonts w:hint="eastAsia" w:ascii="仿宋_GB2312" w:hAnsi="宋体" w:eastAsia="仿宋_GB2312"/>
          <w:color w:val="auto"/>
        </w:rPr>
        <w:t>（3）符合《中华人民共和国政府采购法》第二十二条要求，具有独立法人资格，且具有较强服务能力，满足采购人服务需求的咨询单位；</w:t>
      </w:r>
    </w:p>
    <w:p>
      <w:pPr>
        <w:snapToGrid w:val="0"/>
        <w:spacing w:line="360" w:lineRule="auto"/>
        <w:ind w:firstLine="420" w:firstLineChars="200"/>
        <w:rPr>
          <w:rFonts w:ascii="仿宋_GB2312" w:hAnsi="宋体" w:eastAsia="仿宋_GB2312"/>
          <w:color w:val="auto"/>
        </w:rPr>
      </w:pPr>
      <w:r>
        <w:rPr>
          <w:rFonts w:hint="eastAsia" w:ascii="仿宋_GB2312" w:hAnsi="宋体" w:eastAsia="仿宋_GB2312"/>
          <w:color w:val="auto"/>
        </w:rPr>
        <w:t>（4）参加政府采购活动前三年内，在经营活动中没有重大违法记录。投标人无下列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告期内的或者处于暂停政府采购资格期的；或被义乌市政府采购监管部门列入不良行为还在公告期内的或者处于暂停政府采购资格期的；或被“信用中国”（www.creditchina.gov.cn）、中国政府采购网（www.ccgp.gov.cn）列入失信被执行人、重大税收违法案件当事人名单、政府采购严重违法失信行为记录名单的。</w:t>
      </w:r>
    </w:p>
    <w:p>
      <w:pPr>
        <w:snapToGrid w:val="0"/>
        <w:spacing w:line="360" w:lineRule="auto"/>
        <w:ind w:firstLine="420" w:firstLineChars="200"/>
        <w:rPr>
          <w:rFonts w:ascii="仿宋_GB2312" w:hAnsi="宋体" w:eastAsia="仿宋_GB2312"/>
          <w:color w:val="auto"/>
        </w:rPr>
      </w:pPr>
      <w:r>
        <w:rPr>
          <w:rFonts w:hint="eastAsia" w:ascii="仿宋_GB2312" w:hAnsi="宋体" w:eastAsia="仿宋_GB2312"/>
          <w:color w:val="auto"/>
        </w:rPr>
        <w:t>（5）本项目不接受联合体投标，不允许分标和转标。</w:t>
      </w:r>
    </w:p>
    <w:p>
      <w:pPr>
        <w:pStyle w:val="8"/>
        <w:spacing w:line="360" w:lineRule="auto"/>
        <w:ind w:firstLine="405" w:firstLineChars="192"/>
        <w:rPr>
          <w:rFonts w:ascii="仿宋_GB2312" w:hAnsi="仿宋" w:eastAsia="仿宋_GB2312"/>
          <w:b/>
          <w:color w:val="auto"/>
          <w:sz w:val="21"/>
        </w:rPr>
      </w:pPr>
      <w:r>
        <w:rPr>
          <w:rFonts w:hint="eastAsia" w:ascii="仿宋_GB2312" w:hAnsi="仿宋" w:eastAsia="仿宋_GB2312"/>
          <w:b/>
          <w:color w:val="auto"/>
          <w:sz w:val="21"/>
        </w:rPr>
        <w:t>6、获取招标文件：</w:t>
      </w:r>
    </w:p>
    <w:p>
      <w:pPr>
        <w:snapToGrid w:val="0"/>
        <w:spacing w:line="360" w:lineRule="auto"/>
        <w:ind w:firstLine="420" w:firstLineChars="200"/>
        <w:rPr>
          <w:rFonts w:ascii="仿宋_GB2312" w:hAnsi="宋体" w:eastAsia="仿宋_GB2312"/>
          <w:color w:val="auto"/>
        </w:rPr>
      </w:pPr>
      <w:r>
        <w:rPr>
          <w:rFonts w:hint="eastAsia" w:ascii="仿宋_GB2312" w:hAnsi="宋体" w:eastAsia="仿宋_GB2312"/>
          <w:color w:val="auto"/>
        </w:rPr>
        <w:t>1、报名时间：请有投标意向的单位自2022年</w:t>
      </w:r>
      <w:r>
        <w:rPr>
          <w:rFonts w:ascii="仿宋_GB2312" w:hAnsi="宋体" w:eastAsia="仿宋_GB2312"/>
          <w:color w:val="auto"/>
        </w:rPr>
        <w:t>8</w:t>
      </w:r>
      <w:r>
        <w:rPr>
          <w:rFonts w:hint="eastAsia" w:ascii="仿宋_GB2312" w:hAnsi="宋体" w:eastAsia="仿宋_GB2312"/>
          <w:color w:val="auto"/>
        </w:rPr>
        <w:t>月</w:t>
      </w:r>
      <w:r>
        <w:rPr>
          <w:rFonts w:ascii="仿宋_GB2312" w:hAnsi="宋体" w:eastAsia="仿宋_GB2312"/>
          <w:color w:val="auto"/>
        </w:rPr>
        <w:t>10</w:t>
      </w:r>
      <w:r>
        <w:rPr>
          <w:rFonts w:hint="eastAsia" w:ascii="仿宋_GB2312" w:hAnsi="宋体" w:eastAsia="仿宋_GB2312"/>
          <w:color w:val="auto"/>
        </w:rPr>
        <w:t>日至2022年</w:t>
      </w:r>
      <w:r>
        <w:rPr>
          <w:rFonts w:ascii="仿宋_GB2312" w:hAnsi="宋体" w:eastAsia="仿宋_GB2312"/>
          <w:color w:val="auto"/>
        </w:rPr>
        <w:t>8</w:t>
      </w:r>
      <w:r>
        <w:rPr>
          <w:rFonts w:hint="eastAsia" w:ascii="仿宋_GB2312" w:hAnsi="宋体" w:eastAsia="仿宋_GB2312"/>
          <w:color w:val="auto"/>
        </w:rPr>
        <w:t>月</w:t>
      </w:r>
      <w:r>
        <w:rPr>
          <w:rFonts w:hint="eastAsia" w:ascii="仿宋_GB2312" w:hAnsi="宋体" w:eastAsia="仿宋_GB2312"/>
          <w:color w:val="auto"/>
          <w:lang w:val="en-US" w:eastAsia="zh-CN"/>
        </w:rPr>
        <w:t>25</w:t>
      </w:r>
      <w:r>
        <w:rPr>
          <w:rFonts w:hint="eastAsia" w:ascii="仿宋_GB2312" w:hAnsi="宋体" w:eastAsia="仿宋_GB2312"/>
          <w:color w:val="auto"/>
        </w:rPr>
        <w:t>日（9:00--17:00）</w:t>
      </w:r>
    </w:p>
    <w:p>
      <w:pPr>
        <w:snapToGrid w:val="0"/>
        <w:spacing w:line="360" w:lineRule="auto"/>
        <w:ind w:firstLine="420" w:firstLineChars="200"/>
        <w:rPr>
          <w:rFonts w:ascii="仿宋_GB2312" w:hAnsi="宋体" w:eastAsia="仿宋_GB2312"/>
          <w:color w:val="auto"/>
        </w:rPr>
      </w:pPr>
      <w:r>
        <w:rPr>
          <w:rFonts w:hint="eastAsia" w:ascii="仿宋_GB2312" w:hAnsi="宋体" w:eastAsia="仿宋_GB2312"/>
          <w:color w:val="auto"/>
        </w:rPr>
        <w:t>2、报名地点：义乌市商城大道N1号浙江大学医学院附属第四医院住院部四楼医学工程科 。</w:t>
      </w:r>
    </w:p>
    <w:p>
      <w:pPr>
        <w:snapToGrid w:val="0"/>
        <w:spacing w:line="360" w:lineRule="auto"/>
        <w:ind w:firstLine="420" w:firstLineChars="200"/>
        <w:rPr>
          <w:rFonts w:ascii="仿宋_GB2312" w:hAnsi="宋体" w:eastAsia="仿宋_GB2312"/>
          <w:color w:val="auto"/>
        </w:rPr>
      </w:pPr>
      <w:r>
        <w:rPr>
          <w:rFonts w:hint="eastAsia" w:ascii="仿宋_GB2312" w:hAnsi="宋体" w:eastAsia="仿宋_GB2312"/>
          <w:color w:val="auto"/>
        </w:rPr>
        <w:t>3、报名时需提供以下资料（复印件需加盖单位公章）：</w:t>
      </w:r>
    </w:p>
    <w:p>
      <w:pPr>
        <w:snapToGrid w:val="0"/>
        <w:spacing w:line="360" w:lineRule="auto"/>
        <w:ind w:firstLine="420" w:firstLineChars="200"/>
        <w:rPr>
          <w:rFonts w:ascii="仿宋_GB2312" w:hAnsi="宋体" w:eastAsia="仿宋_GB2312"/>
          <w:color w:val="auto"/>
        </w:rPr>
      </w:pPr>
      <w:r>
        <w:rPr>
          <w:rFonts w:hint="eastAsia" w:ascii="仿宋_GB2312" w:hAnsi="宋体" w:eastAsia="仿宋_GB2312"/>
          <w:color w:val="auto"/>
        </w:rPr>
        <w:t>（1）营业执照副本复印件及原件；</w:t>
      </w:r>
    </w:p>
    <w:p>
      <w:pPr>
        <w:snapToGrid w:val="0"/>
        <w:spacing w:line="360" w:lineRule="auto"/>
        <w:ind w:firstLine="420" w:firstLineChars="200"/>
        <w:rPr>
          <w:rFonts w:ascii="仿宋_GB2312" w:hAnsi="宋体" w:eastAsia="仿宋_GB2312"/>
          <w:color w:val="auto"/>
        </w:rPr>
      </w:pPr>
      <w:r>
        <w:rPr>
          <w:rFonts w:hint="eastAsia" w:ascii="仿宋_GB2312" w:hAnsi="宋体" w:eastAsia="仿宋_GB2312"/>
          <w:color w:val="auto"/>
        </w:rPr>
        <w:t>（2）报名人员身份证复印件及原件；</w:t>
      </w:r>
    </w:p>
    <w:p>
      <w:pPr>
        <w:snapToGrid w:val="0"/>
        <w:spacing w:line="360" w:lineRule="auto"/>
        <w:ind w:firstLine="420" w:firstLineChars="200"/>
        <w:rPr>
          <w:rFonts w:ascii="仿宋_GB2312" w:hAnsi="宋体" w:eastAsia="仿宋_GB2312"/>
          <w:color w:val="auto"/>
        </w:rPr>
      </w:pPr>
      <w:r>
        <w:rPr>
          <w:rFonts w:hint="eastAsia" w:ascii="仿宋_GB2312" w:hAnsi="宋体" w:eastAsia="仿宋_GB2312"/>
          <w:color w:val="auto"/>
        </w:rPr>
        <w:t>（3）单位介绍信或法人代表授权委托书；</w:t>
      </w:r>
    </w:p>
    <w:p>
      <w:pPr>
        <w:snapToGrid w:val="0"/>
        <w:spacing w:line="360" w:lineRule="auto"/>
        <w:ind w:firstLine="420" w:firstLineChars="200"/>
        <w:rPr>
          <w:rFonts w:ascii="仿宋_GB2312" w:hAnsi="宋体" w:eastAsia="仿宋_GB2312"/>
          <w:color w:val="auto"/>
        </w:rPr>
      </w:pPr>
      <w:r>
        <w:rPr>
          <w:rFonts w:hint="eastAsia" w:ascii="仿宋_GB2312" w:hAnsi="宋体" w:eastAsia="仿宋_GB2312"/>
          <w:color w:val="auto"/>
        </w:rPr>
        <w:t>（4）招标文件自行下载浙江大学医学院附属第四医院官网（每本0.00元）</w:t>
      </w:r>
    </w:p>
    <w:p>
      <w:pPr>
        <w:snapToGrid w:val="0"/>
        <w:spacing w:line="360" w:lineRule="auto"/>
        <w:ind w:firstLine="420" w:firstLineChars="200"/>
        <w:rPr>
          <w:rFonts w:hint="eastAsia" w:ascii="仿宋_GB2312" w:hAnsi="宋体" w:eastAsia="仿宋_GB2312"/>
          <w:color w:val="auto"/>
        </w:rPr>
      </w:pPr>
    </w:p>
    <w:p>
      <w:pPr>
        <w:snapToGrid w:val="0"/>
        <w:spacing w:line="360" w:lineRule="auto"/>
        <w:ind w:firstLine="420" w:firstLineChars="200"/>
        <w:rPr>
          <w:rFonts w:hint="eastAsia" w:ascii="仿宋_GB2312" w:hAnsi="宋体" w:eastAsia="仿宋_GB2312"/>
          <w:color w:val="auto"/>
        </w:rPr>
      </w:pPr>
      <w:r>
        <w:rPr>
          <w:rFonts w:hint="eastAsia" w:ascii="仿宋_GB2312" w:hAnsi="宋体" w:eastAsia="仿宋_GB2312"/>
          <w:color w:val="auto"/>
        </w:rPr>
        <w:t>4、报名方式：</w:t>
      </w:r>
    </w:p>
    <w:p>
      <w:pPr>
        <w:snapToGrid w:val="0"/>
        <w:spacing w:line="360" w:lineRule="auto"/>
        <w:ind w:firstLine="420" w:firstLineChars="200"/>
        <w:rPr>
          <w:rFonts w:hint="eastAsia" w:ascii="仿宋_GB2312" w:hAnsi="宋体" w:eastAsia="仿宋_GB2312"/>
          <w:color w:val="auto"/>
        </w:rPr>
      </w:pPr>
      <w:r>
        <w:rPr>
          <w:rFonts w:hint="eastAsia" w:ascii="仿宋_GB2312" w:hAnsi="宋体" w:eastAsia="仿宋_GB2312"/>
          <w:color w:val="auto"/>
        </w:rPr>
        <w:t>投标单位必须于</w:t>
      </w:r>
      <w:r>
        <w:rPr>
          <w:rFonts w:hint="eastAsia" w:ascii="仿宋_GB2312" w:hAnsi="宋体" w:eastAsia="仿宋_GB2312"/>
          <w:color w:val="auto"/>
          <w:highlight w:val="yellow"/>
        </w:rPr>
        <w:t>2022年8月</w:t>
      </w:r>
      <w:r>
        <w:rPr>
          <w:rFonts w:hint="eastAsia" w:ascii="仿宋_GB2312" w:hAnsi="宋体" w:eastAsia="仿宋_GB2312"/>
          <w:color w:val="auto"/>
          <w:highlight w:val="yellow"/>
          <w:lang w:val="en-US" w:eastAsia="zh-CN"/>
        </w:rPr>
        <w:t>25</w:t>
      </w:r>
      <w:r>
        <w:rPr>
          <w:rFonts w:hint="eastAsia" w:ascii="仿宋_GB2312" w:hAnsi="宋体" w:eastAsia="仿宋_GB2312"/>
          <w:color w:val="auto"/>
          <w:highlight w:val="yellow"/>
        </w:rPr>
        <w:t>日17:00</w:t>
      </w:r>
      <w:r>
        <w:rPr>
          <w:rFonts w:hint="eastAsia" w:ascii="仿宋_GB2312" w:hAnsi="宋体" w:eastAsia="仿宋_GB2312"/>
          <w:color w:val="auto"/>
        </w:rPr>
        <w:t>之前将单位的单位营业执照副本（加盖单位公章 红章）和授权投标人的身份证复印件（加盖单位公章）交至义乌市商城大道N1号浙江大学医学院附属第四医院住院部四楼临床医学工程科，或将上述资料扫描件发至邮箱：zhangjg91@126.com。</w:t>
      </w:r>
    </w:p>
    <w:p>
      <w:pPr>
        <w:snapToGrid w:val="0"/>
        <w:spacing w:line="360" w:lineRule="auto"/>
        <w:ind w:firstLine="420" w:firstLineChars="200"/>
        <w:rPr>
          <w:rFonts w:ascii="仿宋_GB2312" w:hAnsi="宋体" w:eastAsia="仿宋_GB2312"/>
          <w:color w:val="auto"/>
        </w:rPr>
      </w:pPr>
      <w:r>
        <w:rPr>
          <w:rFonts w:hint="eastAsia" w:ascii="仿宋_GB2312" w:hAnsi="宋体" w:eastAsia="仿宋_GB2312"/>
          <w:color w:val="auto"/>
        </w:rPr>
        <w:t>本项目采用资格后审方式进行，投标文件发布期内下载招标文件，如有疑问在规定招标文件规定获取截至时间之日起七个工作日内提疑，答疑将以公告形式回复，评审委员会将对各投标单位投标文件资格证明进行审核。</w:t>
      </w:r>
    </w:p>
    <w:p>
      <w:pPr>
        <w:pStyle w:val="7"/>
        <w:spacing w:line="360" w:lineRule="auto"/>
        <w:ind w:firstLine="382" w:firstLineChars="181"/>
        <w:rPr>
          <w:rFonts w:ascii="仿宋_GB2312" w:hAnsi="仿宋" w:eastAsia="仿宋_GB2312"/>
          <w:color w:val="auto"/>
          <w:sz w:val="21"/>
          <w:szCs w:val="24"/>
        </w:rPr>
      </w:pPr>
      <w:r>
        <w:rPr>
          <w:rFonts w:hint="eastAsia" w:ascii="仿宋_GB2312" w:hAnsi="仿宋" w:eastAsia="仿宋_GB2312"/>
          <w:b/>
          <w:color w:val="auto"/>
          <w:sz w:val="21"/>
          <w:szCs w:val="24"/>
        </w:rPr>
        <w:t>7、投标截止时间与地点：</w:t>
      </w:r>
      <w:r>
        <w:rPr>
          <w:rFonts w:hint="eastAsia" w:ascii="仿宋_GB2312" w:hAnsi="仿宋" w:eastAsia="仿宋_GB2312"/>
          <w:color w:val="auto"/>
          <w:sz w:val="21"/>
          <w:szCs w:val="24"/>
        </w:rPr>
        <w:t>2022年</w:t>
      </w:r>
      <w:r>
        <w:rPr>
          <w:rFonts w:hint="eastAsia" w:ascii="仿宋_GB2312" w:eastAsia="仿宋_GB2312"/>
          <w:color w:val="auto"/>
          <w:sz w:val="22"/>
          <w:u w:val="single"/>
        </w:rPr>
        <w:t xml:space="preserve"> </w:t>
      </w:r>
      <w:r>
        <w:rPr>
          <w:rFonts w:ascii="仿宋_GB2312" w:eastAsia="仿宋_GB2312"/>
          <w:color w:val="auto"/>
          <w:sz w:val="22"/>
          <w:u w:val="single"/>
        </w:rPr>
        <w:t>8</w:t>
      </w:r>
      <w:r>
        <w:rPr>
          <w:rFonts w:hint="eastAsia" w:ascii="仿宋_GB2312" w:hAnsi="仿宋" w:eastAsia="仿宋_GB2312"/>
          <w:color w:val="auto"/>
          <w:sz w:val="21"/>
          <w:szCs w:val="24"/>
        </w:rPr>
        <w:t>月</w:t>
      </w:r>
      <w:r>
        <w:rPr>
          <w:rFonts w:hint="eastAsia" w:ascii="仿宋_GB2312" w:eastAsia="仿宋_GB2312"/>
          <w:color w:val="auto"/>
          <w:sz w:val="22"/>
          <w:u w:val="single"/>
        </w:rPr>
        <w:t xml:space="preserve"> </w:t>
      </w:r>
      <w:r>
        <w:rPr>
          <w:rFonts w:hint="eastAsia" w:ascii="仿宋_GB2312" w:eastAsia="仿宋_GB2312"/>
          <w:color w:val="auto"/>
          <w:sz w:val="22"/>
          <w:u w:val="single"/>
          <w:lang w:val="en-US" w:eastAsia="zh-CN"/>
        </w:rPr>
        <w:t>26</w:t>
      </w:r>
      <w:r>
        <w:rPr>
          <w:rFonts w:hint="eastAsia" w:ascii="仿宋_GB2312" w:hAnsi="仿宋" w:eastAsia="仿宋_GB2312"/>
          <w:color w:val="auto"/>
          <w:sz w:val="21"/>
          <w:szCs w:val="24"/>
        </w:rPr>
        <w:t>日上午</w:t>
      </w:r>
      <w:r>
        <w:rPr>
          <w:rFonts w:hint="eastAsia" w:ascii="仿宋_GB2312" w:eastAsia="仿宋_GB2312"/>
          <w:color w:val="auto"/>
          <w:sz w:val="22"/>
          <w:u w:val="single"/>
        </w:rPr>
        <w:t xml:space="preserve"> </w:t>
      </w:r>
      <w:r>
        <w:rPr>
          <w:rFonts w:hint="eastAsia" w:ascii="仿宋_GB2312" w:eastAsia="仿宋_GB2312"/>
          <w:color w:val="auto"/>
          <w:sz w:val="22"/>
          <w:u w:val="single"/>
          <w:lang w:val="en-US" w:eastAsia="zh-CN"/>
        </w:rPr>
        <w:t>9</w:t>
      </w:r>
      <w:r>
        <w:rPr>
          <w:rFonts w:hint="eastAsia" w:ascii="仿宋_GB2312" w:eastAsia="仿宋_GB2312"/>
          <w:color w:val="auto"/>
          <w:sz w:val="22"/>
          <w:u w:val="single"/>
        </w:rPr>
        <w:t xml:space="preserve"> </w:t>
      </w:r>
      <w:r>
        <w:rPr>
          <w:rFonts w:hint="eastAsia" w:ascii="仿宋_GB2312" w:hAnsi="仿宋" w:eastAsia="仿宋_GB2312"/>
          <w:color w:val="auto"/>
          <w:sz w:val="21"/>
          <w:szCs w:val="24"/>
        </w:rPr>
        <w:t>时</w:t>
      </w:r>
      <w:r>
        <w:rPr>
          <w:rFonts w:hint="eastAsia" w:ascii="仿宋_GB2312" w:eastAsia="仿宋_GB2312"/>
          <w:color w:val="auto"/>
          <w:sz w:val="22"/>
          <w:u w:val="single"/>
        </w:rPr>
        <w:t xml:space="preserve"> 0 </w:t>
      </w:r>
      <w:r>
        <w:rPr>
          <w:rFonts w:hint="eastAsia" w:ascii="仿宋_GB2312" w:hAnsi="仿宋" w:eastAsia="仿宋_GB2312"/>
          <w:color w:val="auto"/>
          <w:sz w:val="21"/>
          <w:szCs w:val="24"/>
        </w:rPr>
        <w:t>分，地点：义乌市商城大道N1号浙江大学医学院附属第四医院医学工程科。</w:t>
      </w:r>
    </w:p>
    <w:p>
      <w:pPr>
        <w:pStyle w:val="7"/>
        <w:spacing w:line="360" w:lineRule="auto"/>
        <w:ind w:firstLine="382" w:firstLineChars="181"/>
        <w:rPr>
          <w:rFonts w:ascii="仿宋_GB2312" w:hAnsi="仿宋" w:eastAsia="仿宋_GB2312"/>
          <w:color w:val="auto"/>
          <w:sz w:val="21"/>
          <w:szCs w:val="24"/>
        </w:rPr>
      </w:pPr>
      <w:r>
        <w:rPr>
          <w:rFonts w:hint="eastAsia" w:ascii="仿宋_GB2312" w:hAnsi="仿宋" w:eastAsia="仿宋_GB2312"/>
          <w:b/>
          <w:color w:val="auto"/>
          <w:sz w:val="21"/>
          <w:szCs w:val="24"/>
        </w:rPr>
        <w:t>8、开标时间与地点：</w:t>
      </w:r>
      <w:r>
        <w:rPr>
          <w:rFonts w:hint="eastAsia" w:ascii="仿宋_GB2312" w:hAnsi="仿宋" w:eastAsia="仿宋_GB2312"/>
          <w:color w:val="auto"/>
          <w:sz w:val="21"/>
          <w:szCs w:val="24"/>
        </w:rPr>
        <w:t>2022年</w:t>
      </w:r>
      <w:r>
        <w:rPr>
          <w:rFonts w:hint="eastAsia" w:ascii="仿宋_GB2312" w:eastAsia="仿宋_GB2312"/>
          <w:color w:val="auto"/>
          <w:sz w:val="22"/>
          <w:u w:val="single"/>
        </w:rPr>
        <w:t xml:space="preserve"> </w:t>
      </w:r>
      <w:r>
        <w:rPr>
          <w:rFonts w:ascii="仿宋_GB2312" w:eastAsia="仿宋_GB2312"/>
          <w:color w:val="auto"/>
          <w:sz w:val="22"/>
          <w:u w:val="single"/>
        </w:rPr>
        <w:t>8</w:t>
      </w:r>
      <w:r>
        <w:rPr>
          <w:rFonts w:hint="eastAsia" w:ascii="仿宋_GB2312" w:hAnsi="仿宋" w:eastAsia="仿宋_GB2312"/>
          <w:color w:val="auto"/>
          <w:sz w:val="21"/>
          <w:szCs w:val="24"/>
        </w:rPr>
        <w:t>月</w:t>
      </w:r>
      <w:r>
        <w:rPr>
          <w:rFonts w:hint="eastAsia" w:ascii="仿宋_GB2312" w:eastAsia="仿宋_GB2312"/>
          <w:color w:val="auto"/>
          <w:sz w:val="22"/>
          <w:u w:val="single"/>
        </w:rPr>
        <w:t xml:space="preserve"> </w:t>
      </w:r>
      <w:r>
        <w:rPr>
          <w:rFonts w:hint="eastAsia" w:ascii="仿宋_GB2312" w:eastAsia="仿宋_GB2312"/>
          <w:color w:val="auto"/>
          <w:sz w:val="22"/>
          <w:u w:val="single"/>
          <w:lang w:val="en-US" w:eastAsia="zh-CN"/>
        </w:rPr>
        <w:t>26</w:t>
      </w:r>
      <w:r>
        <w:rPr>
          <w:rFonts w:hint="eastAsia" w:ascii="仿宋_GB2312" w:hAnsi="仿宋" w:eastAsia="仿宋_GB2312"/>
          <w:color w:val="auto"/>
          <w:sz w:val="21"/>
          <w:szCs w:val="24"/>
        </w:rPr>
        <w:t>日上午</w:t>
      </w:r>
      <w:r>
        <w:rPr>
          <w:rFonts w:hint="eastAsia" w:ascii="仿宋_GB2312" w:eastAsia="仿宋_GB2312"/>
          <w:color w:val="auto"/>
          <w:sz w:val="22"/>
          <w:u w:val="single"/>
        </w:rPr>
        <w:t xml:space="preserve"> 9 </w:t>
      </w:r>
      <w:r>
        <w:rPr>
          <w:rFonts w:hint="eastAsia" w:ascii="仿宋_GB2312" w:hAnsi="仿宋" w:eastAsia="仿宋_GB2312"/>
          <w:color w:val="auto"/>
          <w:sz w:val="21"/>
          <w:szCs w:val="24"/>
        </w:rPr>
        <w:t>时</w:t>
      </w:r>
      <w:r>
        <w:rPr>
          <w:rFonts w:hint="eastAsia" w:ascii="仿宋_GB2312" w:eastAsia="仿宋_GB2312"/>
          <w:color w:val="auto"/>
          <w:sz w:val="22"/>
          <w:u w:val="single"/>
        </w:rPr>
        <w:t xml:space="preserve"> 0 </w:t>
      </w:r>
      <w:r>
        <w:rPr>
          <w:rFonts w:hint="eastAsia" w:ascii="仿宋_GB2312" w:hAnsi="仿宋" w:eastAsia="仿宋_GB2312"/>
          <w:color w:val="auto"/>
          <w:sz w:val="21"/>
          <w:szCs w:val="24"/>
        </w:rPr>
        <w:t>分，地点：义乌市商城大道N1号浙江大学医学院附属第四医院医学工程科会议室。投标人代表必须出席开标会议</w:t>
      </w:r>
    </w:p>
    <w:p>
      <w:pPr>
        <w:pStyle w:val="7"/>
        <w:spacing w:line="360" w:lineRule="auto"/>
        <w:ind w:firstLine="413" w:firstLineChars="196"/>
        <w:rPr>
          <w:rFonts w:hint="eastAsia" w:ascii="仿宋_GB2312" w:hAnsi="仿宋" w:eastAsia="仿宋_GB2312"/>
          <w:b/>
          <w:color w:val="auto"/>
          <w:sz w:val="21"/>
          <w:szCs w:val="24"/>
        </w:rPr>
      </w:pPr>
      <w:r>
        <w:rPr>
          <w:rFonts w:hint="eastAsia" w:ascii="仿宋_GB2312" w:hAnsi="仿宋" w:eastAsia="仿宋_GB2312"/>
          <w:b/>
          <w:color w:val="auto"/>
          <w:sz w:val="21"/>
          <w:szCs w:val="24"/>
        </w:rPr>
        <w:t>9、其他事项：</w:t>
      </w:r>
    </w:p>
    <w:p>
      <w:pPr>
        <w:pStyle w:val="18"/>
        <w:snapToGrid w:val="0"/>
        <w:spacing w:before="0"/>
        <w:ind w:firstLine="420"/>
        <w:rPr>
          <w:rFonts w:hint="eastAsia" w:ascii="仿宋_GB2312" w:hAnsi="宋体" w:eastAsia="仿宋_GB2312"/>
          <w:color w:val="auto"/>
          <w:sz w:val="21"/>
          <w:szCs w:val="24"/>
        </w:rPr>
      </w:pPr>
      <w:r>
        <w:rPr>
          <w:rFonts w:hint="eastAsia" w:ascii="仿宋_GB2312" w:hAnsi="宋体" w:eastAsia="仿宋_GB2312"/>
          <w:color w:val="auto"/>
          <w:sz w:val="21"/>
          <w:szCs w:val="24"/>
          <w:highlight w:val="yellow"/>
        </w:rPr>
        <w:t>由于近期疫情形势，投标人不必到现场提交投标文件，投标文件可通过邮寄快递的方式递交</w:t>
      </w:r>
      <w:r>
        <w:rPr>
          <w:rFonts w:hint="eastAsia" w:ascii="仿宋_GB2312" w:hAnsi="宋体" w:eastAsia="仿宋_GB2312"/>
          <w:color w:val="auto"/>
          <w:sz w:val="21"/>
          <w:szCs w:val="24"/>
        </w:rPr>
        <w:t>。所有投标人须考虑物流等相关因素，合理计划邮寄时间，尽量在开标时间前一个工作日内送达指定地点，提交投标文件截止时间后送达的将被视为“逾期送达”。具体要求：</w:t>
      </w:r>
    </w:p>
    <w:p>
      <w:pPr>
        <w:pStyle w:val="18"/>
        <w:snapToGrid w:val="0"/>
        <w:spacing w:before="0"/>
        <w:ind w:firstLine="420"/>
        <w:rPr>
          <w:rFonts w:hint="eastAsia" w:ascii="仿宋_GB2312" w:hAnsi="宋体" w:eastAsia="仿宋_GB2312"/>
          <w:color w:val="auto"/>
          <w:sz w:val="21"/>
          <w:szCs w:val="24"/>
        </w:rPr>
      </w:pPr>
      <w:r>
        <w:rPr>
          <w:rFonts w:hint="eastAsia" w:ascii="仿宋_GB2312" w:hAnsi="宋体" w:eastAsia="仿宋_GB2312"/>
          <w:color w:val="auto"/>
          <w:sz w:val="21"/>
          <w:szCs w:val="24"/>
        </w:rPr>
        <w:t>1）邮寄快递地址：浙江省义乌市福田街道商城大道N1号 浙大四院住院部4楼医工科（模拟门诊内） 张工，0579-89935114；</w:t>
      </w:r>
    </w:p>
    <w:p>
      <w:pPr>
        <w:pStyle w:val="18"/>
        <w:snapToGrid w:val="0"/>
        <w:spacing w:before="0"/>
        <w:ind w:firstLine="420"/>
        <w:rPr>
          <w:rFonts w:hint="eastAsia" w:ascii="仿宋_GB2312" w:hAnsi="宋体" w:eastAsia="仿宋_GB2312"/>
          <w:color w:val="auto"/>
          <w:sz w:val="21"/>
          <w:szCs w:val="24"/>
          <w:highlight w:val="yellow"/>
        </w:rPr>
      </w:pPr>
      <w:r>
        <w:rPr>
          <w:rFonts w:hint="eastAsia" w:ascii="仿宋_GB2312" w:hAnsi="宋体" w:eastAsia="仿宋_GB2312"/>
          <w:color w:val="auto"/>
          <w:sz w:val="21"/>
          <w:szCs w:val="24"/>
        </w:rPr>
        <w:t>寄出后将快递单号、项目名称、公司名称、联系方式等相关信息发送至zhangjg91@126.com以便查收（特别说明：双休日和法定节假日不收件，投标人自行承担邮寄风险）；</w:t>
      </w:r>
    </w:p>
    <w:p>
      <w:pPr>
        <w:pStyle w:val="18"/>
        <w:snapToGrid w:val="0"/>
        <w:spacing w:before="0"/>
        <w:ind w:firstLine="420"/>
        <w:rPr>
          <w:rFonts w:hint="eastAsia" w:ascii="仿宋_GB2312" w:hAnsi="宋体" w:eastAsia="仿宋_GB2312"/>
          <w:color w:val="auto"/>
          <w:sz w:val="21"/>
          <w:szCs w:val="24"/>
        </w:rPr>
      </w:pPr>
      <w:r>
        <w:rPr>
          <w:rFonts w:hint="eastAsia" w:ascii="仿宋_GB2312" w:hAnsi="宋体" w:eastAsia="仿宋_GB2312"/>
          <w:color w:val="auto"/>
          <w:sz w:val="21"/>
          <w:szCs w:val="24"/>
        </w:rPr>
        <w:t>2）确保投标文件在邮寄快递过程密封包装完好，因邮寄快递过程的密封破损造成不符合开标要求的，采购人概不负责（建议密封包装后邮寄快递时再进行外包装，投标人对邮寄快递投标文件的完整性、密封性负责）；</w:t>
      </w:r>
    </w:p>
    <w:p>
      <w:pPr>
        <w:pStyle w:val="18"/>
        <w:snapToGrid w:val="0"/>
        <w:spacing w:before="0"/>
        <w:ind w:firstLine="420"/>
        <w:rPr>
          <w:rFonts w:hint="eastAsia" w:ascii="仿宋_GB2312" w:hAnsi="宋体" w:eastAsia="仿宋_GB2312"/>
          <w:color w:val="auto"/>
          <w:sz w:val="21"/>
          <w:szCs w:val="24"/>
        </w:rPr>
      </w:pPr>
      <w:r>
        <w:rPr>
          <w:rFonts w:hint="eastAsia" w:ascii="仿宋_GB2312" w:hAnsi="宋体" w:eastAsia="仿宋_GB2312"/>
          <w:color w:val="auto"/>
          <w:sz w:val="21"/>
          <w:szCs w:val="24"/>
        </w:rPr>
        <w:t>3）评审现场如需投标人确认、澄清、说明等均通过指定的电子邮箱（zhangjg91@126.com）向投标人发送并要求在收到通知后半小时内以邮件形式作出确认、澄清、说明等。</w:t>
      </w:r>
    </w:p>
    <w:p>
      <w:pPr>
        <w:pStyle w:val="7"/>
        <w:spacing w:line="360" w:lineRule="auto"/>
        <w:ind w:firstLine="382" w:firstLineChars="181"/>
        <w:rPr>
          <w:rFonts w:ascii="仿宋_GB2312" w:eastAsia="仿宋_GB2312" w:cs="Arial"/>
          <w:b/>
          <w:color w:val="auto"/>
          <w:sz w:val="21"/>
          <w:szCs w:val="24"/>
        </w:rPr>
      </w:pPr>
      <w:r>
        <w:rPr>
          <w:rFonts w:hint="eastAsia" w:ascii="仿宋_GB2312" w:eastAsia="仿宋_GB2312"/>
          <w:b/>
          <w:color w:val="auto"/>
          <w:sz w:val="21"/>
        </w:rPr>
        <w:t>（1）</w:t>
      </w:r>
      <w:r>
        <w:rPr>
          <w:rFonts w:hint="eastAsia" w:ascii="仿宋_GB2312" w:eastAsia="仿宋_GB2312" w:cs="Arial"/>
          <w:b/>
          <w:color w:val="auto"/>
          <w:sz w:val="21"/>
          <w:szCs w:val="24"/>
        </w:rPr>
        <w:t>质疑和投诉：</w:t>
      </w:r>
    </w:p>
    <w:p>
      <w:pPr>
        <w:pStyle w:val="18"/>
        <w:snapToGrid w:val="0"/>
        <w:spacing w:before="0"/>
        <w:ind w:firstLine="420"/>
        <w:rPr>
          <w:rFonts w:ascii="仿宋_GB2312" w:hAnsi="仿宋" w:eastAsia="仿宋_GB2312"/>
          <w:b/>
          <w:color w:val="auto"/>
          <w:sz w:val="21"/>
        </w:rPr>
      </w:pPr>
      <w:r>
        <w:rPr>
          <w:rFonts w:hint="eastAsia" w:ascii="仿宋_GB2312" w:hAnsi="宋体" w:eastAsia="仿宋_GB2312"/>
          <w:color w:val="auto"/>
          <w:sz w:val="21"/>
          <w:szCs w:val="24"/>
        </w:rPr>
        <w:t>供应商认为招标文件、采购过程和中标、成交结果使自己的权益受到损害的，可以在招标文件公告发布之日起七个工作日内，以书面形式向</w:t>
      </w:r>
      <w:r>
        <w:rPr>
          <w:rFonts w:hint="eastAsia" w:ascii="仿宋_GB2312" w:hAnsi="ˎ̥" w:eastAsia="仿宋_GB2312"/>
          <w:color w:val="auto"/>
          <w:sz w:val="21"/>
        </w:rPr>
        <w:t>采购机构</w:t>
      </w:r>
      <w:r>
        <w:rPr>
          <w:rFonts w:hint="eastAsia" w:ascii="仿宋_GB2312" w:hAnsi="宋体" w:eastAsia="仿宋_GB2312"/>
          <w:color w:val="auto"/>
          <w:sz w:val="21"/>
          <w:szCs w:val="24"/>
        </w:rPr>
        <w:t>提出质疑。</w:t>
      </w:r>
    </w:p>
    <w:p>
      <w:pPr>
        <w:pStyle w:val="7"/>
        <w:spacing w:line="360" w:lineRule="auto"/>
        <w:ind w:firstLine="380" w:firstLineChars="181"/>
        <w:rPr>
          <w:rFonts w:ascii="仿宋_GB2312" w:hAnsi="仿宋" w:eastAsia="仿宋_GB2312"/>
          <w:bCs/>
          <w:dstrike/>
          <w:color w:val="auto"/>
          <w:sz w:val="21"/>
          <w:szCs w:val="21"/>
        </w:rPr>
      </w:pPr>
      <w:r>
        <w:rPr>
          <w:rFonts w:hint="eastAsia" w:ascii="仿宋_GB2312" w:hAnsi="仿宋" w:eastAsia="仿宋_GB2312"/>
          <w:bCs/>
          <w:color w:val="auto"/>
          <w:sz w:val="21"/>
          <w:szCs w:val="21"/>
        </w:rPr>
        <w:t xml:space="preserve">供应商对采购单位的质疑答复不满意或者采购单位未在规定时间内作出答复的，可以在答复期满后十五个工作日内向采购单位相关监督管理部门进行投诉。 </w:t>
      </w:r>
    </w:p>
    <w:p>
      <w:pPr>
        <w:pStyle w:val="9"/>
        <w:spacing w:line="360" w:lineRule="auto"/>
        <w:ind w:firstLine="413" w:firstLineChars="196"/>
        <w:rPr>
          <w:rFonts w:ascii="仿宋_GB2312" w:hAnsi="仿宋" w:eastAsia="仿宋_GB2312"/>
          <w:b/>
          <w:color w:val="auto"/>
          <w:szCs w:val="24"/>
          <w:highlight w:val="yellow"/>
        </w:rPr>
      </w:pPr>
      <w:r>
        <w:rPr>
          <w:rFonts w:hint="eastAsia" w:ascii="仿宋_GB2312" w:eastAsia="仿宋_GB2312"/>
          <w:b/>
          <w:color w:val="auto"/>
          <w:szCs w:val="24"/>
        </w:rPr>
        <w:t>10、项目联系人：</w:t>
      </w:r>
      <w:r>
        <w:rPr>
          <w:rFonts w:hint="eastAsia" w:ascii="仿宋_GB2312" w:eastAsia="仿宋_GB2312"/>
          <w:color w:val="auto"/>
          <w:szCs w:val="24"/>
        </w:rPr>
        <w:t>义乌市商城大道N1号浙江大学医学院附属第四医院，</w:t>
      </w:r>
      <w:r>
        <w:rPr>
          <w:rFonts w:hint="eastAsia" w:ascii="仿宋_GB2312" w:eastAsia="仿宋_GB2312"/>
          <w:color w:val="auto"/>
          <w:szCs w:val="24"/>
          <w:highlight w:val="yellow"/>
        </w:rPr>
        <w:t>联系人：</w:t>
      </w:r>
      <w:r>
        <w:rPr>
          <w:rFonts w:hint="eastAsia" w:ascii="仿宋_GB2312" w:eastAsia="仿宋_GB2312"/>
          <w:color w:val="auto"/>
          <w:sz w:val="18"/>
          <w:highlight w:val="yellow"/>
          <w:u w:val="single"/>
        </w:rPr>
        <w:t xml:space="preserve">  汤先生 </w:t>
      </w:r>
      <w:r>
        <w:rPr>
          <w:rFonts w:hint="eastAsia" w:ascii="仿宋_GB2312" w:eastAsia="仿宋_GB2312"/>
          <w:color w:val="auto"/>
          <w:szCs w:val="24"/>
          <w:highlight w:val="yellow"/>
        </w:rPr>
        <w:t>，联系电话：</w:t>
      </w:r>
      <w:r>
        <w:rPr>
          <w:rFonts w:hint="eastAsia" w:ascii="仿宋_GB2312" w:eastAsia="仿宋_GB2312"/>
          <w:color w:val="auto"/>
          <w:sz w:val="18"/>
          <w:highlight w:val="yellow"/>
          <w:u w:val="single"/>
        </w:rPr>
        <w:t xml:space="preserve">  </w:t>
      </w:r>
      <w:r>
        <w:rPr>
          <w:rFonts w:hint="eastAsia" w:ascii="仿宋_GB2312" w:hAnsi="宋体" w:eastAsia="仿宋_GB2312"/>
          <w:color w:val="auto"/>
          <w:highlight w:val="yellow"/>
          <w:u w:val="single"/>
        </w:rPr>
        <w:t>0579-89935114</w:t>
      </w:r>
      <w:r>
        <w:rPr>
          <w:rFonts w:hint="eastAsia" w:ascii="仿宋_GB2312" w:eastAsia="仿宋_GB2312"/>
          <w:color w:val="auto"/>
          <w:szCs w:val="24"/>
          <w:highlight w:val="yellow"/>
        </w:rPr>
        <w:t>，</w:t>
      </w:r>
      <w:r>
        <w:rPr>
          <w:rFonts w:hint="eastAsia" w:ascii="仿宋_GB2312" w:eastAsia="仿宋_GB2312"/>
          <w:color w:val="auto"/>
          <w:szCs w:val="24"/>
          <w:highlight w:val="yellow"/>
          <w:u w:val="single"/>
        </w:rPr>
        <w:t>楼女士，</w:t>
      </w:r>
      <w:r>
        <w:rPr>
          <w:rFonts w:hint="eastAsia" w:ascii="仿宋_GB2312" w:eastAsia="仿宋_GB2312"/>
          <w:color w:val="auto"/>
          <w:szCs w:val="24"/>
          <w:highlight w:val="yellow"/>
        </w:rPr>
        <w:t>联系电话</w:t>
      </w:r>
      <w:r>
        <w:rPr>
          <w:rFonts w:hint="eastAsia" w:ascii="仿宋_GB2312" w:eastAsia="仿宋_GB2312"/>
          <w:color w:val="auto"/>
          <w:szCs w:val="24"/>
          <w:highlight w:val="yellow"/>
          <w:u w:val="single"/>
        </w:rPr>
        <w:t xml:space="preserve">： </w:t>
      </w:r>
      <w:r>
        <w:rPr>
          <w:rFonts w:ascii="仿宋_GB2312" w:eastAsia="仿宋_GB2312"/>
          <w:color w:val="auto"/>
          <w:szCs w:val="24"/>
          <w:highlight w:val="yellow"/>
          <w:u w:val="single"/>
        </w:rPr>
        <w:t xml:space="preserve">0579-89935102 </w:t>
      </w:r>
      <w:r>
        <w:rPr>
          <w:rFonts w:hint="eastAsia" w:ascii="仿宋_GB2312" w:eastAsia="仿宋_GB2312"/>
          <w:color w:val="auto"/>
          <w:szCs w:val="24"/>
          <w:highlight w:val="yellow"/>
          <w:u w:val="single"/>
        </w:rPr>
        <w:t xml:space="preserve"> </w:t>
      </w:r>
      <w:r>
        <w:rPr>
          <w:rFonts w:hint="eastAsia" w:ascii="仿宋_GB2312" w:eastAsia="仿宋_GB2312"/>
          <w:color w:val="auto"/>
          <w:szCs w:val="24"/>
          <w:highlight w:val="yellow"/>
        </w:rPr>
        <w:t xml:space="preserve">  传真：</w:t>
      </w:r>
      <w:r>
        <w:rPr>
          <w:rFonts w:hint="eastAsia" w:ascii="仿宋_GB2312" w:eastAsia="仿宋_GB2312"/>
          <w:color w:val="auto"/>
          <w:sz w:val="18"/>
          <w:highlight w:val="yellow"/>
          <w:u w:val="single"/>
        </w:rPr>
        <w:t xml:space="preserve">  </w:t>
      </w:r>
      <w:r>
        <w:rPr>
          <w:rFonts w:hint="eastAsia" w:ascii="仿宋_GB2312" w:eastAsia="仿宋_GB2312"/>
          <w:color w:val="auto"/>
          <w:szCs w:val="24"/>
          <w:highlight w:val="yellow"/>
          <w:u w:val="single"/>
        </w:rPr>
        <w:t>0579-89935083</w:t>
      </w:r>
      <w:r>
        <w:rPr>
          <w:rFonts w:hint="eastAsia" w:ascii="仿宋_GB2312" w:hAnsi="Bodoni MT" w:eastAsia="仿宋_GB2312" w:cs="Arial"/>
          <w:bCs/>
          <w:snapToGrid w:val="0"/>
          <w:color w:val="auto"/>
          <w:kern w:val="28"/>
          <w:szCs w:val="24"/>
          <w:highlight w:val="yellow"/>
        </w:rPr>
        <w:t>。</w:t>
      </w:r>
    </w:p>
    <w:p>
      <w:pPr>
        <w:spacing w:line="360" w:lineRule="auto"/>
        <w:ind w:firstLine="200"/>
        <w:jc w:val="center"/>
        <w:rPr>
          <w:rFonts w:ascii="仿宋_GB2312" w:hAnsi="仿宋" w:eastAsia="仿宋_GB2312"/>
          <w:color w:val="auto"/>
        </w:rPr>
      </w:pPr>
      <w:r>
        <w:rPr>
          <w:rFonts w:hint="eastAsia" w:ascii="仿宋_GB2312" w:hAnsi="仿宋" w:eastAsia="仿宋_GB2312"/>
          <w:color w:val="auto"/>
        </w:rPr>
        <w:t xml:space="preserve">                            </w:t>
      </w:r>
    </w:p>
    <w:p>
      <w:pPr>
        <w:spacing w:line="360" w:lineRule="auto"/>
        <w:ind w:firstLine="200"/>
        <w:jc w:val="right"/>
        <w:rPr>
          <w:rFonts w:ascii="仿宋_GB2312" w:hAnsi="仿宋" w:eastAsia="仿宋_GB2312"/>
          <w:color w:val="auto"/>
        </w:rPr>
      </w:pPr>
      <w:r>
        <w:rPr>
          <w:rFonts w:hint="eastAsia" w:ascii="仿宋_GB2312" w:eastAsia="仿宋_GB2312"/>
          <w:color w:val="auto"/>
        </w:rPr>
        <w:t>浙江大学医学院附属第四医院招标管理办公室</w:t>
      </w:r>
    </w:p>
    <w:p>
      <w:pPr>
        <w:pStyle w:val="9"/>
        <w:spacing w:line="360" w:lineRule="auto"/>
        <w:ind w:firstLine="420" w:firstLineChars="200"/>
        <w:jc w:val="right"/>
        <w:rPr>
          <w:rFonts w:ascii="仿宋_GB2312" w:hAnsi="仿宋" w:eastAsia="仿宋_GB2312"/>
          <w:color w:val="auto"/>
          <w:szCs w:val="24"/>
          <w:highlight w:val="yellow"/>
        </w:rPr>
      </w:pPr>
      <w:r>
        <w:rPr>
          <w:rFonts w:hint="eastAsia" w:ascii="仿宋_GB2312" w:hAnsi="仿宋" w:eastAsia="仿宋_GB2312"/>
          <w:color w:val="auto"/>
          <w:szCs w:val="24"/>
          <w:highlight w:val="yellow"/>
        </w:rPr>
        <w:t>二○二二年</w:t>
      </w:r>
      <w:r>
        <w:rPr>
          <w:rFonts w:hint="eastAsia" w:ascii="仿宋_GB2312" w:eastAsia="仿宋_GB2312"/>
          <w:color w:val="auto"/>
          <w:sz w:val="18"/>
          <w:highlight w:val="yellow"/>
          <w:u w:val="single"/>
        </w:rPr>
        <w:t xml:space="preserve">  八  </w:t>
      </w:r>
      <w:r>
        <w:rPr>
          <w:rFonts w:hint="eastAsia" w:ascii="仿宋_GB2312" w:hAnsi="仿宋" w:eastAsia="仿宋_GB2312"/>
          <w:color w:val="auto"/>
          <w:szCs w:val="24"/>
          <w:highlight w:val="yellow"/>
        </w:rPr>
        <w:t>月</w:t>
      </w:r>
      <w:r>
        <w:rPr>
          <w:rFonts w:hint="eastAsia" w:ascii="仿宋_GB2312" w:eastAsia="仿宋_GB2312"/>
          <w:color w:val="auto"/>
          <w:sz w:val="18"/>
          <w:highlight w:val="yellow"/>
          <w:u w:val="single"/>
        </w:rPr>
        <w:t xml:space="preserve">  </w:t>
      </w:r>
      <w:r>
        <w:rPr>
          <w:rFonts w:hint="eastAsia" w:ascii="仿宋_GB2312" w:eastAsia="仿宋_GB2312"/>
          <w:color w:val="auto"/>
          <w:sz w:val="18"/>
          <w:highlight w:val="yellow"/>
          <w:u w:val="single"/>
          <w:lang w:val="en-US" w:eastAsia="zh-CN"/>
        </w:rPr>
        <w:t>二十二</w:t>
      </w:r>
      <w:r>
        <w:rPr>
          <w:rFonts w:hint="eastAsia" w:ascii="仿宋_GB2312" w:eastAsia="仿宋_GB2312"/>
          <w:color w:val="auto"/>
          <w:sz w:val="18"/>
          <w:highlight w:val="yellow"/>
          <w:u w:val="single"/>
        </w:rPr>
        <w:t xml:space="preserve">  </w:t>
      </w:r>
      <w:r>
        <w:rPr>
          <w:rFonts w:hint="eastAsia" w:ascii="仿宋_GB2312" w:hAnsi="仿宋" w:eastAsia="仿宋_GB2312"/>
          <w:color w:val="auto"/>
          <w:szCs w:val="24"/>
          <w:highlight w:val="yellow"/>
        </w:rPr>
        <w:t>日</w:t>
      </w:r>
    </w:p>
    <w:p>
      <w:pPr>
        <w:adjustRightInd/>
        <w:spacing w:line="360" w:lineRule="auto"/>
        <w:jc w:val="center"/>
        <w:outlineLvl w:val="0"/>
        <w:rPr>
          <w:rFonts w:ascii="仿宋_GB2312" w:hAnsi="仿宋" w:eastAsia="仿宋_GB2312"/>
          <w:b/>
          <w:color w:val="auto"/>
          <w:sz w:val="36"/>
          <w:szCs w:val="20"/>
        </w:rPr>
      </w:pPr>
      <w:r>
        <w:rPr>
          <w:rFonts w:hint="eastAsia" w:ascii="仿宋_GB2312" w:hAnsi="仿宋" w:eastAsia="仿宋_GB2312"/>
          <w:color w:val="auto"/>
          <w:sz w:val="24"/>
        </w:rPr>
        <w:br w:type="page"/>
      </w:r>
      <w:r>
        <w:rPr>
          <w:rFonts w:hint="eastAsia" w:ascii="仿宋_GB2312" w:hAnsi="仿宋" w:eastAsia="仿宋_GB2312"/>
          <w:b/>
          <w:color w:val="auto"/>
          <w:sz w:val="36"/>
          <w:szCs w:val="20"/>
        </w:rPr>
        <w:t>第二部分</w:t>
      </w:r>
      <w:bookmarkEnd w:id="8"/>
      <w:r>
        <w:rPr>
          <w:rFonts w:hint="eastAsia" w:ascii="仿宋_GB2312" w:hAnsi="仿宋" w:eastAsia="仿宋_GB2312"/>
          <w:b/>
          <w:color w:val="auto"/>
          <w:sz w:val="36"/>
          <w:szCs w:val="20"/>
        </w:rPr>
        <w:t xml:space="preserve"> 编制和提交采购响应文件须知</w:t>
      </w:r>
      <w:bookmarkEnd w:id="9"/>
    </w:p>
    <w:p>
      <w:pPr>
        <w:snapToGrid w:val="0"/>
        <w:spacing w:line="360" w:lineRule="auto"/>
        <w:jc w:val="center"/>
        <w:rPr>
          <w:rFonts w:ascii="仿宋_GB2312" w:hAnsi="宋体" w:eastAsia="仿宋_GB2312"/>
          <w:b/>
          <w:color w:val="auto"/>
          <w:sz w:val="32"/>
          <w:szCs w:val="20"/>
        </w:rPr>
      </w:pPr>
      <w:r>
        <w:rPr>
          <w:rFonts w:hint="eastAsia" w:ascii="仿宋_GB2312" w:hAnsi="宋体" w:eastAsia="仿宋_GB2312"/>
          <w:b/>
          <w:color w:val="auto"/>
          <w:sz w:val="32"/>
          <w:szCs w:val="20"/>
        </w:rPr>
        <w:t>前附表</w:t>
      </w:r>
    </w:p>
    <w:tbl>
      <w:tblPr>
        <w:tblStyle w:val="14"/>
        <w:tblW w:w="9961"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700"/>
        <w:gridCol w:w="2092"/>
        <w:gridCol w:w="7169"/>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700" w:type="dxa"/>
            <w:vAlign w:val="center"/>
          </w:tcPr>
          <w:p>
            <w:pPr>
              <w:snapToGrid w:val="0"/>
              <w:jc w:val="center"/>
              <w:rPr>
                <w:rFonts w:ascii="仿宋" w:hAnsi="仿宋" w:eastAsia="仿宋" w:cs="宋体"/>
                <w:b/>
                <w:color w:val="auto"/>
                <w:szCs w:val="21"/>
              </w:rPr>
            </w:pPr>
            <w:r>
              <w:rPr>
                <w:rFonts w:hint="eastAsia" w:ascii="仿宋" w:hAnsi="仿宋" w:eastAsia="仿宋" w:cs="宋体"/>
                <w:b/>
                <w:color w:val="auto"/>
                <w:szCs w:val="21"/>
              </w:rPr>
              <w:t>序号</w:t>
            </w:r>
          </w:p>
        </w:tc>
        <w:tc>
          <w:tcPr>
            <w:tcW w:w="2092" w:type="dxa"/>
            <w:vAlign w:val="center"/>
          </w:tcPr>
          <w:p>
            <w:pPr>
              <w:snapToGrid w:val="0"/>
              <w:jc w:val="center"/>
              <w:rPr>
                <w:rFonts w:ascii="仿宋" w:hAnsi="仿宋" w:eastAsia="仿宋" w:cs="宋体"/>
                <w:b/>
                <w:color w:val="auto"/>
                <w:szCs w:val="21"/>
              </w:rPr>
            </w:pPr>
            <w:r>
              <w:rPr>
                <w:rFonts w:hint="eastAsia" w:ascii="仿宋" w:hAnsi="仿宋" w:eastAsia="仿宋" w:cs="宋体"/>
                <w:b/>
                <w:color w:val="auto"/>
                <w:szCs w:val="21"/>
              </w:rPr>
              <w:t>项 目</w:t>
            </w:r>
          </w:p>
        </w:tc>
        <w:tc>
          <w:tcPr>
            <w:tcW w:w="7169" w:type="dxa"/>
            <w:vAlign w:val="center"/>
          </w:tcPr>
          <w:p>
            <w:pPr>
              <w:snapToGrid w:val="0"/>
              <w:jc w:val="center"/>
              <w:rPr>
                <w:rFonts w:ascii="仿宋" w:hAnsi="仿宋" w:eastAsia="仿宋" w:cs="宋体"/>
                <w:b/>
                <w:color w:val="auto"/>
                <w:szCs w:val="21"/>
              </w:rPr>
            </w:pPr>
            <w:r>
              <w:rPr>
                <w:rFonts w:hint="eastAsia" w:ascii="仿宋" w:hAnsi="仿宋" w:eastAsia="仿宋" w:cs="宋体"/>
                <w:b/>
                <w:color w:val="auto"/>
                <w:szCs w:val="21"/>
              </w:rPr>
              <w:t>内      容</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21" w:hRule="atLeast"/>
          <w:jc w:val="center"/>
        </w:trPr>
        <w:tc>
          <w:tcPr>
            <w:tcW w:w="700" w:type="dxa"/>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1</w:t>
            </w:r>
          </w:p>
        </w:tc>
        <w:tc>
          <w:tcPr>
            <w:tcW w:w="2092" w:type="dxa"/>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招标人</w:t>
            </w:r>
          </w:p>
        </w:tc>
        <w:tc>
          <w:tcPr>
            <w:tcW w:w="7169" w:type="dxa"/>
            <w:vAlign w:val="center"/>
          </w:tcPr>
          <w:p>
            <w:pPr>
              <w:autoSpaceDE w:val="0"/>
              <w:autoSpaceDN w:val="0"/>
              <w:snapToGrid w:val="0"/>
              <w:ind w:right="266"/>
              <w:rPr>
                <w:rFonts w:ascii="仿宋" w:hAnsi="仿宋" w:eastAsia="仿宋" w:cs="宋体"/>
                <w:color w:val="auto"/>
                <w:kern w:val="0"/>
                <w:szCs w:val="21"/>
              </w:rPr>
            </w:pPr>
            <w:r>
              <w:rPr>
                <w:rFonts w:hint="eastAsia" w:ascii="仿宋" w:hAnsi="仿宋" w:eastAsia="仿宋" w:cs="宋体"/>
                <w:color w:val="auto"/>
                <w:kern w:val="0"/>
                <w:szCs w:val="21"/>
              </w:rPr>
              <w:t>名    称：浙江大学医学院附属第四医院</w:t>
            </w:r>
          </w:p>
          <w:p>
            <w:pPr>
              <w:autoSpaceDE w:val="0"/>
              <w:autoSpaceDN w:val="0"/>
              <w:snapToGrid w:val="0"/>
              <w:ind w:right="266"/>
              <w:rPr>
                <w:rFonts w:ascii="仿宋" w:hAnsi="仿宋" w:eastAsia="仿宋" w:cs="宋体"/>
                <w:color w:val="auto"/>
                <w:kern w:val="0"/>
                <w:szCs w:val="21"/>
              </w:rPr>
            </w:pPr>
            <w:r>
              <w:rPr>
                <w:rFonts w:hint="eastAsia" w:ascii="仿宋" w:hAnsi="仿宋" w:eastAsia="仿宋" w:cs="宋体"/>
                <w:color w:val="auto"/>
                <w:kern w:val="0"/>
                <w:szCs w:val="21"/>
              </w:rPr>
              <w:t>地    址：</w:t>
            </w:r>
            <w:r>
              <w:rPr>
                <w:rFonts w:hint="eastAsia" w:ascii="仿宋" w:hAnsi="仿宋" w:eastAsia="仿宋" w:cs="宋体"/>
                <w:color w:val="auto"/>
                <w:szCs w:val="21"/>
              </w:rPr>
              <w:t>义乌市商城大道N1号</w:t>
            </w:r>
          </w:p>
          <w:p>
            <w:pPr>
              <w:snapToGrid w:val="0"/>
              <w:rPr>
                <w:rFonts w:ascii="仿宋" w:hAnsi="仿宋" w:eastAsia="仿宋" w:cs="宋体"/>
                <w:color w:val="auto"/>
                <w:szCs w:val="21"/>
              </w:rPr>
            </w:pPr>
            <w:r>
              <w:rPr>
                <w:rFonts w:hint="eastAsia" w:ascii="仿宋" w:hAnsi="仿宋" w:eastAsia="仿宋" w:cs="宋体"/>
                <w:color w:val="auto"/>
                <w:szCs w:val="21"/>
              </w:rPr>
              <w:t>联 系 人：汤先生    联系电话：0579-89935114</w:t>
            </w:r>
          </w:p>
          <w:p>
            <w:pPr>
              <w:snapToGrid w:val="0"/>
              <w:rPr>
                <w:rFonts w:ascii="仿宋" w:hAnsi="仿宋" w:eastAsia="仿宋" w:cs="宋体"/>
                <w:color w:val="auto"/>
                <w:szCs w:val="21"/>
              </w:rPr>
            </w:pPr>
            <w:r>
              <w:rPr>
                <w:rFonts w:hint="eastAsia" w:ascii="仿宋" w:hAnsi="仿宋" w:eastAsia="仿宋" w:cs="宋体"/>
                <w:color w:val="auto"/>
                <w:szCs w:val="21"/>
              </w:rPr>
              <w:t xml:space="preserve">          楼女士    联系电话：0579-89935102</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98" w:hRule="atLeast"/>
          <w:jc w:val="center"/>
        </w:trPr>
        <w:tc>
          <w:tcPr>
            <w:tcW w:w="700" w:type="dxa"/>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2</w:t>
            </w:r>
          </w:p>
        </w:tc>
        <w:tc>
          <w:tcPr>
            <w:tcW w:w="2092" w:type="dxa"/>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项目名称</w:t>
            </w:r>
          </w:p>
        </w:tc>
        <w:tc>
          <w:tcPr>
            <w:tcW w:w="7169" w:type="dxa"/>
            <w:vAlign w:val="center"/>
          </w:tcPr>
          <w:p>
            <w:pPr>
              <w:autoSpaceDE w:val="0"/>
              <w:autoSpaceDN w:val="0"/>
              <w:snapToGrid w:val="0"/>
              <w:ind w:right="266"/>
              <w:rPr>
                <w:rFonts w:ascii="仿宋" w:hAnsi="仿宋" w:eastAsia="仿宋" w:cs="宋体"/>
                <w:color w:val="auto"/>
                <w:sz w:val="22"/>
                <w:szCs w:val="21"/>
              </w:rPr>
            </w:pPr>
            <w:r>
              <w:rPr>
                <w:rFonts w:hint="eastAsia" w:ascii="仿宋" w:hAnsi="仿宋" w:eastAsia="仿宋" w:cs="宋体"/>
                <w:color w:val="auto"/>
                <w:kern w:val="0"/>
                <w:szCs w:val="21"/>
              </w:rPr>
              <w:t>浙江大学国际健康医学研究院2022-2023年度工程项目招标代理服务采购项目</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95" w:hRule="atLeast"/>
          <w:jc w:val="center"/>
        </w:trPr>
        <w:tc>
          <w:tcPr>
            <w:tcW w:w="700" w:type="dxa"/>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3</w:t>
            </w:r>
          </w:p>
        </w:tc>
        <w:tc>
          <w:tcPr>
            <w:tcW w:w="2092" w:type="dxa"/>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招标范围</w:t>
            </w:r>
          </w:p>
        </w:tc>
        <w:tc>
          <w:tcPr>
            <w:tcW w:w="7169" w:type="dxa"/>
            <w:vAlign w:val="center"/>
          </w:tcPr>
          <w:p>
            <w:pPr>
              <w:autoSpaceDE w:val="0"/>
              <w:autoSpaceDN w:val="0"/>
              <w:snapToGrid w:val="0"/>
              <w:ind w:right="266"/>
              <w:rPr>
                <w:rFonts w:ascii="仿宋" w:hAnsi="仿宋" w:eastAsia="仿宋"/>
                <w:color w:val="auto"/>
                <w:kern w:val="0"/>
              </w:rPr>
            </w:pPr>
            <w:r>
              <w:rPr>
                <w:rFonts w:hint="eastAsia" w:ascii="仿宋" w:hAnsi="仿宋" w:eastAsia="仿宋" w:cs="宋体"/>
                <w:color w:val="auto"/>
                <w:kern w:val="0"/>
                <w:szCs w:val="21"/>
              </w:rPr>
              <w:t xml:space="preserve">浙江大学国际健康医学研究院所需一般工程类（不含基建及纳入政府采购项目 ）的招标代理服务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94" w:hRule="atLeast"/>
          <w:jc w:val="center"/>
        </w:trPr>
        <w:tc>
          <w:tcPr>
            <w:tcW w:w="700" w:type="dxa"/>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5</w:t>
            </w:r>
          </w:p>
        </w:tc>
        <w:tc>
          <w:tcPr>
            <w:tcW w:w="2092" w:type="dxa"/>
            <w:vAlign w:val="center"/>
          </w:tcPr>
          <w:p>
            <w:pPr>
              <w:snapToGrid w:val="0"/>
              <w:jc w:val="center"/>
              <w:rPr>
                <w:rFonts w:ascii="仿宋" w:hAnsi="仿宋" w:eastAsia="仿宋" w:cs="宋体"/>
                <w:color w:val="auto"/>
                <w:szCs w:val="21"/>
              </w:rPr>
            </w:pPr>
            <w:r>
              <w:rPr>
                <w:rFonts w:hint="eastAsia" w:ascii="仿宋" w:hAnsi="仿宋" w:eastAsia="仿宋" w:cs="宋体"/>
                <w:dstrike/>
                <w:color w:val="auto"/>
                <w:szCs w:val="21"/>
              </w:rPr>
              <w:t>★</w:t>
            </w:r>
            <w:r>
              <w:rPr>
                <w:rFonts w:hint="eastAsia" w:ascii="仿宋" w:hAnsi="仿宋" w:eastAsia="仿宋" w:cs="宋体"/>
                <w:color w:val="auto"/>
                <w:szCs w:val="21"/>
              </w:rPr>
              <w:t>投标人资格要求</w:t>
            </w:r>
          </w:p>
        </w:tc>
        <w:tc>
          <w:tcPr>
            <w:tcW w:w="7169" w:type="dxa"/>
            <w:vAlign w:val="center"/>
          </w:tcPr>
          <w:p>
            <w:pPr>
              <w:snapToGrid w:val="0"/>
              <w:jc w:val="left"/>
              <w:rPr>
                <w:rFonts w:ascii="仿宋" w:hAnsi="仿宋" w:eastAsia="仿宋" w:cs="宋体"/>
                <w:color w:val="auto"/>
                <w:szCs w:val="21"/>
              </w:rPr>
            </w:pPr>
            <w:r>
              <w:rPr>
                <w:rFonts w:hint="eastAsia" w:ascii="仿宋" w:hAnsi="仿宋" w:eastAsia="仿宋" w:cs="宋体"/>
                <w:color w:val="auto"/>
                <w:szCs w:val="21"/>
              </w:rPr>
              <w:t>详见招标公告</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27" w:hRule="atLeast"/>
          <w:jc w:val="center"/>
        </w:trPr>
        <w:tc>
          <w:tcPr>
            <w:tcW w:w="700" w:type="dxa"/>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6</w:t>
            </w:r>
          </w:p>
        </w:tc>
        <w:tc>
          <w:tcPr>
            <w:tcW w:w="2092" w:type="dxa"/>
            <w:vAlign w:val="center"/>
          </w:tcPr>
          <w:p>
            <w:pPr>
              <w:snapToGrid w:val="0"/>
              <w:ind w:left="-149" w:leftChars="-71" w:right="-76" w:rightChars="-36"/>
              <w:jc w:val="center"/>
              <w:rPr>
                <w:rFonts w:ascii="仿宋" w:hAnsi="仿宋" w:eastAsia="仿宋" w:cs="宋体"/>
                <w:color w:val="auto"/>
                <w:szCs w:val="21"/>
              </w:rPr>
            </w:pPr>
            <w:r>
              <w:rPr>
                <w:rFonts w:hint="eastAsia" w:ascii="仿宋" w:hAnsi="仿宋" w:eastAsia="仿宋" w:cs="宋体"/>
                <w:color w:val="auto"/>
                <w:szCs w:val="21"/>
              </w:rPr>
              <w:t>是否接受联合体投标</w:t>
            </w:r>
          </w:p>
        </w:tc>
        <w:tc>
          <w:tcPr>
            <w:tcW w:w="7169" w:type="dxa"/>
            <w:vAlign w:val="center"/>
          </w:tcPr>
          <w:p>
            <w:pPr>
              <w:snapToGrid w:val="0"/>
              <w:jc w:val="left"/>
              <w:rPr>
                <w:rFonts w:ascii="仿宋" w:hAnsi="仿宋" w:eastAsia="仿宋" w:cs="宋体"/>
                <w:color w:val="auto"/>
                <w:szCs w:val="21"/>
              </w:rPr>
            </w:pPr>
            <w:r>
              <w:rPr>
                <w:rFonts w:hint="eastAsia" w:ascii="仿宋" w:hAnsi="仿宋" w:eastAsia="仿宋" w:cs="宋体"/>
                <w:color w:val="auto"/>
                <w:szCs w:val="21"/>
              </w:rPr>
              <w:t>不接受</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02" w:hRule="atLeast"/>
          <w:jc w:val="center"/>
        </w:trPr>
        <w:tc>
          <w:tcPr>
            <w:tcW w:w="700" w:type="dxa"/>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7</w:t>
            </w:r>
          </w:p>
        </w:tc>
        <w:tc>
          <w:tcPr>
            <w:tcW w:w="2092" w:type="dxa"/>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招标答疑</w:t>
            </w:r>
          </w:p>
        </w:tc>
        <w:tc>
          <w:tcPr>
            <w:tcW w:w="7169" w:type="dxa"/>
            <w:vAlign w:val="center"/>
          </w:tcPr>
          <w:p>
            <w:pPr>
              <w:snapToGrid w:val="0"/>
              <w:jc w:val="left"/>
              <w:rPr>
                <w:rFonts w:ascii="仿宋" w:hAnsi="仿宋" w:eastAsia="仿宋" w:cs="宋体"/>
                <w:color w:val="auto"/>
                <w:szCs w:val="21"/>
              </w:rPr>
            </w:pPr>
            <w:r>
              <w:rPr>
                <w:rFonts w:hint="eastAsia" w:ascii="仿宋" w:hAnsi="仿宋" w:eastAsia="仿宋" w:cs="宋体"/>
                <w:color w:val="auto"/>
                <w:szCs w:val="21"/>
              </w:rPr>
              <w:t>如有疑问，请投标人在</w:t>
            </w:r>
            <w:r>
              <w:rPr>
                <w:rFonts w:hint="eastAsia" w:ascii="仿宋" w:hAnsi="仿宋" w:eastAsia="仿宋" w:cs="宋体"/>
                <w:color w:val="auto"/>
                <w:szCs w:val="21"/>
                <w:highlight w:val="yellow"/>
              </w:rPr>
              <w:t>2022年</w:t>
            </w:r>
            <w:r>
              <w:rPr>
                <w:rFonts w:ascii="仿宋" w:hAnsi="仿宋" w:eastAsia="仿宋" w:cs="宋体"/>
                <w:color w:val="auto"/>
                <w:szCs w:val="21"/>
                <w:highlight w:val="yellow"/>
              </w:rPr>
              <w:t>8</w:t>
            </w:r>
            <w:r>
              <w:rPr>
                <w:rFonts w:hint="eastAsia" w:ascii="仿宋" w:hAnsi="仿宋" w:eastAsia="仿宋" w:cs="宋体"/>
                <w:color w:val="auto"/>
                <w:szCs w:val="21"/>
                <w:highlight w:val="yellow"/>
              </w:rPr>
              <w:t>月</w:t>
            </w:r>
            <w:r>
              <w:rPr>
                <w:rFonts w:hint="eastAsia" w:ascii="仿宋" w:hAnsi="仿宋" w:eastAsia="仿宋" w:cs="宋体"/>
                <w:color w:val="auto"/>
                <w:szCs w:val="21"/>
                <w:highlight w:val="yellow"/>
                <w:lang w:val="en-US" w:eastAsia="zh-CN"/>
              </w:rPr>
              <w:t>25</w:t>
            </w:r>
            <w:r>
              <w:rPr>
                <w:rFonts w:hint="eastAsia" w:ascii="仿宋" w:hAnsi="仿宋" w:eastAsia="仿宋" w:cs="宋体"/>
                <w:color w:val="auto"/>
                <w:szCs w:val="21"/>
                <w:highlight w:val="yellow"/>
              </w:rPr>
              <w:t>日17时00分</w:t>
            </w:r>
            <w:r>
              <w:rPr>
                <w:rFonts w:hint="eastAsia" w:ascii="仿宋" w:hAnsi="仿宋" w:eastAsia="仿宋" w:cs="宋体"/>
                <w:color w:val="auto"/>
                <w:szCs w:val="21"/>
              </w:rPr>
              <w:t>之前以书面盖章扫描形式发送电子邮件或传真至招标人，招标人将以书面方式回复所有已报名审核通过的单位。</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00" w:type="dxa"/>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8</w:t>
            </w:r>
          </w:p>
        </w:tc>
        <w:tc>
          <w:tcPr>
            <w:tcW w:w="2092" w:type="dxa"/>
            <w:vAlign w:val="center"/>
          </w:tcPr>
          <w:p>
            <w:pPr>
              <w:snapToGrid w:val="0"/>
              <w:jc w:val="center"/>
              <w:rPr>
                <w:rFonts w:ascii="仿宋" w:hAnsi="仿宋" w:eastAsia="仿宋" w:cs="宋体"/>
                <w:color w:val="auto"/>
                <w:szCs w:val="21"/>
                <w:highlight w:val="yellow"/>
              </w:rPr>
            </w:pPr>
            <w:r>
              <w:rPr>
                <w:rFonts w:hint="eastAsia" w:ascii="仿宋" w:hAnsi="仿宋" w:eastAsia="仿宋" w:cs="宋体"/>
                <w:color w:val="auto"/>
                <w:szCs w:val="21"/>
                <w:highlight w:val="yellow"/>
              </w:rPr>
              <w:t>投标文件份数</w:t>
            </w:r>
          </w:p>
        </w:tc>
        <w:tc>
          <w:tcPr>
            <w:tcW w:w="7169" w:type="dxa"/>
            <w:vAlign w:val="center"/>
          </w:tcPr>
          <w:p>
            <w:pPr>
              <w:snapToGrid w:val="0"/>
              <w:jc w:val="left"/>
              <w:rPr>
                <w:rFonts w:hint="eastAsia"/>
                <w:color w:val="auto"/>
                <w:sz w:val="21"/>
                <w:highlight w:val="yellow"/>
                <w:lang w:val="en-US"/>
              </w:rPr>
            </w:pPr>
            <w:r>
              <w:rPr>
                <w:rFonts w:hint="eastAsia" w:ascii="仿宋" w:hAnsi="仿宋" w:eastAsia="仿宋" w:cs="宋体"/>
                <w:b/>
                <w:bCs/>
                <w:color w:val="auto"/>
                <w:szCs w:val="21"/>
                <w:highlight w:val="yellow"/>
              </w:rPr>
              <w:t>正本</w:t>
            </w:r>
            <w:r>
              <w:rPr>
                <w:rFonts w:hint="eastAsia" w:ascii="仿宋" w:hAnsi="仿宋" w:eastAsia="仿宋" w:cs="宋体"/>
                <w:b/>
                <w:bCs/>
                <w:color w:val="auto"/>
                <w:szCs w:val="21"/>
                <w:highlight w:val="yellow"/>
                <w:u w:val="single"/>
              </w:rPr>
              <w:t xml:space="preserve"> 1 </w:t>
            </w:r>
            <w:r>
              <w:rPr>
                <w:rFonts w:hint="eastAsia" w:ascii="仿宋" w:hAnsi="仿宋" w:eastAsia="仿宋" w:cs="宋体"/>
                <w:b/>
                <w:bCs/>
                <w:color w:val="auto"/>
                <w:szCs w:val="21"/>
                <w:highlight w:val="yellow"/>
              </w:rPr>
              <w:t>份、副本</w:t>
            </w:r>
            <w:r>
              <w:rPr>
                <w:rFonts w:hint="eastAsia" w:ascii="仿宋" w:hAnsi="仿宋" w:eastAsia="仿宋" w:cs="宋体"/>
                <w:b/>
                <w:bCs/>
                <w:color w:val="auto"/>
                <w:szCs w:val="21"/>
                <w:highlight w:val="yellow"/>
                <w:u w:val="single"/>
              </w:rPr>
              <w:t>2</w:t>
            </w:r>
            <w:r>
              <w:rPr>
                <w:rFonts w:hint="eastAsia" w:ascii="仿宋" w:hAnsi="仿宋" w:eastAsia="仿宋" w:cs="宋体"/>
                <w:b/>
                <w:bCs/>
                <w:color w:val="auto"/>
                <w:szCs w:val="21"/>
                <w:highlight w:val="yellow"/>
              </w:rPr>
              <w:t>份</w:t>
            </w:r>
            <w:bookmarkStart w:id="431" w:name="_GoBack"/>
            <w:bookmarkEnd w:id="431"/>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1" w:hRule="atLeast"/>
          <w:jc w:val="center"/>
        </w:trPr>
        <w:tc>
          <w:tcPr>
            <w:tcW w:w="700" w:type="dxa"/>
            <w:shd w:val="clear" w:color="auto" w:fill="auto"/>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9</w:t>
            </w:r>
          </w:p>
        </w:tc>
        <w:tc>
          <w:tcPr>
            <w:tcW w:w="2092" w:type="dxa"/>
            <w:shd w:val="clear" w:color="auto" w:fill="auto"/>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投标截止及开标</w:t>
            </w:r>
          </w:p>
          <w:p>
            <w:pPr>
              <w:snapToGrid w:val="0"/>
              <w:jc w:val="center"/>
              <w:rPr>
                <w:rFonts w:ascii="仿宋" w:hAnsi="仿宋" w:eastAsia="仿宋" w:cs="宋体"/>
                <w:color w:val="auto"/>
                <w:szCs w:val="21"/>
              </w:rPr>
            </w:pPr>
            <w:r>
              <w:rPr>
                <w:rFonts w:hint="eastAsia" w:ascii="仿宋" w:hAnsi="仿宋" w:eastAsia="仿宋" w:cs="宋体"/>
                <w:color w:val="auto"/>
                <w:szCs w:val="21"/>
              </w:rPr>
              <w:t>时间</w:t>
            </w:r>
          </w:p>
        </w:tc>
        <w:tc>
          <w:tcPr>
            <w:tcW w:w="7169" w:type="dxa"/>
            <w:tcBorders>
              <w:top w:val="single" w:color="000000" w:sz="6" w:space="0"/>
              <w:bottom w:val="single" w:color="000000" w:sz="6" w:space="0"/>
            </w:tcBorders>
            <w:shd w:val="clear" w:color="auto" w:fill="FFFFFF"/>
            <w:vAlign w:val="center"/>
          </w:tcPr>
          <w:p>
            <w:pPr>
              <w:pStyle w:val="9"/>
              <w:snapToGrid w:val="0"/>
              <w:jc w:val="left"/>
              <w:rPr>
                <w:rFonts w:ascii="仿宋" w:hAnsi="仿宋" w:eastAsia="仿宋" w:cs="宋体"/>
                <w:color w:val="auto"/>
                <w:szCs w:val="21"/>
              </w:rPr>
            </w:pPr>
            <w:r>
              <w:rPr>
                <w:rFonts w:hint="eastAsia"/>
                <w:color w:val="auto"/>
              </w:rPr>
              <w:t>2022年</w:t>
            </w:r>
            <w:r>
              <w:rPr>
                <w:color w:val="auto"/>
              </w:rPr>
              <w:t>8</w:t>
            </w:r>
            <w:r>
              <w:rPr>
                <w:rFonts w:hint="eastAsia"/>
                <w:color w:val="auto"/>
              </w:rPr>
              <w:t>月</w:t>
            </w:r>
            <w:r>
              <w:rPr>
                <w:rFonts w:hint="eastAsia"/>
                <w:color w:val="auto"/>
                <w:lang w:val="en-US" w:eastAsia="zh-CN"/>
              </w:rPr>
              <w:t>26</w:t>
            </w:r>
            <w:r>
              <w:rPr>
                <w:rFonts w:hint="eastAsia"/>
                <w:color w:val="auto"/>
              </w:rPr>
              <w:t>日09：</w:t>
            </w:r>
            <w:r>
              <w:rPr>
                <w:rFonts w:hint="eastAsia"/>
                <w:color w:val="auto"/>
                <w:lang w:val="en-US" w:eastAsia="zh-CN"/>
              </w:rPr>
              <w:t>0</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76" w:hRule="atLeast"/>
          <w:jc w:val="center"/>
        </w:trPr>
        <w:tc>
          <w:tcPr>
            <w:tcW w:w="700" w:type="dxa"/>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10</w:t>
            </w:r>
          </w:p>
        </w:tc>
        <w:tc>
          <w:tcPr>
            <w:tcW w:w="2092" w:type="dxa"/>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投标及开标地点</w:t>
            </w:r>
          </w:p>
        </w:tc>
        <w:tc>
          <w:tcPr>
            <w:tcW w:w="7169" w:type="dxa"/>
            <w:vAlign w:val="center"/>
          </w:tcPr>
          <w:p>
            <w:pPr>
              <w:snapToGrid w:val="0"/>
              <w:jc w:val="left"/>
              <w:rPr>
                <w:rFonts w:ascii="仿宋" w:hAnsi="仿宋" w:eastAsia="仿宋" w:cs="宋体"/>
                <w:color w:val="auto"/>
                <w:szCs w:val="21"/>
              </w:rPr>
            </w:pPr>
            <w:r>
              <w:rPr>
                <w:rFonts w:hint="eastAsia" w:ascii="仿宋" w:hAnsi="仿宋" w:eastAsia="仿宋" w:cs="宋体"/>
                <w:color w:val="auto"/>
                <w:kern w:val="0"/>
                <w:szCs w:val="21"/>
              </w:rPr>
              <w:t>浙江大学医学院附属第四医院医学工程科会议室</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1" w:hRule="atLeast"/>
          <w:jc w:val="center"/>
        </w:trPr>
        <w:tc>
          <w:tcPr>
            <w:tcW w:w="700" w:type="dxa"/>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11</w:t>
            </w:r>
          </w:p>
        </w:tc>
        <w:tc>
          <w:tcPr>
            <w:tcW w:w="2092" w:type="dxa"/>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评标办法</w:t>
            </w:r>
          </w:p>
        </w:tc>
        <w:tc>
          <w:tcPr>
            <w:tcW w:w="7169" w:type="dxa"/>
            <w:vAlign w:val="center"/>
          </w:tcPr>
          <w:p>
            <w:pPr>
              <w:snapToGrid w:val="0"/>
              <w:jc w:val="left"/>
              <w:rPr>
                <w:rFonts w:ascii="仿宋" w:hAnsi="仿宋" w:eastAsia="仿宋" w:cs="宋体"/>
                <w:color w:val="auto"/>
                <w:szCs w:val="21"/>
              </w:rPr>
            </w:pPr>
            <w:r>
              <w:rPr>
                <w:rFonts w:hint="eastAsia" w:ascii="仿宋" w:hAnsi="仿宋" w:eastAsia="仿宋" w:cs="宋体"/>
                <w:color w:val="auto"/>
                <w:szCs w:val="21"/>
              </w:rPr>
              <w:t>综合评分法</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700" w:type="dxa"/>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12</w:t>
            </w:r>
          </w:p>
        </w:tc>
        <w:tc>
          <w:tcPr>
            <w:tcW w:w="2092" w:type="dxa"/>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招标代理服务费及工程造价咨询服务费投标让利区间</w:t>
            </w:r>
          </w:p>
        </w:tc>
        <w:tc>
          <w:tcPr>
            <w:tcW w:w="7169" w:type="dxa"/>
            <w:vAlign w:val="center"/>
          </w:tcPr>
          <w:p>
            <w:pPr>
              <w:snapToGrid w:val="0"/>
              <w:rPr>
                <w:rFonts w:ascii="仿宋" w:hAnsi="仿宋" w:eastAsia="仿宋" w:cs="宋体"/>
                <w:color w:val="auto"/>
                <w:szCs w:val="21"/>
              </w:rPr>
            </w:pPr>
            <w:r>
              <w:rPr>
                <w:rFonts w:hint="eastAsia" w:ascii="仿宋" w:hAnsi="仿宋" w:eastAsia="仿宋" w:cs="宋体"/>
                <w:color w:val="auto"/>
                <w:szCs w:val="21"/>
              </w:rPr>
              <w:t>30%（不含）～40%（含）</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700" w:type="dxa"/>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13</w:t>
            </w:r>
          </w:p>
        </w:tc>
        <w:tc>
          <w:tcPr>
            <w:tcW w:w="2092" w:type="dxa"/>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计价标准</w:t>
            </w:r>
          </w:p>
        </w:tc>
        <w:tc>
          <w:tcPr>
            <w:tcW w:w="7169" w:type="dxa"/>
            <w:vAlign w:val="center"/>
          </w:tcPr>
          <w:p>
            <w:pPr>
              <w:snapToGrid w:val="0"/>
              <w:jc w:val="left"/>
              <w:rPr>
                <w:rFonts w:ascii="仿宋" w:hAnsi="仿宋" w:eastAsia="仿宋" w:cs="宋体"/>
                <w:b/>
                <w:bCs/>
                <w:color w:val="auto"/>
                <w:szCs w:val="21"/>
              </w:rPr>
            </w:pPr>
            <w:r>
              <w:rPr>
                <w:rFonts w:hint="eastAsia" w:ascii="仿宋" w:hAnsi="仿宋" w:eastAsia="仿宋" w:cs="宋体"/>
                <w:b/>
                <w:bCs/>
                <w:color w:val="auto"/>
                <w:szCs w:val="21"/>
              </w:rPr>
              <w:t>招标代理服务费按国家计委计价格（2002）1980号《招标代理服务收费管理暂行办法》及国家发改委发改价格（2011）534号文件规定计算 ，工程造价咨询服务费按浙价服（2009）84号文件的收费标准计算，投标单位报</w:t>
            </w:r>
            <w:r>
              <w:rPr>
                <w:rFonts w:hint="eastAsia" w:ascii="仿宋" w:hAnsi="仿宋" w:eastAsia="仿宋" w:cs="宋体"/>
                <w:b/>
                <w:bCs/>
                <w:color w:val="auto"/>
                <w:szCs w:val="21"/>
                <w:u w:val="single"/>
              </w:rPr>
              <w:t xml:space="preserve"> 下浮率（%） </w:t>
            </w:r>
            <w:r>
              <w:rPr>
                <w:rFonts w:hint="eastAsia" w:ascii="仿宋" w:hAnsi="仿宋" w:eastAsia="仿宋" w:cs="宋体"/>
                <w:b/>
                <w:bCs/>
                <w:color w:val="auto"/>
                <w:szCs w:val="21"/>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700" w:type="dxa"/>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14</w:t>
            </w:r>
          </w:p>
        </w:tc>
        <w:tc>
          <w:tcPr>
            <w:tcW w:w="2092" w:type="dxa"/>
            <w:vAlign w:val="center"/>
          </w:tcPr>
          <w:p>
            <w:pPr>
              <w:snapToGrid w:val="0"/>
              <w:jc w:val="center"/>
              <w:rPr>
                <w:rFonts w:ascii="仿宋" w:hAnsi="仿宋" w:eastAsia="仿宋" w:cs="宋体"/>
                <w:color w:val="auto"/>
                <w:szCs w:val="21"/>
              </w:rPr>
            </w:pPr>
            <w:r>
              <w:rPr>
                <w:rFonts w:hint="eastAsia" w:ascii="仿宋" w:hAnsi="仿宋" w:eastAsia="仿宋" w:cs="宋体"/>
                <w:color w:val="auto"/>
                <w:szCs w:val="21"/>
              </w:rPr>
              <w:t>付款方式</w:t>
            </w:r>
          </w:p>
        </w:tc>
        <w:tc>
          <w:tcPr>
            <w:tcW w:w="7169" w:type="dxa"/>
            <w:vAlign w:val="center"/>
          </w:tcPr>
          <w:p>
            <w:pPr>
              <w:snapToGrid w:val="0"/>
              <w:jc w:val="left"/>
              <w:rPr>
                <w:rFonts w:ascii="仿宋" w:hAnsi="仿宋" w:eastAsia="仿宋" w:cs="宋体"/>
                <w:color w:val="auto"/>
                <w:szCs w:val="21"/>
              </w:rPr>
            </w:pPr>
            <w:r>
              <w:rPr>
                <w:rFonts w:hint="eastAsia" w:ascii="仿宋" w:hAnsi="仿宋" w:eastAsia="仿宋" w:cs="宋体"/>
                <w:color w:val="auto"/>
                <w:szCs w:val="21"/>
              </w:rPr>
              <w:t>单个项目造价咨询服务费与招标代理服务费由中标单位支付，招标代理服务费按国家计委计价格（2002）1980号《招标代理服务收费管理暂行办法》及国家发改委发改价格（2011）534号文件规定计算，工程造价咨询服务费按浙价服（2009）84号文件规定计算。</w:t>
            </w:r>
          </w:p>
        </w:tc>
      </w:tr>
    </w:tbl>
    <w:p>
      <w:pPr>
        <w:adjustRightInd/>
        <w:spacing w:line="360" w:lineRule="auto"/>
        <w:outlineLvl w:val="0"/>
        <w:rPr>
          <w:rFonts w:ascii="仿宋_GB2312" w:hAnsi="仿宋" w:eastAsia="仿宋_GB2312"/>
          <w:b/>
          <w:color w:val="auto"/>
          <w:sz w:val="32"/>
          <w:szCs w:val="20"/>
        </w:rPr>
      </w:pPr>
    </w:p>
    <w:p>
      <w:pPr>
        <w:adjustRightInd/>
        <w:spacing w:line="360" w:lineRule="auto"/>
        <w:ind w:firstLine="3845" w:firstLineChars="1197"/>
        <w:outlineLvl w:val="0"/>
        <w:rPr>
          <w:rFonts w:ascii="仿宋_GB2312" w:hAnsi="仿宋" w:eastAsia="仿宋_GB2312"/>
          <w:b/>
          <w:color w:val="auto"/>
          <w:sz w:val="32"/>
          <w:szCs w:val="20"/>
        </w:rPr>
      </w:pPr>
      <w:r>
        <w:rPr>
          <w:rFonts w:hint="eastAsia" w:ascii="仿宋_GB2312" w:hAnsi="仿宋" w:eastAsia="仿宋_GB2312"/>
          <w:b/>
          <w:color w:val="auto"/>
          <w:sz w:val="32"/>
          <w:szCs w:val="20"/>
        </w:rPr>
        <w:br w:type="page"/>
      </w:r>
      <w:r>
        <w:rPr>
          <w:rFonts w:hint="eastAsia" w:ascii="仿宋_GB2312" w:hAnsi="仿宋" w:eastAsia="仿宋_GB2312"/>
          <w:b/>
          <w:color w:val="auto"/>
          <w:sz w:val="32"/>
          <w:szCs w:val="20"/>
        </w:rPr>
        <w:t>一、总则</w:t>
      </w:r>
      <w:bookmarkEnd w:id="10"/>
    </w:p>
    <w:p>
      <w:pPr>
        <w:pStyle w:val="9"/>
        <w:spacing w:line="360" w:lineRule="auto"/>
        <w:rPr>
          <w:rFonts w:ascii="仿宋_GB2312" w:hAnsi="仿宋" w:eastAsia="仿宋_GB2312"/>
          <w:b/>
          <w:color w:val="auto"/>
          <w:szCs w:val="24"/>
        </w:rPr>
      </w:pPr>
      <w:bookmarkStart w:id="11" w:name="_Hlt74730295"/>
      <w:bookmarkEnd w:id="11"/>
      <w:bookmarkStart w:id="12" w:name="_Hlt74714665"/>
      <w:bookmarkEnd w:id="12"/>
      <w:bookmarkStart w:id="13" w:name="_Hlt74730208"/>
      <w:bookmarkStart w:id="14" w:name="_Hlt74730112"/>
      <w:r>
        <w:rPr>
          <w:rFonts w:hint="eastAsia" w:ascii="仿宋_GB2312" w:hAnsi="仿宋" w:eastAsia="仿宋_GB2312"/>
          <w:b/>
          <w:color w:val="auto"/>
          <w:szCs w:val="24"/>
        </w:rPr>
        <w:t>1.1项目说明</w:t>
      </w:r>
    </w:p>
    <w:p>
      <w:pPr>
        <w:pStyle w:val="9"/>
        <w:spacing w:line="360" w:lineRule="auto"/>
        <w:rPr>
          <w:rFonts w:ascii="仿宋_GB2312" w:hAnsi="仿宋" w:eastAsia="仿宋_GB2312"/>
          <w:color w:val="auto"/>
          <w:szCs w:val="24"/>
        </w:rPr>
      </w:pPr>
      <w:r>
        <w:rPr>
          <w:rFonts w:hint="eastAsia" w:ascii="仿宋_GB2312" w:hAnsi="仿宋" w:eastAsia="仿宋_GB2312"/>
          <w:color w:val="auto"/>
          <w:szCs w:val="24"/>
        </w:rPr>
        <w:t>项目名称：</w:t>
      </w:r>
      <w:r>
        <w:rPr>
          <w:rFonts w:hint="eastAsia" w:ascii="仿宋_GB2312" w:hAnsi="宋体" w:eastAsia="仿宋_GB2312"/>
          <w:color w:val="auto"/>
          <w:u w:val="single"/>
        </w:rPr>
        <w:t>浙江大学国际健康医学研究院2022-2023年度工程项目招标代理服务采购项目</w:t>
      </w:r>
    </w:p>
    <w:p>
      <w:pPr>
        <w:pStyle w:val="9"/>
        <w:spacing w:line="360" w:lineRule="auto"/>
        <w:rPr>
          <w:rFonts w:ascii="仿宋_GB2312" w:hAnsi="仿宋" w:eastAsia="仿宋_GB2312"/>
          <w:b/>
          <w:color w:val="auto"/>
          <w:szCs w:val="24"/>
        </w:rPr>
      </w:pPr>
      <w:r>
        <w:rPr>
          <w:rFonts w:hint="eastAsia" w:ascii="仿宋_GB2312" w:hAnsi="仿宋" w:eastAsia="仿宋_GB2312"/>
          <w:b/>
          <w:color w:val="auto"/>
          <w:szCs w:val="24"/>
        </w:rPr>
        <w:t>1.2有关单位和机构</w:t>
      </w:r>
    </w:p>
    <w:p>
      <w:pPr>
        <w:pStyle w:val="9"/>
        <w:spacing w:line="360" w:lineRule="auto"/>
        <w:rPr>
          <w:rFonts w:ascii="仿宋_GB2312" w:hAnsi="仿宋" w:eastAsia="仿宋_GB2312"/>
          <w:color w:val="auto"/>
          <w:szCs w:val="24"/>
        </w:rPr>
      </w:pPr>
      <w:r>
        <w:rPr>
          <w:rFonts w:hint="eastAsia" w:ascii="仿宋_GB2312" w:hAnsi="仿宋" w:eastAsia="仿宋_GB2312"/>
          <w:color w:val="auto"/>
          <w:szCs w:val="24"/>
        </w:rPr>
        <w:t>招标人：浙江大学医学院附属第四医院</w:t>
      </w:r>
    </w:p>
    <w:p>
      <w:pPr>
        <w:pStyle w:val="9"/>
        <w:spacing w:line="360" w:lineRule="auto"/>
        <w:rPr>
          <w:rFonts w:ascii="仿宋_GB2312" w:hAnsi="仿宋" w:eastAsia="仿宋_GB2312"/>
          <w:color w:val="auto"/>
          <w:szCs w:val="24"/>
        </w:rPr>
      </w:pPr>
      <w:r>
        <w:rPr>
          <w:rFonts w:hint="eastAsia" w:ascii="仿宋_GB2312" w:hAnsi="仿宋" w:eastAsia="仿宋_GB2312"/>
          <w:b/>
          <w:color w:val="auto"/>
          <w:szCs w:val="24"/>
        </w:rPr>
        <w:t>1.3资格审查方式</w:t>
      </w:r>
      <w:r>
        <w:rPr>
          <w:rFonts w:hint="eastAsia" w:ascii="仿宋_GB2312" w:hAnsi="仿宋" w:eastAsia="仿宋_GB2312"/>
          <w:color w:val="auto"/>
          <w:szCs w:val="24"/>
        </w:rPr>
        <w:t>：资格后审</w:t>
      </w:r>
    </w:p>
    <w:p>
      <w:pPr>
        <w:pStyle w:val="9"/>
        <w:spacing w:line="360" w:lineRule="auto"/>
        <w:rPr>
          <w:rFonts w:ascii="仿宋_GB2312" w:hAnsi="仿宋" w:eastAsia="仿宋_GB2312"/>
          <w:b/>
          <w:color w:val="auto"/>
          <w:szCs w:val="24"/>
        </w:rPr>
      </w:pPr>
      <w:r>
        <w:rPr>
          <w:rFonts w:hint="eastAsia" w:ascii="仿宋_GB2312" w:hAnsi="仿宋" w:eastAsia="仿宋_GB2312"/>
          <w:b/>
          <w:color w:val="auto"/>
          <w:szCs w:val="24"/>
        </w:rPr>
        <w:t>1.4招标范围</w:t>
      </w:r>
    </w:p>
    <w:p>
      <w:pPr>
        <w:pStyle w:val="9"/>
        <w:spacing w:line="360" w:lineRule="auto"/>
        <w:rPr>
          <w:rFonts w:ascii="仿宋_GB2312" w:hAnsi="仿宋" w:eastAsia="仿宋_GB2312"/>
          <w:color w:val="auto"/>
          <w:szCs w:val="24"/>
        </w:rPr>
      </w:pPr>
      <w:r>
        <w:rPr>
          <w:rFonts w:hint="eastAsia" w:ascii="仿宋_GB2312" w:hAnsi="仿宋" w:eastAsia="仿宋_GB2312"/>
          <w:color w:val="auto"/>
          <w:szCs w:val="24"/>
        </w:rPr>
        <w:t xml:space="preserve"> </w:t>
      </w:r>
    </w:p>
    <w:tbl>
      <w:tblPr>
        <w:tblStyle w:val="14"/>
        <w:tblW w:w="93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85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color w:val="auto"/>
              </w:rPr>
            </w:pPr>
            <w:r>
              <w:rPr>
                <w:rFonts w:hint="eastAsia" w:ascii="仿宋_GB2312" w:hAnsi="宋体" w:eastAsia="仿宋_GB2312" w:cs="Arial"/>
                <w:bCs/>
                <w:color w:val="auto"/>
              </w:rPr>
              <w:t>标项</w:t>
            </w:r>
          </w:p>
        </w:tc>
        <w:tc>
          <w:tcPr>
            <w:tcW w:w="85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color w:val="auto"/>
              </w:rPr>
            </w:pPr>
            <w:r>
              <w:rPr>
                <w:rFonts w:hint="eastAsia" w:ascii="仿宋_GB2312" w:hAnsi="宋体" w:eastAsia="仿宋_GB2312" w:cs="Arial"/>
                <w:bCs/>
                <w:color w:val="auto"/>
              </w:rPr>
              <w:t>采购内容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color w:val="auto"/>
              </w:rPr>
            </w:pPr>
            <w:r>
              <w:rPr>
                <w:rFonts w:hint="eastAsia" w:ascii="仿宋_GB2312" w:hAnsi="宋体" w:eastAsia="仿宋_GB2312" w:cs="Arial"/>
                <w:bCs/>
                <w:color w:val="auto"/>
              </w:rPr>
              <w:t>1</w:t>
            </w:r>
          </w:p>
        </w:tc>
        <w:tc>
          <w:tcPr>
            <w:tcW w:w="8527"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cs="Arial"/>
                <w:bCs/>
                <w:color w:val="auto"/>
              </w:rPr>
            </w:pPr>
            <w:r>
              <w:rPr>
                <w:rFonts w:hint="eastAsia" w:ascii="仿宋_GB2312" w:hAnsi="宋体" w:eastAsia="仿宋_GB2312"/>
                <w:color w:val="auto"/>
                <w:kern w:val="0"/>
              </w:rPr>
              <w:t xml:space="preserve">浙医四院所需一般工程类（不含基建及纳入政府采购项目 ）的招标代理服务 </w:t>
            </w:r>
          </w:p>
        </w:tc>
      </w:tr>
    </w:tbl>
    <w:p>
      <w:pPr>
        <w:pStyle w:val="9"/>
        <w:spacing w:line="360" w:lineRule="auto"/>
        <w:rPr>
          <w:rFonts w:ascii="仿宋_GB2312" w:hAnsi="仿宋" w:eastAsia="仿宋_GB2312"/>
          <w:color w:val="auto"/>
          <w:szCs w:val="24"/>
        </w:rPr>
      </w:pPr>
    </w:p>
    <w:p>
      <w:pPr>
        <w:pStyle w:val="9"/>
        <w:spacing w:line="360" w:lineRule="auto"/>
        <w:rPr>
          <w:rFonts w:ascii="仿宋_GB2312" w:hAnsi="仿宋" w:eastAsia="仿宋_GB2312"/>
          <w:b/>
          <w:color w:val="auto"/>
          <w:szCs w:val="24"/>
        </w:rPr>
      </w:pPr>
      <w:r>
        <w:rPr>
          <w:rFonts w:hint="eastAsia" w:ascii="仿宋_GB2312" w:hAnsi="仿宋" w:eastAsia="仿宋_GB2312"/>
          <w:b/>
          <w:color w:val="auto"/>
          <w:szCs w:val="24"/>
        </w:rPr>
        <w:t>1.5收费标准</w:t>
      </w:r>
    </w:p>
    <w:p>
      <w:pPr>
        <w:pStyle w:val="9"/>
        <w:spacing w:line="360" w:lineRule="auto"/>
        <w:rPr>
          <w:rFonts w:ascii="仿宋_GB2312" w:hAnsi="仿宋" w:eastAsia="仿宋_GB2312"/>
          <w:color w:val="auto"/>
          <w:szCs w:val="24"/>
        </w:rPr>
      </w:pPr>
      <w:r>
        <w:rPr>
          <w:rFonts w:hint="eastAsia" w:ascii="仿宋_GB2312" w:hAnsi="仿宋" w:eastAsia="仿宋_GB2312"/>
          <w:color w:val="auto"/>
          <w:szCs w:val="24"/>
        </w:rPr>
        <w:t xml:space="preserve">    1.5.1招标代理服务费及工程造价咨询服务费的计算方法：招标代理服务费及工程造价咨询服务费=招标代理服务费×（1—中标让利率）+工程造价咨询服务费×（1—中标让利率）。</w:t>
      </w:r>
    </w:p>
    <w:p>
      <w:pPr>
        <w:pStyle w:val="9"/>
        <w:spacing w:line="360" w:lineRule="auto"/>
        <w:rPr>
          <w:rFonts w:ascii="仿宋_GB2312" w:hAnsi="仿宋" w:eastAsia="仿宋_GB2312"/>
          <w:color w:val="auto"/>
          <w:szCs w:val="24"/>
        </w:rPr>
      </w:pPr>
      <w:r>
        <w:rPr>
          <w:rFonts w:hint="eastAsia" w:ascii="仿宋_GB2312" w:hAnsi="仿宋" w:eastAsia="仿宋_GB2312"/>
          <w:color w:val="auto"/>
          <w:szCs w:val="24"/>
        </w:rPr>
        <w:t xml:space="preserve">    1.5.2服务费按单个标段计取，计算基数均为该标段的中标价。</w:t>
      </w:r>
    </w:p>
    <w:p>
      <w:pPr>
        <w:pStyle w:val="9"/>
        <w:spacing w:line="360" w:lineRule="auto"/>
        <w:ind w:firstLine="420" w:firstLineChars="200"/>
        <w:rPr>
          <w:rFonts w:ascii="仿宋_GB2312" w:hAnsi="仿宋" w:eastAsia="仿宋_GB2312"/>
          <w:color w:val="auto"/>
          <w:szCs w:val="24"/>
        </w:rPr>
      </w:pPr>
      <w:r>
        <w:rPr>
          <w:rFonts w:hint="eastAsia" w:ascii="仿宋_GB2312" w:hAnsi="仿宋" w:eastAsia="仿宋_GB2312"/>
          <w:color w:val="auto"/>
          <w:szCs w:val="24"/>
        </w:rPr>
        <w:t>1.5.3服务费中应已包含服务期间各类价格的风险、物价上涨因素、国家政策性调整风险和自然条件。</w:t>
      </w:r>
    </w:p>
    <w:p>
      <w:pPr>
        <w:pStyle w:val="9"/>
        <w:spacing w:line="360" w:lineRule="auto"/>
        <w:ind w:firstLine="525" w:firstLineChars="250"/>
        <w:rPr>
          <w:rFonts w:ascii="仿宋_GB2312" w:hAnsi="仿宋" w:eastAsia="仿宋_GB2312"/>
          <w:color w:val="auto"/>
          <w:szCs w:val="24"/>
        </w:rPr>
      </w:pPr>
      <w:r>
        <w:rPr>
          <w:rFonts w:hint="eastAsia" w:ascii="仿宋_GB2312" w:hAnsi="仿宋" w:eastAsia="仿宋_GB2312"/>
          <w:color w:val="auto"/>
          <w:szCs w:val="24"/>
        </w:rPr>
        <w:t>1.5.4费用规定：</w:t>
      </w:r>
    </w:p>
    <w:p>
      <w:pPr>
        <w:pStyle w:val="9"/>
        <w:spacing w:line="360" w:lineRule="auto"/>
        <w:ind w:firstLine="525" w:firstLineChars="250"/>
        <w:rPr>
          <w:rFonts w:ascii="仿宋_GB2312" w:hAnsi="仿宋" w:eastAsia="仿宋_GB2312"/>
          <w:color w:val="auto"/>
          <w:szCs w:val="24"/>
        </w:rPr>
      </w:pPr>
      <w:r>
        <w:rPr>
          <w:rFonts w:hint="eastAsia" w:ascii="仿宋_GB2312" w:hAnsi="仿宋" w:eastAsia="仿宋_GB2312"/>
          <w:color w:val="auto"/>
          <w:szCs w:val="24"/>
        </w:rPr>
        <w:t xml:space="preserve"> 招标产生的各类相关费用（评标专家费、交易中心场地费、公告和信息发布费等）由招标代理机构自行承担。</w:t>
      </w:r>
    </w:p>
    <w:p>
      <w:pPr>
        <w:pStyle w:val="9"/>
        <w:spacing w:line="360" w:lineRule="auto"/>
        <w:ind w:firstLine="525" w:firstLineChars="250"/>
        <w:rPr>
          <w:rFonts w:ascii="仿宋_GB2312" w:hAnsi="仿宋" w:eastAsia="仿宋_GB2312"/>
          <w:color w:val="auto"/>
          <w:szCs w:val="24"/>
        </w:rPr>
      </w:pPr>
      <w:r>
        <w:rPr>
          <w:rFonts w:hint="eastAsia" w:ascii="仿宋_GB2312" w:hAnsi="仿宋" w:eastAsia="仿宋_GB2312"/>
          <w:color w:val="auto"/>
          <w:szCs w:val="24"/>
        </w:rPr>
        <w:t>同个项目一次招标不成功的，再次招标产生的各类相关费用（评标专家费、交易中心场地费、公告和信息发布费等）由招标代理机构自行承担。</w:t>
      </w:r>
    </w:p>
    <w:p>
      <w:pPr>
        <w:pStyle w:val="9"/>
        <w:spacing w:line="360" w:lineRule="auto"/>
        <w:rPr>
          <w:rFonts w:ascii="仿宋_GB2312" w:hAnsi="仿宋" w:eastAsia="仿宋_GB2312"/>
          <w:b/>
          <w:color w:val="auto"/>
          <w:szCs w:val="24"/>
        </w:rPr>
      </w:pPr>
      <w:r>
        <w:rPr>
          <w:rFonts w:hint="eastAsia" w:ascii="仿宋_GB2312" w:hAnsi="仿宋" w:eastAsia="仿宋_GB2312"/>
          <w:b/>
          <w:color w:val="auto"/>
          <w:szCs w:val="24"/>
        </w:rPr>
        <w:t>1.6招标代理服务内容和要求（包括但不限于）：</w:t>
      </w:r>
    </w:p>
    <w:p>
      <w:pPr>
        <w:pStyle w:val="9"/>
        <w:spacing w:line="360" w:lineRule="auto"/>
        <w:rPr>
          <w:rFonts w:ascii="仿宋_GB2312" w:hAnsi="仿宋" w:eastAsia="仿宋_GB2312"/>
          <w:color w:val="auto"/>
          <w:szCs w:val="24"/>
        </w:rPr>
      </w:pPr>
      <w:r>
        <w:rPr>
          <w:rFonts w:hint="eastAsia" w:ascii="仿宋_GB2312" w:hAnsi="仿宋" w:eastAsia="仿宋_GB2312"/>
          <w:color w:val="auto"/>
          <w:szCs w:val="24"/>
        </w:rPr>
        <w:t xml:space="preserve">    1.6.1代拟招标方案</w:t>
      </w:r>
    </w:p>
    <w:p>
      <w:pPr>
        <w:pStyle w:val="9"/>
        <w:spacing w:line="360" w:lineRule="auto"/>
        <w:rPr>
          <w:rFonts w:ascii="仿宋_GB2312" w:hAnsi="仿宋" w:eastAsia="仿宋_GB2312"/>
          <w:color w:val="auto"/>
          <w:szCs w:val="24"/>
        </w:rPr>
      </w:pPr>
      <w:r>
        <w:rPr>
          <w:rFonts w:hint="eastAsia" w:ascii="仿宋_GB2312" w:hAnsi="仿宋" w:eastAsia="仿宋_GB2312"/>
          <w:color w:val="auto"/>
          <w:szCs w:val="24"/>
        </w:rPr>
        <w:t xml:space="preserve">    1.6.2向招投标监督管理部门提出招标申请，发布招标公告</w:t>
      </w:r>
    </w:p>
    <w:p>
      <w:pPr>
        <w:pStyle w:val="9"/>
        <w:spacing w:line="360" w:lineRule="auto"/>
        <w:rPr>
          <w:rFonts w:ascii="仿宋_GB2312" w:hAnsi="仿宋" w:eastAsia="仿宋_GB2312"/>
          <w:color w:val="auto"/>
          <w:szCs w:val="24"/>
        </w:rPr>
      </w:pPr>
      <w:r>
        <w:rPr>
          <w:rFonts w:hint="eastAsia" w:ascii="仿宋_GB2312" w:hAnsi="仿宋" w:eastAsia="仿宋_GB2312"/>
          <w:color w:val="auto"/>
          <w:szCs w:val="24"/>
        </w:rPr>
        <w:t xml:space="preserve">    1.6.3编制资格预审文件</w:t>
      </w:r>
    </w:p>
    <w:p>
      <w:pPr>
        <w:pStyle w:val="9"/>
        <w:spacing w:line="360" w:lineRule="auto"/>
        <w:rPr>
          <w:rFonts w:ascii="仿宋_GB2312" w:hAnsi="仿宋" w:eastAsia="仿宋_GB2312"/>
          <w:color w:val="auto"/>
          <w:szCs w:val="24"/>
        </w:rPr>
      </w:pPr>
      <w:r>
        <w:rPr>
          <w:rFonts w:hint="eastAsia" w:ascii="仿宋_GB2312" w:hAnsi="仿宋" w:eastAsia="仿宋_GB2312"/>
          <w:color w:val="auto"/>
          <w:szCs w:val="24"/>
        </w:rPr>
        <w:t xml:space="preserve">    1.6.4组织接收投标申请人报名</w:t>
      </w:r>
    </w:p>
    <w:p>
      <w:pPr>
        <w:pStyle w:val="9"/>
        <w:spacing w:line="360" w:lineRule="auto"/>
        <w:rPr>
          <w:rFonts w:ascii="仿宋_GB2312" w:hAnsi="仿宋" w:eastAsia="仿宋_GB2312"/>
          <w:color w:val="auto"/>
          <w:szCs w:val="24"/>
        </w:rPr>
      </w:pPr>
      <w:r>
        <w:rPr>
          <w:rFonts w:hint="eastAsia" w:ascii="仿宋_GB2312" w:hAnsi="仿宋" w:eastAsia="仿宋_GB2312"/>
          <w:color w:val="auto"/>
          <w:szCs w:val="24"/>
        </w:rPr>
        <w:t xml:space="preserve">    1.6.5审查潜在投标人资格，确定潜在投标人</w:t>
      </w:r>
    </w:p>
    <w:p>
      <w:pPr>
        <w:pStyle w:val="9"/>
        <w:spacing w:line="360" w:lineRule="auto"/>
        <w:rPr>
          <w:rFonts w:ascii="仿宋_GB2312" w:hAnsi="仿宋" w:eastAsia="仿宋_GB2312"/>
          <w:color w:val="auto"/>
          <w:szCs w:val="24"/>
        </w:rPr>
      </w:pPr>
      <w:r>
        <w:rPr>
          <w:rFonts w:hint="eastAsia" w:ascii="仿宋_GB2312" w:hAnsi="仿宋" w:eastAsia="仿宋_GB2312"/>
          <w:color w:val="auto"/>
          <w:szCs w:val="24"/>
        </w:rPr>
        <w:t xml:space="preserve">    1.6.6编制招标文件</w:t>
      </w:r>
    </w:p>
    <w:p>
      <w:pPr>
        <w:pStyle w:val="9"/>
        <w:spacing w:line="360" w:lineRule="auto"/>
        <w:rPr>
          <w:rFonts w:ascii="仿宋_GB2312" w:hAnsi="仿宋" w:eastAsia="仿宋_GB2312"/>
          <w:color w:val="auto"/>
          <w:szCs w:val="24"/>
        </w:rPr>
      </w:pPr>
      <w:r>
        <w:rPr>
          <w:rFonts w:hint="eastAsia" w:ascii="仿宋_GB2312" w:hAnsi="仿宋" w:eastAsia="仿宋_GB2312"/>
          <w:color w:val="auto"/>
          <w:szCs w:val="24"/>
        </w:rPr>
        <w:t xml:space="preserve">    1.6.7组织答疑 </w:t>
      </w:r>
    </w:p>
    <w:p>
      <w:pPr>
        <w:pStyle w:val="9"/>
        <w:spacing w:line="360" w:lineRule="auto"/>
        <w:rPr>
          <w:rFonts w:ascii="仿宋_GB2312" w:hAnsi="仿宋" w:eastAsia="仿宋_GB2312"/>
          <w:color w:val="auto"/>
          <w:szCs w:val="24"/>
        </w:rPr>
      </w:pPr>
      <w:r>
        <w:rPr>
          <w:rFonts w:hint="eastAsia" w:ascii="仿宋_GB2312" w:hAnsi="仿宋" w:eastAsia="仿宋_GB2312"/>
          <w:color w:val="auto"/>
          <w:szCs w:val="24"/>
        </w:rPr>
        <w:t xml:space="preserve">    1.6.8组织开标、评标</w:t>
      </w:r>
    </w:p>
    <w:p>
      <w:pPr>
        <w:pStyle w:val="9"/>
        <w:spacing w:line="360" w:lineRule="auto"/>
        <w:rPr>
          <w:rFonts w:ascii="仿宋_GB2312" w:hAnsi="仿宋" w:eastAsia="仿宋_GB2312"/>
          <w:color w:val="auto"/>
          <w:szCs w:val="24"/>
        </w:rPr>
      </w:pPr>
      <w:r>
        <w:rPr>
          <w:rFonts w:hint="eastAsia" w:ascii="仿宋_GB2312" w:hAnsi="仿宋" w:eastAsia="仿宋_GB2312"/>
          <w:color w:val="auto"/>
          <w:szCs w:val="24"/>
        </w:rPr>
        <w:t xml:space="preserve">    1.6.9草拟合同并协助合同谈判</w:t>
      </w:r>
    </w:p>
    <w:p>
      <w:pPr>
        <w:pStyle w:val="9"/>
        <w:spacing w:line="360" w:lineRule="auto"/>
        <w:rPr>
          <w:rFonts w:ascii="仿宋_GB2312" w:hAnsi="仿宋" w:eastAsia="仿宋_GB2312"/>
          <w:color w:val="auto"/>
          <w:szCs w:val="24"/>
        </w:rPr>
      </w:pPr>
      <w:r>
        <w:rPr>
          <w:rFonts w:hint="eastAsia" w:ascii="仿宋_GB2312" w:hAnsi="仿宋" w:eastAsia="仿宋_GB2312"/>
          <w:color w:val="auto"/>
          <w:szCs w:val="24"/>
        </w:rPr>
        <w:t xml:space="preserve">    1.6.10编制招投标情况书面报告</w:t>
      </w:r>
    </w:p>
    <w:p>
      <w:pPr>
        <w:pStyle w:val="9"/>
        <w:spacing w:line="360" w:lineRule="auto"/>
        <w:rPr>
          <w:rFonts w:ascii="仿宋_GB2312" w:hAnsi="仿宋" w:eastAsia="仿宋_GB2312"/>
          <w:color w:val="auto"/>
          <w:szCs w:val="24"/>
        </w:rPr>
      </w:pPr>
      <w:r>
        <w:rPr>
          <w:rFonts w:hint="eastAsia" w:ascii="仿宋_GB2312" w:hAnsi="仿宋" w:eastAsia="仿宋_GB2312"/>
          <w:color w:val="auto"/>
          <w:szCs w:val="24"/>
        </w:rPr>
        <w:t xml:space="preserve">    1.6.11负责起草询标纪要，分析投标文件，负责询标会议的会务安排及有关事项的落实</w:t>
      </w:r>
    </w:p>
    <w:p>
      <w:pPr>
        <w:pStyle w:val="9"/>
        <w:spacing w:line="360" w:lineRule="auto"/>
        <w:ind w:firstLine="420"/>
        <w:rPr>
          <w:rFonts w:ascii="仿宋_GB2312" w:hAnsi="仿宋" w:eastAsia="仿宋_GB2312"/>
          <w:b/>
          <w:color w:val="auto"/>
          <w:szCs w:val="24"/>
        </w:rPr>
      </w:pPr>
      <w:r>
        <w:rPr>
          <w:rFonts w:hint="eastAsia" w:ascii="仿宋_GB2312" w:hAnsi="仿宋" w:eastAsia="仿宋_GB2312"/>
          <w:b/>
          <w:color w:val="auto"/>
          <w:szCs w:val="24"/>
        </w:rPr>
        <w:t>1.6.12 工程类的招标代理服务中标单位同时承担采购人的项目清单预算编制工作，预算编制费用另行参照国家相关标准或双方达成的意见收费。</w:t>
      </w:r>
    </w:p>
    <w:p>
      <w:pPr>
        <w:pStyle w:val="9"/>
        <w:spacing w:line="360" w:lineRule="auto"/>
        <w:ind w:firstLine="420" w:firstLineChars="200"/>
        <w:rPr>
          <w:rFonts w:ascii="仿宋_GB2312" w:hAnsi="仿宋" w:eastAsia="仿宋_GB2312"/>
          <w:color w:val="auto"/>
          <w:szCs w:val="24"/>
        </w:rPr>
      </w:pPr>
      <w:r>
        <w:rPr>
          <w:rFonts w:hint="eastAsia" w:ascii="仿宋_GB2312" w:hAnsi="仿宋" w:eastAsia="仿宋_GB2312"/>
          <w:color w:val="auto"/>
          <w:szCs w:val="24"/>
        </w:rPr>
        <w:t>1.6.13与招标采购有关的其它事宜。</w:t>
      </w:r>
    </w:p>
    <w:p>
      <w:pPr>
        <w:tabs>
          <w:tab w:val="left" w:pos="3780"/>
        </w:tabs>
        <w:spacing w:line="360" w:lineRule="auto"/>
        <w:rPr>
          <w:rFonts w:ascii="仿宋_GB2312" w:eastAsia="仿宋_GB2312"/>
          <w:color w:val="auto"/>
        </w:rPr>
      </w:pPr>
      <w:r>
        <w:rPr>
          <w:rFonts w:hint="eastAsia" w:ascii="仿宋_GB2312" w:hAnsi="仿宋" w:eastAsia="仿宋_GB2312"/>
          <w:b/>
          <w:color w:val="auto"/>
        </w:rPr>
        <w:t>1.7</w:t>
      </w:r>
      <w:r>
        <w:rPr>
          <w:rFonts w:hint="eastAsia" w:ascii="仿宋_GB2312" w:hAnsi="宋体" w:eastAsia="仿宋_GB2312"/>
          <w:color w:val="auto"/>
        </w:rPr>
        <w:t>投标人须对所投产品、方案、技术、服务等拥有</w:t>
      </w:r>
      <w:r>
        <w:rPr>
          <w:rFonts w:hint="eastAsia" w:ascii="仿宋_GB2312" w:hAnsi="宋体" w:eastAsia="仿宋_GB2312" w:cs="Vrinda"/>
          <w:color w:val="auto"/>
        </w:rPr>
        <w:t>合法的占有和处置权，并对涉及项目的</w:t>
      </w:r>
      <w:r>
        <w:rPr>
          <w:rFonts w:hint="eastAsia" w:ascii="仿宋_GB2312" w:hAnsi="宋体" w:eastAsia="仿宋_GB2312"/>
          <w:color w:val="auto"/>
        </w:rPr>
        <w:t>所有内容可能侵权行为指控负责，保证不伤害采购人的利益。在法律范围内，如果出现文字、图片、商标和技术等侵权行为而造成的纠纷和产生的一切费用，采购人概不负责，由此给采购人造成损失的，</w:t>
      </w:r>
      <w:r>
        <w:rPr>
          <w:rFonts w:hint="eastAsia" w:ascii="仿宋_GB2312" w:eastAsia="仿宋_GB2312"/>
          <w:color w:val="auto"/>
          <w:kern w:val="0"/>
          <w:lang w:val="zh-CN"/>
        </w:rPr>
        <w:t>供应商</w:t>
      </w:r>
      <w:r>
        <w:rPr>
          <w:rFonts w:hint="eastAsia" w:ascii="仿宋_GB2312" w:eastAsia="仿宋_GB2312"/>
          <w:color w:val="auto"/>
        </w:rPr>
        <w:t>应承担相应后果，</w:t>
      </w:r>
      <w:r>
        <w:rPr>
          <w:rFonts w:hint="eastAsia" w:ascii="仿宋_GB2312" w:eastAsia="仿宋_GB2312"/>
          <w:color w:val="auto"/>
          <w:kern w:val="0"/>
          <w:lang w:val="zh-CN"/>
        </w:rPr>
        <w:t>并负责赔偿。</w:t>
      </w:r>
      <w:r>
        <w:rPr>
          <w:rFonts w:hint="eastAsia" w:ascii="仿宋_GB2312" w:eastAsia="仿宋_GB2312"/>
          <w:color w:val="auto"/>
        </w:rPr>
        <w:t>供应商为执行本项目合同而提供的技术资料等归采购人所有。</w:t>
      </w:r>
    </w:p>
    <w:p>
      <w:pPr>
        <w:pStyle w:val="9"/>
        <w:spacing w:line="360" w:lineRule="auto"/>
        <w:rPr>
          <w:rFonts w:ascii="仿宋_GB2312" w:hAnsi="仿宋" w:eastAsia="仿宋_GB2312"/>
          <w:b/>
          <w:color w:val="auto"/>
          <w:szCs w:val="24"/>
        </w:rPr>
      </w:pPr>
      <w:bookmarkStart w:id="15" w:name="_Toc91899873"/>
      <w:r>
        <w:rPr>
          <w:rFonts w:hint="eastAsia" w:ascii="仿宋_GB2312" w:hAnsi="仿宋" w:eastAsia="仿宋_GB2312"/>
          <w:b/>
          <w:color w:val="auto"/>
          <w:szCs w:val="24"/>
        </w:rPr>
        <w:t>1.8采购方式</w:t>
      </w:r>
      <w:bookmarkEnd w:id="15"/>
    </w:p>
    <w:p>
      <w:pPr>
        <w:tabs>
          <w:tab w:val="left" w:pos="3780"/>
        </w:tabs>
        <w:spacing w:line="360" w:lineRule="auto"/>
        <w:ind w:firstLine="420" w:firstLineChars="200"/>
        <w:rPr>
          <w:rFonts w:ascii="仿宋_GB2312" w:hAnsi="仿宋" w:eastAsia="仿宋_GB2312"/>
          <w:color w:val="auto"/>
        </w:rPr>
      </w:pPr>
      <w:r>
        <w:rPr>
          <w:rFonts w:hint="eastAsia" w:ascii="仿宋_GB2312" w:hAnsi="仿宋" w:eastAsia="仿宋_GB2312"/>
          <w:color w:val="auto"/>
        </w:rPr>
        <w:t>单位自行组织。</w:t>
      </w:r>
      <w:bookmarkEnd w:id="13"/>
      <w:bookmarkEnd w:id="14"/>
      <w:bookmarkStart w:id="16" w:name="_Hlt68516771"/>
      <w:bookmarkEnd w:id="16"/>
      <w:bookmarkStart w:id="17" w:name="_Hlt74729768"/>
      <w:bookmarkEnd w:id="17"/>
      <w:bookmarkStart w:id="18" w:name="_Hlt68057669"/>
      <w:bookmarkEnd w:id="18"/>
      <w:bookmarkStart w:id="19" w:name="_Hlt68072990"/>
      <w:bookmarkEnd w:id="19"/>
      <w:bookmarkStart w:id="20" w:name="_Hlt75236290"/>
      <w:bookmarkEnd w:id="20"/>
      <w:bookmarkStart w:id="21" w:name="_Hlt74388212"/>
      <w:bookmarkEnd w:id="21"/>
      <w:bookmarkStart w:id="22" w:name="_Hlt74707468"/>
      <w:bookmarkEnd w:id="22"/>
      <w:bookmarkStart w:id="23" w:name="_Toc91899879"/>
    </w:p>
    <w:p>
      <w:pPr>
        <w:pStyle w:val="9"/>
        <w:spacing w:line="360" w:lineRule="auto"/>
        <w:rPr>
          <w:rFonts w:ascii="仿宋_GB2312" w:hAnsi="仿宋" w:eastAsia="仿宋_GB2312"/>
          <w:b/>
          <w:color w:val="auto"/>
          <w:szCs w:val="24"/>
        </w:rPr>
      </w:pPr>
      <w:r>
        <w:rPr>
          <w:rFonts w:hint="eastAsia" w:ascii="仿宋_GB2312" w:hAnsi="仿宋" w:eastAsia="仿宋_GB2312"/>
          <w:b/>
          <w:color w:val="auto"/>
          <w:szCs w:val="24"/>
        </w:rPr>
        <w:t>1.9服务期限</w:t>
      </w:r>
    </w:p>
    <w:p>
      <w:pPr>
        <w:tabs>
          <w:tab w:val="left" w:pos="3780"/>
        </w:tabs>
        <w:spacing w:line="360" w:lineRule="auto"/>
        <w:ind w:firstLine="420" w:firstLineChars="200"/>
        <w:rPr>
          <w:rFonts w:ascii="仿宋_GB2312" w:hAnsi="仿宋" w:eastAsia="仿宋_GB2312"/>
          <w:color w:val="auto"/>
          <w:highlight w:val="green"/>
        </w:rPr>
      </w:pPr>
      <w:r>
        <w:rPr>
          <w:rFonts w:ascii="仿宋_GB2312" w:hAnsi="仿宋" w:eastAsia="仿宋_GB2312"/>
          <w:color w:val="auto"/>
          <w:highlight w:val="green"/>
        </w:rPr>
        <w:t>一年。甲方可与每季度考核分数在90分（包括90分）以上的乙方续签合同。如续签，则续签合同期限不超过1年，续签不超过2次，全部合同累计时间最长3年，同时新一期的合同服务要求和费用与上一期相同。如因国家法律法规、政策变动或主管单位文件、命令、突发公告卫生事件等要求，甲方亦可提前终止合同，需提前30天书面通知乙方。</w:t>
      </w:r>
    </w:p>
    <w:p>
      <w:pPr>
        <w:pStyle w:val="2"/>
        <w:ind w:firstLine="240"/>
        <w:rPr>
          <w:color w:val="auto"/>
          <w:lang w:val="en-US"/>
        </w:rPr>
      </w:pPr>
    </w:p>
    <w:p>
      <w:pPr>
        <w:adjustRightInd/>
        <w:spacing w:line="360" w:lineRule="auto"/>
        <w:jc w:val="center"/>
        <w:outlineLvl w:val="0"/>
        <w:rPr>
          <w:rFonts w:ascii="仿宋_GB2312" w:hAnsi="仿宋" w:eastAsia="仿宋_GB2312"/>
          <w:b/>
          <w:color w:val="auto"/>
          <w:sz w:val="32"/>
          <w:szCs w:val="20"/>
        </w:rPr>
      </w:pPr>
      <w:r>
        <w:rPr>
          <w:rFonts w:hint="eastAsia" w:ascii="仿宋_GB2312" w:hAnsi="仿宋" w:eastAsia="仿宋_GB2312"/>
          <w:b/>
          <w:color w:val="auto"/>
          <w:sz w:val="32"/>
          <w:szCs w:val="20"/>
        </w:rPr>
        <w:t>二、</w:t>
      </w:r>
      <w:bookmarkEnd w:id="23"/>
      <w:r>
        <w:rPr>
          <w:rFonts w:hint="eastAsia" w:ascii="仿宋_GB2312" w:hAnsi="仿宋" w:eastAsia="仿宋_GB2312"/>
          <w:b/>
          <w:color w:val="auto"/>
          <w:sz w:val="32"/>
          <w:szCs w:val="20"/>
        </w:rPr>
        <w:t>投标须知</w:t>
      </w:r>
    </w:p>
    <w:p>
      <w:pPr>
        <w:pStyle w:val="9"/>
        <w:spacing w:line="360" w:lineRule="auto"/>
        <w:rPr>
          <w:rFonts w:ascii="仿宋_GB2312" w:hAnsi="仿宋" w:eastAsia="仿宋_GB2312"/>
          <w:b/>
          <w:color w:val="auto"/>
          <w:szCs w:val="24"/>
        </w:rPr>
      </w:pPr>
      <w:bookmarkStart w:id="24" w:name="_Toc91899880"/>
      <w:bookmarkStart w:id="25" w:name="_Hlt74730307"/>
    </w:p>
    <w:p>
      <w:pPr>
        <w:pStyle w:val="9"/>
        <w:spacing w:line="360" w:lineRule="auto"/>
        <w:rPr>
          <w:rFonts w:ascii="仿宋_GB2312" w:hAnsi="仿宋" w:eastAsia="仿宋_GB2312"/>
          <w:b/>
          <w:color w:val="auto"/>
          <w:szCs w:val="24"/>
        </w:rPr>
      </w:pPr>
      <w:r>
        <w:rPr>
          <w:rFonts w:hint="eastAsia" w:ascii="仿宋_GB2312" w:hAnsi="仿宋" w:eastAsia="仿宋_GB2312"/>
          <w:b/>
          <w:color w:val="auto"/>
          <w:szCs w:val="24"/>
        </w:rPr>
        <w:t>2.1招标方式</w:t>
      </w:r>
    </w:p>
    <w:p>
      <w:pPr>
        <w:pStyle w:val="9"/>
        <w:spacing w:line="360" w:lineRule="auto"/>
        <w:rPr>
          <w:rFonts w:ascii="仿宋_GB2312" w:hAnsi="仿宋" w:eastAsia="仿宋_GB2312"/>
          <w:color w:val="auto"/>
          <w:szCs w:val="21"/>
        </w:rPr>
      </w:pPr>
      <w:r>
        <w:rPr>
          <w:rFonts w:hint="eastAsia" w:ascii="仿宋_GB2312" w:hAnsi="仿宋" w:eastAsia="仿宋_GB2312"/>
          <w:color w:val="auto"/>
          <w:sz w:val="18"/>
          <w:szCs w:val="18"/>
        </w:rPr>
        <w:t xml:space="preserve">    </w:t>
      </w:r>
      <w:r>
        <w:rPr>
          <w:rFonts w:hint="eastAsia" w:ascii="仿宋_GB2312" w:hAnsi="仿宋" w:eastAsia="仿宋_GB2312"/>
          <w:color w:val="auto"/>
          <w:szCs w:val="21"/>
        </w:rPr>
        <w:t>本次招标参考《中华人民共和国政府采购法》和《中华人民共和国政府采购法实施条例》等有关法律法规组织和实施。采取公开招标方式，坚持平等投标、公平评标、择优定标的原则，维护招投标双方的合法权益。</w:t>
      </w:r>
    </w:p>
    <w:p>
      <w:pPr>
        <w:pStyle w:val="9"/>
        <w:spacing w:line="360" w:lineRule="auto"/>
        <w:rPr>
          <w:rFonts w:ascii="仿宋_GB2312" w:hAnsi="仿宋" w:eastAsia="仿宋_GB2312"/>
          <w:b/>
          <w:color w:val="auto"/>
          <w:szCs w:val="24"/>
        </w:rPr>
      </w:pPr>
      <w:r>
        <w:rPr>
          <w:rFonts w:hint="eastAsia" w:ascii="仿宋_GB2312" w:hAnsi="仿宋" w:eastAsia="仿宋_GB2312"/>
          <w:color w:val="auto"/>
          <w:szCs w:val="24"/>
        </w:rPr>
        <w:t xml:space="preserve">   </w:t>
      </w:r>
      <w:r>
        <w:rPr>
          <w:rFonts w:hint="eastAsia" w:ascii="仿宋_GB2312" w:hAnsi="仿宋" w:eastAsia="仿宋_GB2312"/>
          <w:b/>
          <w:color w:val="auto"/>
          <w:szCs w:val="24"/>
        </w:rPr>
        <w:t xml:space="preserve"> 2.2资格条件</w:t>
      </w:r>
    </w:p>
    <w:p>
      <w:pPr>
        <w:pStyle w:val="9"/>
        <w:spacing w:line="360" w:lineRule="auto"/>
        <w:rPr>
          <w:rFonts w:ascii="仿宋_GB2312" w:hAnsi="仿宋" w:eastAsia="仿宋_GB2312"/>
          <w:color w:val="auto"/>
          <w:szCs w:val="24"/>
        </w:rPr>
      </w:pPr>
      <w:r>
        <w:rPr>
          <w:rFonts w:hint="eastAsia" w:ascii="仿宋_GB2312" w:hAnsi="仿宋" w:eastAsia="仿宋_GB2312"/>
          <w:color w:val="auto"/>
          <w:szCs w:val="24"/>
        </w:rPr>
        <w:t xml:space="preserve">    2.2.1投标人资格要求见招标公告所述。</w:t>
      </w:r>
    </w:p>
    <w:p>
      <w:pPr>
        <w:pStyle w:val="9"/>
        <w:spacing w:line="360" w:lineRule="auto"/>
        <w:rPr>
          <w:rFonts w:ascii="仿宋_GB2312" w:hAnsi="仿宋" w:eastAsia="仿宋_GB2312"/>
          <w:color w:val="auto"/>
          <w:szCs w:val="24"/>
        </w:rPr>
      </w:pPr>
      <w:r>
        <w:rPr>
          <w:rFonts w:hint="eastAsia" w:ascii="仿宋_GB2312" w:hAnsi="仿宋" w:eastAsia="仿宋_GB2312"/>
          <w:color w:val="auto"/>
          <w:szCs w:val="24"/>
        </w:rPr>
        <w:t xml:space="preserve">    2.2.2本项目采用资格后审方式确定合格投标人。</w:t>
      </w:r>
    </w:p>
    <w:p>
      <w:pPr>
        <w:pStyle w:val="9"/>
        <w:spacing w:line="360" w:lineRule="auto"/>
        <w:rPr>
          <w:rFonts w:ascii="仿宋_GB2312" w:hAnsi="仿宋" w:eastAsia="仿宋_GB2312"/>
          <w:b/>
          <w:color w:val="auto"/>
          <w:szCs w:val="24"/>
        </w:rPr>
      </w:pPr>
      <w:r>
        <w:rPr>
          <w:rFonts w:hint="eastAsia" w:ascii="仿宋_GB2312" w:hAnsi="仿宋" w:eastAsia="仿宋_GB2312"/>
          <w:color w:val="auto"/>
          <w:szCs w:val="24"/>
        </w:rPr>
        <w:t xml:space="preserve">    </w:t>
      </w:r>
      <w:r>
        <w:rPr>
          <w:rFonts w:hint="eastAsia" w:ascii="仿宋_GB2312" w:hAnsi="仿宋" w:eastAsia="仿宋_GB2312"/>
          <w:b/>
          <w:color w:val="auto"/>
          <w:szCs w:val="24"/>
        </w:rPr>
        <w:t>2.3招标文件</w:t>
      </w:r>
    </w:p>
    <w:p>
      <w:pPr>
        <w:pStyle w:val="9"/>
        <w:spacing w:line="360" w:lineRule="auto"/>
        <w:rPr>
          <w:rFonts w:ascii="仿宋_GB2312" w:hAnsi="仿宋" w:eastAsia="仿宋_GB2312"/>
          <w:b/>
          <w:bCs/>
          <w:color w:val="auto"/>
          <w:szCs w:val="24"/>
        </w:rPr>
      </w:pPr>
      <w:r>
        <w:rPr>
          <w:rFonts w:hint="eastAsia" w:ascii="仿宋_GB2312" w:hAnsi="仿宋" w:eastAsia="仿宋_GB2312"/>
          <w:color w:val="auto"/>
          <w:szCs w:val="24"/>
        </w:rPr>
        <w:t xml:space="preserve">    </w:t>
      </w:r>
      <w:r>
        <w:rPr>
          <w:rFonts w:hint="eastAsia" w:ascii="仿宋_GB2312" w:hAnsi="仿宋" w:eastAsia="仿宋_GB2312"/>
          <w:b/>
          <w:bCs/>
          <w:color w:val="auto"/>
          <w:szCs w:val="24"/>
        </w:rPr>
        <w:t>2.3.1 招标文件内容：</w:t>
      </w:r>
    </w:p>
    <w:p>
      <w:pPr>
        <w:pStyle w:val="9"/>
        <w:spacing w:line="360" w:lineRule="auto"/>
        <w:rPr>
          <w:rFonts w:ascii="仿宋_GB2312" w:hAnsi="仿宋" w:eastAsia="仿宋_GB2312"/>
          <w:color w:val="auto"/>
          <w:szCs w:val="24"/>
        </w:rPr>
      </w:pPr>
      <w:r>
        <w:rPr>
          <w:rFonts w:hint="eastAsia" w:ascii="仿宋_GB2312" w:hAnsi="仿宋" w:eastAsia="仿宋_GB2312"/>
          <w:color w:val="auto"/>
          <w:szCs w:val="24"/>
        </w:rPr>
        <w:t xml:space="preserve">    1)招标公告</w:t>
      </w:r>
    </w:p>
    <w:p>
      <w:pPr>
        <w:pStyle w:val="9"/>
        <w:spacing w:line="360" w:lineRule="auto"/>
        <w:ind w:firstLine="420" w:firstLineChars="200"/>
        <w:rPr>
          <w:rFonts w:ascii="仿宋_GB2312" w:hAnsi="仿宋" w:eastAsia="仿宋_GB2312"/>
          <w:color w:val="auto"/>
          <w:szCs w:val="24"/>
        </w:rPr>
      </w:pPr>
      <w:r>
        <w:rPr>
          <w:rFonts w:hint="eastAsia" w:ascii="仿宋_GB2312" w:hAnsi="仿宋" w:eastAsia="仿宋_GB2312"/>
          <w:color w:val="auto"/>
          <w:szCs w:val="24"/>
        </w:rPr>
        <w:t>2)编制和提交采购响应文件须知</w:t>
      </w:r>
    </w:p>
    <w:p>
      <w:pPr>
        <w:pStyle w:val="9"/>
        <w:spacing w:line="360" w:lineRule="auto"/>
        <w:ind w:firstLine="420" w:firstLineChars="200"/>
        <w:rPr>
          <w:rFonts w:ascii="仿宋_GB2312" w:hAnsi="仿宋" w:eastAsia="仿宋_GB2312"/>
          <w:color w:val="auto"/>
          <w:szCs w:val="24"/>
        </w:rPr>
      </w:pPr>
      <w:r>
        <w:rPr>
          <w:rFonts w:hint="eastAsia" w:ascii="仿宋_GB2312" w:hAnsi="仿宋" w:eastAsia="仿宋_GB2312"/>
          <w:color w:val="auto"/>
          <w:szCs w:val="24"/>
        </w:rPr>
        <w:t>3)评标办法及评分标准</w:t>
      </w:r>
    </w:p>
    <w:p>
      <w:pPr>
        <w:pStyle w:val="9"/>
        <w:spacing w:line="360" w:lineRule="auto"/>
        <w:ind w:firstLine="420" w:firstLineChars="200"/>
        <w:rPr>
          <w:rFonts w:ascii="仿宋_GB2312" w:hAnsi="仿宋" w:eastAsia="仿宋_GB2312"/>
          <w:color w:val="auto"/>
          <w:szCs w:val="24"/>
        </w:rPr>
      </w:pPr>
      <w:r>
        <w:rPr>
          <w:rFonts w:hint="eastAsia" w:ascii="仿宋_GB2312" w:hAnsi="仿宋" w:eastAsia="仿宋_GB2312"/>
          <w:color w:val="auto"/>
          <w:szCs w:val="24"/>
        </w:rPr>
        <w:t>4)项目技术规范和服务要求</w:t>
      </w:r>
    </w:p>
    <w:p>
      <w:pPr>
        <w:pStyle w:val="9"/>
        <w:spacing w:line="360" w:lineRule="auto"/>
        <w:ind w:firstLine="420" w:firstLineChars="200"/>
        <w:rPr>
          <w:rFonts w:ascii="仿宋_GB2312" w:hAnsi="仿宋" w:eastAsia="仿宋_GB2312"/>
          <w:color w:val="auto"/>
          <w:szCs w:val="24"/>
        </w:rPr>
      </w:pPr>
      <w:r>
        <w:rPr>
          <w:rFonts w:hint="eastAsia" w:ascii="仿宋_GB2312" w:hAnsi="仿宋" w:eastAsia="仿宋_GB2312"/>
          <w:color w:val="auto"/>
          <w:szCs w:val="24"/>
        </w:rPr>
        <w:t>5)采购合同的一般和特殊条款</w:t>
      </w:r>
    </w:p>
    <w:p>
      <w:pPr>
        <w:pStyle w:val="9"/>
        <w:spacing w:line="360" w:lineRule="auto"/>
        <w:ind w:firstLine="420" w:firstLineChars="200"/>
        <w:rPr>
          <w:rFonts w:ascii="仿宋_GB2312" w:hAnsi="仿宋" w:eastAsia="仿宋_GB2312"/>
          <w:color w:val="auto"/>
          <w:szCs w:val="24"/>
        </w:rPr>
      </w:pPr>
      <w:r>
        <w:rPr>
          <w:rFonts w:hint="eastAsia" w:ascii="仿宋_GB2312" w:hAnsi="仿宋" w:eastAsia="仿宋_GB2312"/>
          <w:color w:val="auto"/>
          <w:szCs w:val="24"/>
        </w:rPr>
        <w:t>6)应提交的有关格式范例</w:t>
      </w:r>
    </w:p>
    <w:p>
      <w:pPr>
        <w:pStyle w:val="9"/>
        <w:spacing w:line="360" w:lineRule="auto"/>
        <w:ind w:firstLine="420" w:firstLineChars="200"/>
        <w:rPr>
          <w:rFonts w:ascii="仿宋_GB2312" w:hAnsi="仿宋" w:eastAsia="仿宋_GB2312"/>
          <w:color w:val="auto"/>
          <w:szCs w:val="24"/>
        </w:rPr>
      </w:pPr>
      <w:r>
        <w:rPr>
          <w:rFonts w:hint="eastAsia" w:ascii="仿宋_GB2312" w:hAnsi="仿宋" w:eastAsia="仿宋_GB2312"/>
          <w:color w:val="auto"/>
          <w:szCs w:val="24"/>
        </w:rPr>
        <w:t>除上述所列内容外，招标人单位的任何工作人员对投标人所作的任何口头解释、介绍、答复，只能供投标人参考，对招标人和投标人无任何约束力。</w:t>
      </w:r>
    </w:p>
    <w:p>
      <w:pPr>
        <w:pStyle w:val="9"/>
        <w:spacing w:line="360" w:lineRule="auto"/>
        <w:rPr>
          <w:rFonts w:ascii="仿宋_GB2312" w:hAnsi="仿宋" w:eastAsia="仿宋_GB2312"/>
          <w:b/>
          <w:color w:val="auto"/>
          <w:szCs w:val="24"/>
        </w:rPr>
      </w:pPr>
      <w:r>
        <w:rPr>
          <w:rFonts w:hint="eastAsia" w:ascii="仿宋_GB2312" w:hAnsi="仿宋" w:eastAsia="仿宋_GB2312"/>
          <w:b/>
          <w:color w:val="auto"/>
          <w:szCs w:val="24"/>
        </w:rPr>
        <w:t xml:space="preserve">    2.3.2审阅招标文件 </w:t>
      </w:r>
    </w:p>
    <w:p>
      <w:pPr>
        <w:pStyle w:val="9"/>
        <w:spacing w:line="360" w:lineRule="auto"/>
        <w:rPr>
          <w:rFonts w:ascii="仿宋_GB2312" w:hAnsi="仿宋" w:eastAsia="仿宋_GB2312"/>
          <w:color w:val="auto"/>
          <w:szCs w:val="24"/>
        </w:rPr>
      </w:pPr>
      <w:r>
        <w:rPr>
          <w:rFonts w:hint="eastAsia" w:ascii="仿宋_GB2312" w:hAnsi="仿宋" w:eastAsia="仿宋_GB2312"/>
          <w:color w:val="auto"/>
          <w:szCs w:val="24"/>
        </w:rPr>
        <w:t xml:space="preserve">    投标人应认真审阅招标文件中所有的须知、条件、格式、条款、规范，如果投标人的投标文件不能满足招标文件的要求，责任由投标人自负。不符合招标文件实质性要求的投标文件都将有可能被否决。</w:t>
      </w:r>
    </w:p>
    <w:p>
      <w:pPr>
        <w:pStyle w:val="9"/>
        <w:spacing w:line="360" w:lineRule="auto"/>
        <w:rPr>
          <w:rFonts w:ascii="仿宋_GB2312" w:hAnsi="仿宋" w:eastAsia="仿宋_GB2312"/>
          <w:b/>
          <w:color w:val="auto"/>
          <w:szCs w:val="24"/>
        </w:rPr>
      </w:pPr>
      <w:r>
        <w:rPr>
          <w:rFonts w:hint="eastAsia" w:ascii="仿宋_GB2312" w:hAnsi="仿宋" w:eastAsia="仿宋_GB2312"/>
          <w:color w:val="auto"/>
          <w:szCs w:val="24"/>
        </w:rPr>
        <w:t xml:space="preserve">    </w:t>
      </w:r>
      <w:r>
        <w:rPr>
          <w:rFonts w:hint="eastAsia" w:ascii="仿宋_GB2312" w:hAnsi="仿宋" w:eastAsia="仿宋_GB2312"/>
          <w:b/>
          <w:color w:val="auto"/>
          <w:szCs w:val="24"/>
        </w:rPr>
        <w:t xml:space="preserve"> 2.3.3招标文件的澄清</w:t>
      </w:r>
    </w:p>
    <w:p>
      <w:pPr>
        <w:pStyle w:val="9"/>
        <w:spacing w:line="360" w:lineRule="auto"/>
        <w:rPr>
          <w:rFonts w:ascii="仿宋_GB2312" w:hAnsi="仿宋" w:eastAsia="仿宋_GB2312"/>
          <w:color w:val="auto"/>
          <w:szCs w:val="24"/>
        </w:rPr>
      </w:pPr>
      <w:r>
        <w:rPr>
          <w:rFonts w:hint="eastAsia" w:ascii="仿宋_GB2312" w:hAnsi="仿宋" w:eastAsia="仿宋_GB2312"/>
          <w:color w:val="auto"/>
          <w:szCs w:val="24"/>
        </w:rPr>
        <w:t xml:space="preserve">    要求澄清招标文件的投标人应按前附表规定执行。招标人将以书面、传真等方式至少在约定的开标时间前答复所有已获取招标文件的投标人。                       </w:t>
      </w:r>
    </w:p>
    <w:p>
      <w:pPr>
        <w:pStyle w:val="9"/>
        <w:spacing w:line="360" w:lineRule="auto"/>
        <w:ind w:firstLine="420" w:firstLineChars="199"/>
        <w:rPr>
          <w:rFonts w:ascii="仿宋_GB2312" w:hAnsi="仿宋" w:eastAsia="仿宋_GB2312"/>
          <w:b/>
          <w:color w:val="auto"/>
          <w:szCs w:val="24"/>
        </w:rPr>
      </w:pPr>
      <w:r>
        <w:rPr>
          <w:rFonts w:hint="eastAsia" w:ascii="仿宋_GB2312" w:hAnsi="仿宋" w:eastAsia="仿宋_GB2312"/>
          <w:b/>
          <w:color w:val="auto"/>
          <w:szCs w:val="24"/>
        </w:rPr>
        <w:t>2.4招标文件的修改</w:t>
      </w:r>
    </w:p>
    <w:p>
      <w:pPr>
        <w:pStyle w:val="9"/>
        <w:spacing w:line="360" w:lineRule="auto"/>
        <w:ind w:firstLine="420" w:firstLineChars="200"/>
        <w:rPr>
          <w:rFonts w:ascii="仿宋_GB2312" w:hAnsi="仿宋" w:eastAsia="仿宋_GB2312"/>
          <w:color w:val="auto"/>
          <w:szCs w:val="24"/>
        </w:rPr>
      </w:pPr>
      <w:r>
        <w:rPr>
          <w:rFonts w:hint="eastAsia" w:ascii="仿宋_GB2312" w:hAnsi="仿宋" w:eastAsia="仿宋_GB2312"/>
          <w:color w:val="auto"/>
          <w:szCs w:val="24"/>
        </w:rPr>
        <w:t>2.4.1招标人在投标截止日前的任何时间，可对招标文件进行修改。这种修改可能是招标人主动作出的，也可能是为了解答投标人要求澄清的问题而作出的。</w:t>
      </w:r>
    </w:p>
    <w:p>
      <w:pPr>
        <w:pStyle w:val="9"/>
        <w:spacing w:line="360" w:lineRule="auto"/>
        <w:ind w:firstLine="420" w:firstLineChars="200"/>
        <w:rPr>
          <w:rFonts w:ascii="仿宋_GB2312" w:hAnsi="仿宋" w:eastAsia="仿宋_GB2312"/>
          <w:color w:val="auto"/>
          <w:szCs w:val="24"/>
        </w:rPr>
      </w:pPr>
      <w:r>
        <w:rPr>
          <w:rFonts w:hint="eastAsia" w:ascii="仿宋_GB2312" w:hAnsi="仿宋" w:eastAsia="仿宋_GB2312"/>
          <w:color w:val="auto"/>
          <w:szCs w:val="24"/>
        </w:rPr>
        <w:t>2.4.2补充文件将以书面、传真等方式发给所有获得招标文件的投标人，并对他们起约束作用。投标人收到补充文件后，应立即以书面、传真等方式(在一个工作日)内通知招标人，确认已经收到补充文件。未在规定时间内回传确认补充资料的视同认可采购方做出的补充内容。</w:t>
      </w:r>
    </w:p>
    <w:p>
      <w:pPr>
        <w:pStyle w:val="9"/>
        <w:spacing w:line="360" w:lineRule="auto"/>
        <w:ind w:firstLine="420" w:firstLineChars="200"/>
        <w:rPr>
          <w:rFonts w:ascii="仿宋_GB2312" w:hAnsi="仿宋" w:eastAsia="仿宋_GB2312"/>
          <w:color w:val="auto"/>
          <w:szCs w:val="24"/>
        </w:rPr>
      </w:pPr>
      <w:r>
        <w:rPr>
          <w:rFonts w:hint="eastAsia" w:ascii="仿宋_GB2312" w:hAnsi="仿宋" w:eastAsia="仿宋_GB2312"/>
          <w:color w:val="auto"/>
          <w:szCs w:val="24"/>
        </w:rPr>
        <w:t xml:space="preserve">2.4.3在不可抗力或其他正当、合理且为招标人所需的情况下，招标人在原定投标有效期满之前可以根据需要以书面形式向投标人提出延长投标有效期的要求，对此要求投标人须以书面形式予以答复，投标人可以拒绝招标人这种要求，而不被没收投标保证金，但其投标将失效。同意延长投标有效期的投标人既不能要求也不允许修改其投标文件，但需要相应的延长投标担保的有效期，在延长的投标有效期内关于投标保证金的退还与没收的规定仍然适用。做出同意延长投标有效期的投标人，同时已做出同意放弃和/或豁免招标人因延长投标有效期而导致投标人现实和/或有损害的任何赔偿、补偿责任。    </w:t>
      </w:r>
    </w:p>
    <w:p>
      <w:pPr>
        <w:pStyle w:val="9"/>
        <w:spacing w:line="360" w:lineRule="auto"/>
        <w:rPr>
          <w:rFonts w:ascii="仿宋_GB2312" w:hAnsi="仿宋" w:eastAsia="仿宋_GB2312"/>
          <w:b/>
          <w:color w:val="auto"/>
          <w:szCs w:val="24"/>
        </w:rPr>
      </w:pPr>
      <w:r>
        <w:rPr>
          <w:rFonts w:hint="eastAsia" w:ascii="仿宋_GB2312" w:hAnsi="仿宋" w:eastAsia="仿宋_GB2312"/>
          <w:b/>
          <w:color w:val="auto"/>
          <w:szCs w:val="24"/>
        </w:rPr>
        <w:t>2.5招标文件的效力</w:t>
      </w:r>
    </w:p>
    <w:p>
      <w:pPr>
        <w:pStyle w:val="9"/>
        <w:spacing w:line="360" w:lineRule="auto"/>
        <w:rPr>
          <w:rFonts w:ascii="仿宋_GB2312" w:hAnsi="仿宋" w:eastAsia="仿宋_GB2312"/>
          <w:color w:val="auto"/>
          <w:szCs w:val="24"/>
        </w:rPr>
      </w:pPr>
      <w:r>
        <w:rPr>
          <w:rFonts w:hint="eastAsia" w:ascii="仿宋_GB2312" w:hAnsi="仿宋" w:eastAsia="仿宋_GB2312"/>
          <w:color w:val="auto"/>
          <w:szCs w:val="24"/>
        </w:rPr>
        <w:t xml:space="preserve">    招标文件是招标和投标的有效依据，也是中标后签订合同的依据，对招投标双方均具有约束力。凡不遵守招标文件规定的投标或对招标文件的实质性内容不响应者，其投标文件将可能被否决。</w:t>
      </w:r>
    </w:p>
    <w:p>
      <w:pPr>
        <w:pStyle w:val="9"/>
        <w:spacing w:line="360" w:lineRule="auto"/>
        <w:rPr>
          <w:rFonts w:ascii="仿宋_GB2312" w:hAnsi="仿宋" w:eastAsia="仿宋_GB2312"/>
          <w:b/>
          <w:color w:val="auto"/>
          <w:sz w:val="24"/>
          <w:szCs w:val="24"/>
        </w:rPr>
      </w:pPr>
    </w:p>
    <w:bookmarkEnd w:id="24"/>
    <w:bookmarkEnd w:id="25"/>
    <w:p>
      <w:pPr>
        <w:pStyle w:val="3"/>
        <w:rPr>
          <w:rFonts w:ascii="仿宋_GB2312" w:hAnsi="仿宋" w:eastAsia="仿宋_GB2312"/>
          <w:color w:val="auto"/>
          <w:sz w:val="18"/>
          <w:szCs w:val="18"/>
          <w:lang w:val="en-US"/>
        </w:rPr>
      </w:pPr>
      <w:r>
        <w:rPr>
          <w:rFonts w:hint="eastAsia" w:ascii="仿宋_GB2312" w:hAnsi="仿宋" w:eastAsia="仿宋_GB2312"/>
          <w:color w:val="auto"/>
          <w:szCs w:val="24"/>
          <w:lang w:val="en-US"/>
        </w:rPr>
        <w:t xml:space="preserve">    </w:t>
      </w:r>
    </w:p>
    <w:p>
      <w:pPr>
        <w:adjustRightInd/>
        <w:spacing w:line="360" w:lineRule="auto"/>
        <w:jc w:val="center"/>
        <w:outlineLvl w:val="0"/>
        <w:rPr>
          <w:rFonts w:ascii="仿宋_GB2312" w:hAnsi="仿宋" w:eastAsia="仿宋_GB2312"/>
          <w:b/>
          <w:color w:val="auto"/>
          <w:sz w:val="30"/>
          <w:szCs w:val="20"/>
        </w:rPr>
      </w:pPr>
      <w:bookmarkStart w:id="26" w:name="_Hlt75236011"/>
      <w:bookmarkEnd w:id="26"/>
      <w:bookmarkStart w:id="27" w:name="_Toc91899884"/>
      <w:r>
        <w:rPr>
          <w:rFonts w:hint="eastAsia" w:ascii="仿宋_GB2312" w:hAnsi="仿宋" w:eastAsia="仿宋_GB2312"/>
          <w:b/>
          <w:color w:val="auto"/>
          <w:sz w:val="30"/>
          <w:szCs w:val="20"/>
        </w:rPr>
        <w:t>三、投标文件的编制</w:t>
      </w:r>
      <w:bookmarkEnd w:id="27"/>
    </w:p>
    <w:p>
      <w:pPr>
        <w:pStyle w:val="9"/>
        <w:spacing w:line="360" w:lineRule="auto"/>
        <w:rPr>
          <w:rFonts w:ascii="仿宋_GB2312" w:hAnsi="仿宋" w:eastAsia="仿宋_GB2312"/>
          <w:b/>
          <w:color w:val="auto"/>
          <w:szCs w:val="24"/>
        </w:rPr>
      </w:pPr>
      <w:bookmarkStart w:id="28" w:name="_Toc86216991"/>
      <w:bookmarkStart w:id="29" w:name="_Toc91899892"/>
      <w:r>
        <w:rPr>
          <w:rFonts w:hint="eastAsia" w:ascii="仿宋_GB2312" w:hAnsi="仿宋" w:eastAsia="仿宋_GB2312"/>
          <w:b/>
          <w:color w:val="auto"/>
          <w:szCs w:val="24"/>
        </w:rPr>
        <w:t>3.1投标文件的语言</w:t>
      </w:r>
    </w:p>
    <w:p>
      <w:pPr>
        <w:autoSpaceDE w:val="0"/>
        <w:autoSpaceDN w:val="0"/>
        <w:spacing w:line="360" w:lineRule="auto"/>
        <w:ind w:firstLine="420" w:firstLineChars="200"/>
        <w:rPr>
          <w:rFonts w:ascii="仿宋_GB2312" w:hAnsi="仿宋" w:eastAsia="仿宋_GB2312"/>
          <w:color w:val="auto"/>
          <w:lang w:val="zh-CN"/>
        </w:rPr>
      </w:pPr>
      <w:r>
        <w:rPr>
          <w:rFonts w:hint="eastAsia" w:ascii="仿宋_GB2312" w:hAnsi="仿宋" w:eastAsia="仿宋_GB2312"/>
          <w:color w:val="auto"/>
        </w:rPr>
        <w:t>投标文件及投标人与采购有关的来往通知、函件和文件均应使用中文。</w:t>
      </w:r>
    </w:p>
    <w:p>
      <w:pPr>
        <w:pStyle w:val="9"/>
        <w:spacing w:line="360" w:lineRule="auto"/>
        <w:rPr>
          <w:rFonts w:ascii="仿宋_GB2312" w:hAnsi="仿宋" w:eastAsia="仿宋_GB2312"/>
          <w:b/>
          <w:color w:val="auto"/>
          <w:szCs w:val="24"/>
        </w:rPr>
      </w:pPr>
      <w:r>
        <w:rPr>
          <w:rFonts w:hint="eastAsia" w:ascii="仿宋_GB2312" w:hAnsi="仿宋" w:eastAsia="仿宋_GB2312"/>
          <w:b/>
          <w:color w:val="auto"/>
          <w:szCs w:val="24"/>
        </w:rPr>
        <w:t>3.2投标文件的组成</w:t>
      </w:r>
    </w:p>
    <w:p>
      <w:pPr>
        <w:pStyle w:val="9"/>
        <w:snapToGrid w:val="0"/>
        <w:spacing w:line="360" w:lineRule="auto"/>
        <w:ind w:firstLine="420" w:firstLineChars="200"/>
        <w:rPr>
          <w:rFonts w:ascii="仿宋_GB2312" w:hAnsi="仿宋" w:eastAsia="仿宋_GB2312"/>
          <w:color w:val="auto"/>
          <w:kern w:val="0"/>
          <w:szCs w:val="24"/>
          <w:lang w:val="zh-CN"/>
        </w:rPr>
      </w:pPr>
      <w:r>
        <w:rPr>
          <w:rFonts w:hint="eastAsia" w:ascii="仿宋_GB2312" w:hAnsi="仿宋" w:eastAsia="仿宋_GB2312"/>
          <w:color w:val="auto"/>
          <w:kern w:val="0"/>
          <w:szCs w:val="24"/>
        </w:rPr>
        <w:t>投标文件应当包括以下主要内容：</w:t>
      </w:r>
      <w:r>
        <w:rPr>
          <w:rFonts w:hint="eastAsia" w:ascii="仿宋_GB2312" w:hAnsi="仿宋" w:eastAsia="仿宋_GB2312"/>
          <w:b/>
          <w:color w:val="auto"/>
          <w:szCs w:val="24"/>
        </w:rPr>
        <w:t>技术文件</w:t>
      </w:r>
      <w:r>
        <w:rPr>
          <w:rFonts w:hint="eastAsia" w:ascii="仿宋_GB2312" w:hAnsi="仿宋" w:eastAsia="仿宋_GB2312"/>
          <w:color w:val="auto"/>
          <w:szCs w:val="24"/>
        </w:rPr>
        <w:t>、</w:t>
      </w:r>
      <w:r>
        <w:rPr>
          <w:rFonts w:hint="eastAsia" w:ascii="仿宋_GB2312" w:hAnsi="仿宋" w:eastAsia="仿宋_GB2312"/>
          <w:b/>
          <w:color w:val="auto"/>
          <w:szCs w:val="24"/>
        </w:rPr>
        <w:t>商务文件</w:t>
      </w:r>
      <w:r>
        <w:rPr>
          <w:rFonts w:hint="eastAsia" w:ascii="仿宋_GB2312" w:hAnsi="仿宋" w:eastAsia="仿宋_GB2312"/>
          <w:color w:val="auto"/>
          <w:szCs w:val="24"/>
        </w:rPr>
        <w:t>。</w:t>
      </w:r>
    </w:p>
    <w:p>
      <w:pPr>
        <w:pStyle w:val="9"/>
        <w:spacing w:line="360" w:lineRule="auto"/>
        <w:ind w:firstLine="420" w:firstLineChars="200"/>
        <w:rPr>
          <w:rFonts w:ascii="仿宋_GB2312" w:hAnsi="仿宋" w:eastAsia="仿宋_GB2312"/>
          <w:color w:val="auto"/>
          <w:kern w:val="0"/>
          <w:szCs w:val="24"/>
          <w:lang w:val="zh-CN"/>
        </w:rPr>
      </w:pPr>
      <w:bookmarkStart w:id="30" w:name="_Hlt68073093"/>
      <w:bookmarkEnd w:id="30"/>
      <w:bookmarkStart w:id="31" w:name="_Hlt68072998"/>
      <w:bookmarkEnd w:id="31"/>
      <w:bookmarkStart w:id="32" w:name="_Hlt68403820"/>
      <w:bookmarkEnd w:id="32"/>
      <w:r>
        <w:rPr>
          <w:rFonts w:hint="eastAsia" w:ascii="仿宋_GB2312" w:hAnsi="仿宋" w:eastAsia="仿宋_GB2312"/>
          <w:color w:val="auto"/>
          <w:kern w:val="0"/>
          <w:szCs w:val="24"/>
          <w:lang w:val="zh-CN"/>
        </w:rPr>
        <w:t>3.2.</w:t>
      </w:r>
      <w:r>
        <w:rPr>
          <w:rFonts w:hint="eastAsia" w:ascii="仿宋_GB2312" w:hAnsi="仿宋" w:eastAsia="仿宋_GB2312"/>
          <w:color w:val="auto"/>
          <w:kern w:val="0"/>
          <w:szCs w:val="24"/>
        </w:rPr>
        <w:t>1</w:t>
      </w:r>
      <w:r>
        <w:rPr>
          <w:rFonts w:hint="eastAsia" w:ascii="仿宋_GB2312" w:hAnsi="仿宋" w:eastAsia="仿宋_GB2312"/>
          <w:color w:val="auto"/>
          <w:kern w:val="0"/>
          <w:szCs w:val="24"/>
          <w:lang w:val="zh-CN"/>
        </w:rPr>
        <w:t>投标人的</w:t>
      </w:r>
      <w:r>
        <w:rPr>
          <w:rFonts w:hint="eastAsia" w:ascii="仿宋_GB2312" w:hAnsi="仿宋" w:eastAsia="仿宋_GB2312"/>
          <w:b/>
          <w:color w:val="auto"/>
          <w:kern w:val="0"/>
          <w:szCs w:val="24"/>
          <w:lang w:val="zh-CN"/>
        </w:rPr>
        <w:t>技术文件应</w:t>
      </w:r>
      <w:r>
        <w:rPr>
          <w:rFonts w:hint="eastAsia" w:ascii="仿宋_GB2312" w:hAnsi="仿宋" w:eastAsia="仿宋_GB2312"/>
          <w:color w:val="auto"/>
          <w:kern w:val="0"/>
          <w:szCs w:val="24"/>
          <w:lang w:val="zh-CN"/>
        </w:rPr>
        <w:t>包括：</w:t>
      </w:r>
      <w:r>
        <w:rPr>
          <w:rFonts w:hint="eastAsia" w:ascii="仿宋_GB2312" w:hAnsi="仿宋" w:eastAsia="仿宋_GB2312"/>
          <w:color w:val="auto"/>
          <w:kern w:val="0"/>
          <w:szCs w:val="24"/>
        </w:rPr>
        <w:t>针对本项目的技术和服务响应方案，技术偏离说明表，招标文件要求提供的其他资料</w:t>
      </w:r>
      <w:r>
        <w:rPr>
          <w:rFonts w:hint="eastAsia" w:ascii="仿宋_GB2312" w:hAnsi="仿宋" w:eastAsia="仿宋_GB2312"/>
          <w:color w:val="auto"/>
          <w:kern w:val="0"/>
          <w:szCs w:val="24"/>
          <w:lang w:val="zh-CN"/>
        </w:rPr>
        <w:t>等</w:t>
      </w:r>
      <w:r>
        <w:rPr>
          <w:rFonts w:hint="eastAsia" w:ascii="仿宋_GB2312" w:hAnsi="仿宋" w:eastAsia="仿宋_GB2312"/>
          <w:color w:val="auto"/>
          <w:szCs w:val="24"/>
        </w:rPr>
        <w:t>（均需加盖公章）</w:t>
      </w:r>
      <w:r>
        <w:rPr>
          <w:rFonts w:hint="eastAsia" w:ascii="仿宋_GB2312" w:hAnsi="仿宋" w:eastAsia="仿宋_GB2312"/>
          <w:color w:val="auto"/>
          <w:kern w:val="0"/>
          <w:szCs w:val="24"/>
          <w:lang w:val="zh-CN"/>
        </w:rPr>
        <w:t>。</w:t>
      </w:r>
    </w:p>
    <w:p>
      <w:pPr>
        <w:snapToGrid w:val="0"/>
        <w:spacing w:line="360" w:lineRule="auto"/>
        <w:ind w:firstLine="413" w:firstLineChars="196"/>
        <w:jc w:val="left"/>
        <w:outlineLvl w:val="0"/>
        <w:rPr>
          <w:rFonts w:ascii="仿宋_GB2312" w:hAnsi="宋体" w:eastAsia="仿宋_GB2312"/>
          <w:b/>
          <w:color w:val="auto"/>
          <w:szCs w:val="20"/>
        </w:rPr>
      </w:pPr>
      <w:r>
        <w:rPr>
          <w:rFonts w:hint="eastAsia" w:ascii="仿宋_GB2312" w:hAnsi="宋体" w:eastAsia="仿宋_GB2312"/>
          <w:b/>
          <w:color w:val="auto"/>
        </w:rPr>
        <w:t>（一）投标文件的组成</w:t>
      </w:r>
    </w:p>
    <w:p>
      <w:pPr>
        <w:spacing w:line="360" w:lineRule="auto"/>
        <w:ind w:firstLine="411" w:firstLineChars="196"/>
        <w:rPr>
          <w:rFonts w:ascii="仿宋_GB2312" w:hAnsi="宋体" w:eastAsia="仿宋_GB2312"/>
          <w:color w:val="auto"/>
        </w:rPr>
      </w:pPr>
      <w:r>
        <w:rPr>
          <w:rFonts w:hint="eastAsia" w:ascii="仿宋_GB2312" w:hAnsi="宋体" w:eastAsia="仿宋_GB2312"/>
          <w:color w:val="auto"/>
        </w:rPr>
        <w:t>1技术标、资信、业绩及能力，包括：</w:t>
      </w:r>
    </w:p>
    <w:p>
      <w:pPr>
        <w:spacing w:line="360" w:lineRule="auto"/>
        <w:ind w:firstLine="411" w:firstLineChars="196"/>
        <w:rPr>
          <w:rFonts w:ascii="仿宋_GB2312" w:hAnsi="宋体" w:eastAsia="仿宋_GB2312"/>
          <w:color w:val="auto"/>
        </w:rPr>
      </w:pPr>
      <w:r>
        <w:rPr>
          <w:rFonts w:hint="eastAsia" w:ascii="仿宋_GB2312" w:hAnsi="宋体" w:eastAsia="仿宋_GB2312"/>
          <w:color w:val="auto"/>
        </w:rPr>
        <w:t>1.1 投标单位工作内容描述</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(1)概述：简述本项目适用的有关政策、法规以及工作流程等资料；</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(2)目标:说明本项目计划达到的目标；</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(3)工作范围：详细说明投标单位应当完成的代理任务和具体要求；</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(4)培训要求：如果需要人员培训（对新的政策、法律、法规、招标程序以及委托人的要求），说明投标单位在人员培训方面应做的工作；</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(5)进度与报告：关于工作的招标时间工作安排和工作进展情况报告的要求；</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(6)</w:t>
      </w:r>
      <w:r>
        <w:rPr>
          <w:rFonts w:hint="eastAsia" w:ascii="仿宋_GB2312" w:eastAsia="仿宋_GB2312"/>
          <w:color w:val="auto"/>
          <w:sz w:val="18"/>
        </w:rPr>
        <w:t xml:space="preserve"> </w:t>
      </w:r>
      <w:r>
        <w:rPr>
          <w:rFonts w:hint="eastAsia" w:ascii="仿宋_GB2312" w:hAnsi="宋体" w:eastAsia="仿宋_GB2312"/>
          <w:color w:val="auto"/>
        </w:rPr>
        <w:t>招标代理过程与各方的沟通的保证措施；</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(7)</w:t>
      </w:r>
      <w:r>
        <w:rPr>
          <w:rFonts w:hint="eastAsia" w:ascii="仿宋_GB2312" w:eastAsia="仿宋_GB2312"/>
          <w:color w:val="auto"/>
          <w:sz w:val="18"/>
        </w:rPr>
        <w:t xml:space="preserve"> </w:t>
      </w:r>
      <w:r>
        <w:rPr>
          <w:rFonts w:hint="eastAsia" w:ascii="仿宋_GB2312" w:hAnsi="宋体" w:eastAsia="仿宋_GB2312"/>
          <w:color w:val="auto"/>
        </w:rPr>
        <w:t>投诉处理方案、招标代理资料的合法性、完整性与及时性保证措施</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w:t>
      </w:r>
      <w:r>
        <w:rPr>
          <w:rFonts w:ascii="仿宋_GB2312" w:hAnsi="宋体" w:eastAsia="仿宋_GB2312"/>
          <w:color w:val="auto"/>
        </w:rPr>
        <w:t xml:space="preserve">8) </w:t>
      </w:r>
      <w:r>
        <w:rPr>
          <w:rFonts w:hint="eastAsia" w:ascii="仿宋_GB2312" w:hAnsi="宋体" w:eastAsia="仿宋_GB2312"/>
          <w:color w:val="auto"/>
        </w:rPr>
        <w:t>对代理服务的其他建议、要求；</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1.2投标单位人员分工与职责</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(1)投标单位服务人员工作守则；</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(2)投标单位服务人员分工与职责；</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1.3投标服务人员资历、业绩情况</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(1)投标服务人员汇总表；</w:t>
      </w:r>
    </w:p>
    <w:p>
      <w:pPr>
        <w:spacing w:line="360" w:lineRule="auto"/>
        <w:ind w:firstLine="315" w:firstLineChars="150"/>
        <w:rPr>
          <w:rFonts w:ascii="仿宋_GB2312" w:hAnsi="宋体" w:eastAsia="仿宋_GB2312"/>
          <w:color w:val="auto"/>
        </w:rPr>
      </w:pPr>
      <w:r>
        <w:rPr>
          <w:rFonts w:hint="eastAsia" w:ascii="仿宋_GB2312" w:hAnsi="宋体" w:eastAsia="仿宋_GB2312"/>
          <w:color w:val="auto"/>
        </w:rPr>
        <w:t>（2）项目负责人情况；</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(3)相关证明材料文件（人员资质证书、学历等）；</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1.4投标单位资信、业绩情况</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(1)企业概况；</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(2)资信业绩材料清单：主要包括营业执照、投标单位资格证书、资质证书、类似服务业绩证明材料、企业荣誉证书及其他与评标得分有关的证书等复印件（复印件盖公章，开标时须携带原件备查)；</w:t>
      </w:r>
    </w:p>
    <w:p>
      <w:pPr>
        <w:spacing w:line="360" w:lineRule="auto"/>
        <w:ind w:firstLine="315" w:firstLineChars="150"/>
        <w:rPr>
          <w:rFonts w:ascii="仿宋_GB2312" w:hAnsi="宋体" w:eastAsia="仿宋_GB2312"/>
          <w:color w:val="auto"/>
        </w:rPr>
      </w:pPr>
      <w:r>
        <w:rPr>
          <w:rFonts w:hint="eastAsia" w:ascii="仿宋_GB2312" w:hAnsi="宋体" w:eastAsia="仿宋_GB2312"/>
          <w:color w:val="auto"/>
        </w:rPr>
        <w:t>（3）最近一个季度依法缴纳税收和社保费的证明（税费凭证复印件，或者依法缴纳税费或依法免缴税费的证明）；</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(4)近三年来业绩表 (主要有业主名称、联系电话、地址、项目名称及规模)；</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(5)中国裁判文书网</w:t>
      </w:r>
      <w:r>
        <w:rPr>
          <w:rFonts w:hint="eastAsia" w:ascii="仿宋_GB2312" w:hAnsi="宋体" w:eastAsia="仿宋_GB2312" w:cs="宋体"/>
          <w:color w:val="auto"/>
          <w:kern w:val="0"/>
        </w:rPr>
        <w:t>无行贿犯罪记录证明截图；</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(6)招标人要求提交的其他资料。</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注：所有资信业绩材料复印件必须和原件一致，若无原件或与原件不一致，则不进入评分。</w:t>
      </w:r>
    </w:p>
    <w:p>
      <w:pPr>
        <w:spacing w:line="360" w:lineRule="auto"/>
        <w:ind w:firstLine="422" w:firstLineChars="200"/>
        <w:rPr>
          <w:rFonts w:ascii="仿宋_GB2312" w:hAnsi="宋体" w:eastAsia="仿宋_GB2312"/>
          <w:b/>
          <w:color w:val="auto"/>
        </w:rPr>
      </w:pPr>
      <w:r>
        <w:rPr>
          <w:rFonts w:hint="eastAsia" w:ascii="仿宋_GB2312" w:hAnsi="宋体" w:eastAsia="仿宋_GB2312"/>
          <w:b/>
          <w:color w:val="auto"/>
        </w:rPr>
        <w:t>3.2.2商务文件：</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(1)法定代表人资格证明书（详见格式）；</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(2)法定代表人授权委托书（详见格式）；</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(3)企业营业执照复印件</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(4)投标函（详见格式）；</w:t>
      </w:r>
    </w:p>
    <w:p>
      <w:pPr>
        <w:spacing w:line="360" w:lineRule="auto"/>
        <w:ind w:firstLine="420" w:firstLineChars="200"/>
        <w:rPr>
          <w:rFonts w:ascii="仿宋_GB2312" w:hAnsi="宋体" w:eastAsia="仿宋_GB2312"/>
          <w:color w:val="auto"/>
        </w:rPr>
      </w:pPr>
      <w:r>
        <w:rPr>
          <w:rFonts w:hint="eastAsia" w:ascii="仿宋_GB2312" w:hAnsi="宋体" w:eastAsia="仿宋_GB2312"/>
          <w:color w:val="auto"/>
        </w:rPr>
        <w:t>(5)承诺书（详见格式）；</w:t>
      </w:r>
    </w:p>
    <w:p>
      <w:pPr>
        <w:spacing w:line="360" w:lineRule="auto"/>
        <w:ind w:firstLine="480"/>
        <w:rPr>
          <w:rFonts w:ascii="仿宋_GB2312" w:hAnsi="宋体" w:eastAsia="仿宋_GB2312"/>
          <w:color w:val="auto"/>
        </w:rPr>
      </w:pPr>
      <w:r>
        <w:rPr>
          <w:rFonts w:hint="eastAsia" w:ascii="仿宋_GB2312" w:hAnsi="宋体" w:eastAsia="仿宋_GB2312"/>
          <w:color w:val="auto"/>
        </w:rPr>
        <w:t>(6)投标人声明</w:t>
      </w:r>
    </w:p>
    <w:p>
      <w:pPr>
        <w:spacing w:line="360" w:lineRule="auto"/>
        <w:ind w:firstLine="480"/>
        <w:rPr>
          <w:rFonts w:ascii="仿宋_GB2312" w:hAnsi="宋体" w:eastAsia="仿宋_GB2312"/>
          <w:color w:val="auto"/>
        </w:rPr>
      </w:pPr>
      <w:r>
        <w:rPr>
          <w:rFonts w:hint="eastAsia" w:ascii="仿宋_GB2312" w:hAnsi="宋体" w:eastAsia="仿宋_GB2312"/>
          <w:color w:val="auto"/>
        </w:rPr>
        <w:t>(7)投标人认为的需要提供的其他材料</w:t>
      </w:r>
    </w:p>
    <w:p>
      <w:pPr>
        <w:pStyle w:val="18"/>
        <w:snapToGrid w:val="0"/>
        <w:spacing w:before="0"/>
        <w:ind w:firstLine="0" w:firstLineChars="0"/>
        <w:outlineLvl w:val="0"/>
        <w:rPr>
          <w:rFonts w:ascii="仿宋_GB2312" w:hAnsi="宋体" w:eastAsia="仿宋_GB2312"/>
          <w:b/>
          <w:color w:val="auto"/>
          <w:sz w:val="21"/>
          <w:szCs w:val="24"/>
        </w:rPr>
      </w:pPr>
      <w:bookmarkStart w:id="33" w:name="_Toc91899887"/>
    </w:p>
    <w:p>
      <w:pPr>
        <w:pStyle w:val="18"/>
        <w:snapToGrid w:val="0"/>
        <w:spacing w:before="0"/>
        <w:ind w:firstLine="0" w:firstLineChars="0"/>
        <w:outlineLvl w:val="0"/>
        <w:rPr>
          <w:rFonts w:ascii="仿宋_GB2312" w:hAnsi="宋体" w:eastAsia="仿宋_GB2312"/>
          <w:b/>
          <w:color w:val="auto"/>
          <w:sz w:val="21"/>
          <w:szCs w:val="24"/>
        </w:rPr>
      </w:pPr>
      <w:r>
        <w:rPr>
          <w:rFonts w:hint="eastAsia" w:ascii="仿宋_GB2312" w:hAnsi="宋体" w:eastAsia="仿宋_GB2312"/>
          <w:b/>
          <w:color w:val="auto"/>
          <w:sz w:val="21"/>
          <w:szCs w:val="24"/>
        </w:rPr>
        <w:t>3.3投标报价</w:t>
      </w:r>
    </w:p>
    <w:p>
      <w:pPr>
        <w:adjustRightInd/>
        <w:snapToGrid w:val="0"/>
        <w:spacing w:line="360" w:lineRule="auto"/>
        <w:rPr>
          <w:rFonts w:ascii="仿宋_GB2312" w:hAnsi="仿宋" w:eastAsia="仿宋_GB2312" w:cs="宋体"/>
          <w:color w:val="auto"/>
          <w:szCs w:val="21"/>
        </w:rPr>
      </w:pPr>
      <w:r>
        <w:rPr>
          <w:rFonts w:hint="eastAsia" w:ascii="仿宋_GB2312" w:hAnsi="宋体" w:eastAsia="仿宋_GB2312" w:cs="宋体"/>
          <w:color w:val="auto"/>
          <w:sz w:val="18"/>
          <w:szCs w:val="21"/>
        </w:rPr>
        <w:t xml:space="preserve"> </w:t>
      </w:r>
      <w:r>
        <w:rPr>
          <w:rFonts w:hint="eastAsia" w:ascii="仿宋_GB2312" w:hAnsi="仿宋" w:eastAsia="仿宋_GB2312" w:cs="宋体"/>
          <w:color w:val="auto"/>
          <w:szCs w:val="21"/>
        </w:rPr>
        <w:t xml:space="preserve">  3.3.1投标人应根据本招标文件和招标人所提供的相关资料及招标代理范围、内容，按照国家有关取费标准，结合自身能力和力量的投入进行竞争报价。</w:t>
      </w:r>
    </w:p>
    <w:p>
      <w:pPr>
        <w:adjustRightInd/>
        <w:snapToGrid w:val="0"/>
        <w:spacing w:line="360" w:lineRule="auto"/>
        <w:rPr>
          <w:rFonts w:ascii="仿宋_GB2312" w:hAnsi="仿宋" w:eastAsia="仿宋_GB2312" w:cs="宋体"/>
          <w:b/>
          <w:bCs/>
          <w:color w:val="auto"/>
          <w:szCs w:val="21"/>
        </w:rPr>
      </w:pPr>
      <w:r>
        <w:rPr>
          <w:rFonts w:hint="eastAsia" w:ascii="仿宋_GB2312" w:hAnsi="仿宋" w:eastAsia="仿宋_GB2312" w:cs="宋体"/>
          <w:b/>
          <w:bCs/>
          <w:color w:val="auto"/>
          <w:szCs w:val="21"/>
        </w:rPr>
        <w:t xml:space="preserve">    1）招标代理服务费按国家计委计价格（2002）1980号《招标代理服务收费管理暂行办法》及国家发改委发改价格（2011）534号文件规定计算，</w:t>
      </w:r>
      <w:r>
        <w:rPr>
          <w:rFonts w:hint="eastAsia" w:ascii="仿宋" w:hAnsi="仿宋" w:eastAsia="仿宋" w:cs="宋体"/>
          <w:b/>
          <w:bCs/>
          <w:color w:val="auto"/>
          <w:szCs w:val="21"/>
        </w:rPr>
        <w:t>工程造价咨询服务费按浙价服（2009）84号文件的收费标准计算，投标单位报</w:t>
      </w:r>
      <w:r>
        <w:rPr>
          <w:rFonts w:hint="eastAsia" w:ascii="仿宋" w:hAnsi="仿宋" w:eastAsia="仿宋" w:cs="宋体"/>
          <w:b/>
          <w:bCs/>
          <w:color w:val="auto"/>
          <w:szCs w:val="21"/>
          <w:u w:val="single"/>
        </w:rPr>
        <w:t xml:space="preserve"> 下浮率（%） </w:t>
      </w:r>
      <w:r>
        <w:rPr>
          <w:rFonts w:hint="eastAsia" w:ascii="仿宋" w:hAnsi="仿宋" w:eastAsia="仿宋" w:cs="宋体"/>
          <w:b/>
          <w:bCs/>
          <w:color w:val="auto"/>
          <w:szCs w:val="21"/>
        </w:rPr>
        <w:t>；</w:t>
      </w:r>
    </w:p>
    <w:p>
      <w:pPr>
        <w:adjustRightInd/>
        <w:snapToGrid w:val="0"/>
        <w:spacing w:line="360" w:lineRule="auto"/>
        <w:rPr>
          <w:rFonts w:ascii="仿宋_GB2312" w:hAnsi="仿宋" w:eastAsia="仿宋_GB2312" w:cs="宋体"/>
          <w:b/>
          <w:bCs/>
          <w:color w:val="auto"/>
          <w:szCs w:val="21"/>
        </w:rPr>
      </w:pPr>
      <w:r>
        <w:rPr>
          <w:rFonts w:hint="eastAsia" w:ascii="仿宋_GB2312" w:hAnsi="仿宋" w:eastAsia="仿宋_GB2312" w:cs="宋体"/>
          <w:b/>
          <w:bCs/>
          <w:color w:val="auto"/>
          <w:szCs w:val="21"/>
        </w:rPr>
        <w:t xml:space="preserve">    2）服务费按单个标段计取，计算基数均为该标段的中标价。</w:t>
      </w:r>
    </w:p>
    <w:p>
      <w:pPr>
        <w:adjustRightInd/>
        <w:snapToGrid w:val="0"/>
        <w:spacing w:line="360" w:lineRule="auto"/>
        <w:rPr>
          <w:rFonts w:ascii="仿宋_GB2312" w:hAnsi="仿宋" w:eastAsia="仿宋_GB2312" w:cs="宋体"/>
          <w:color w:val="auto"/>
          <w:szCs w:val="21"/>
        </w:rPr>
      </w:pPr>
      <w:r>
        <w:rPr>
          <w:rFonts w:hint="eastAsia" w:ascii="仿宋_GB2312" w:hAnsi="仿宋" w:eastAsia="仿宋_GB2312" w:cs="宋体"/>
          <w:color w:val="auto"/>
          <w:szCs w:val="21"/>
        </w:rPr>
        <w:t xml:space="preserve">   3.3.2报价中应包括为完成服务内容可能发生的各项费用，包括但不仅限于如工作、生活、交通、通讯、设备（仪器）、劳力、利润、税收等以及所有有关的管理成本。</w:t>
      </w:r>
    </w:p>
    <w:p>
      <w:pPr>
        <w:pStyle w:val="18"/>
        <w:snapToGrid w:val="0"/>
        <w:spacing w:before="0"/>
        <w:ind w:firstLine="0" w:firstLineChars="0"/>
        <w:outlineLvl w:val="0"/>
        <w:rPr>
          <w:rFonts w:ascii="仿宋_GB2312" w:hAnsi="宋体" w:eastAsia="仿宋_GB2312"/>
          <w:b/>
          <w:color w:val="auto"/>
          <w:sz w:val="21"/>
          <w:szCs w:val="24"/>
        </w:rPr>
      </w:pPr>
      <w:r>
        <w:rPr>
          <w:rFonts w:hint="eastAsia" w:ascii="仿宋_GB2312" w:hAnsi="宋体" w:eastAsia="仿宋_GB2312"/>
          <w:b/>
          <w:color w:val="auto"/>
          <w:sz w:val="21"/>
          <w:szCs w:val="24"/>
        </w:rPr>
        <w:t>3.4投标有效期</w:t>
      </w:r>
    </w:p>
    <w:p>
      <w:pPr>
        <w:pStyle w:val="18"/>
        <w:spacing w:before="0"/>
        <w:ind w:firstLine="420"/>
        <w:rPr>
          <w:rFonts w:ascii="仿宋_GB2312" w:hAnsi="宋体" w:eastAsia="仿宋_GB2312"/>
          <w:color w:val="auto"/>
          <w:sz w:val="21"/>
        </w:rPr>
      </w:pPr>
      <w:r>
        <w:rPr>
          <w:rFonts w:hint="eastAsia" w:ascii="仿宋_GB2312" w:hAnsi="宋体" w:eastAsia="仿宋_GB2312"/>
          <w:color w:val="auto"/>
          <w:sz w:val="21"/>
        </w:rPr>
        <w:t>3.4.1投标文件自递交之日起90天内有效（中标签约者，有效期随合同）。在此有效期内，投标文件中的全部承诺和条款对投标人具有约束力。投标人不得自行修改或拒绝接受已经确认的承诺和条款（即使是不该发生的差错），更不得撤回投标文件。否则按违约处理，取消投标或中标资格。</w:t>
      </w:r>
    </w:p>
    <w:p>
      <w:pPr>
        <w:pStyle w:val="18"/>
        <w:spacing w:before="0"/>
        <w:ind w:firstLine="420"/>
        <w:rPr>
          <w:rFonts w:ascii="仿宋_GB2312" w:hAnsi="宋体" w:eastAsia="仿宋_GB2312"/>
          <w:color w:val="auto"/>
          <w:sz w:val="21"/>
        </w:rPr>
      </w:pPr>
      <w:r>
        <w:rPr>
          <w:rFonts w:hint="eastAsia" w:ascii="仿宋_GB2312" w:hAnsi="宋体" w:eastAsia="仿宋_GB2312"/>
          <w:color w:val="auto"/>
          <w:sz w:val="21"/>
        </w:rPr>
        <w:t>3.4.2在投标截止时间前投标人可对已递交的投标文件进行适当修改和补充，投标文件的修改补充函应按规定进行密封并加盖单位印章和法定代表人或委托代理人印章（签字），递交至开标同一地点。投标截止后递交的补充修改或声明一概不予受理。</w:t>
      </w:r>
    </w:p>
    <w:p>
      <w:pPr>
        <w:pStyle w:val="18"/>
        <w:spacing w:before="0"/>
        <w:ind w:firstLine="420"/>
        <w:rPr>
          <w:rFonts w:ascii="仿宋_GB2312" w:hAnsi="宋体" w:eastAsia="仿宋_GB2312"/>
          <w:color w:val="auto"/>
          <w:sz w:val="21"/>
        </w:rPr>
      </w:pPr>
      <w:r>
        <w:rPr>
          <w:rFonts w:hint="eastAsia" w:ascii="仿宋_GB2312" w:hAnsi="宋体" w:eastAsia="仿宋_GB2312"/>
          <w:color w:val="auto"/>
          <w:sz w:val="21"/>
        </w:rPr>
        <w:t>3.4.3在原定投标有效期满之前，如果出现特殊情况，采购机构可以以书面形式通知投标人延长投标有效期。</w:t>
      </w:r>
    </w:p>
    <w:p>
      <w:pPr>
        <w:pStyle w:val="18"/>
        <w:snapToGrid w:val="0"/>
        <w:spacing w:before="0"/>
        <w:ind w:firstLine="0" w:firstLineChars="0"/>
        <w:outlineLvl w:val="0"/>
        <w:rPr>
          <w:rFonts w:ascii="仿宋_GB2312" w:hAnsi="宋体" w:eastAsia="仿宋_GB2312"/>
          <w:b/>
          <w:color w:val="auto"/>
          <w:sz w:val="21"/>
          <w:szCs w:val="24"/>
        </w:rPr>
      </w:pPr>
      <w:r>
        <w:rPr>
          <w:rFonts w:hint="eastAsia" w:ascii="仿宋_GB2312" w:hAnsi="宋体" w:eastAsia="仿宋_GB2312"/>
          <w:b/>
          <w:color w:val="auto"/>
          <w:sz w:val="21"/>
          <w:szCs w:val="24"/>
        </w:rPr>
        <w:t>3.5投标文件的编制和签署</w:t>
      </w:r>
    </w:p>
    <w:p>
      <w:pPr>
        <w:shd w:val="clear" w:color="auto" w:fill="7E7E7E" w:themeFill="background1" w:themeFillShade="7F"/>
        <w:snapToGrid w:val="0"/>
        <w:spacing w:line="360" w:lineRule="auto"/>
        <w:ind w:firstLine="420" w:firstLineChars="200"/>
        <w:rPr>
          <w:rFonts w:ascii="仿宋_GB2312" w:hAnsi="宋体" w:eastAsia="仿宋_GB2312"/>
          <w:color w:val="auto"/>
          <w:szCs w:val="20"/>
        </w:rPr>
      </w:pPr>
      <w:r>
        <w:rPr>
          <w:rFonts w:hint="eastAsia" w:ascii="仿宋_GB2312" w:hAnsi="宋体" w:eastAsia="仿宋_GB2312"/>
          <w:color w:val="auto"/>
          <w:szCs w:val="20"/>
        </w:rPr>
        <w:t>3.5.1投标文件分为技术/资信文件、商务文件二部分，</w:t>
      </w:r>
      <w:r>
        <w:rPr>
          <w:rFonts w:hint="eastAsia" w:ascii="仿宋_GB2312" w:hAnsi="宋体" w:eastAsia="仿宋_GB2312"/>
          <w:b/>
          <w:color w:val="auto"/>
          <w:szCs w:val="20"/>
        </w:rPr>
        <w:t>并将二部分分别装订成册，活页装订将被拒绝（含订书钉装订）。</w:t>
      </w:r>
      <w:r>
        <w:rPr>
          <w:rFonts w:hint="eastAsia" w:ascii="仿宋_GB2312" w:hAnsi="宋体" w:eastAsia="仿宋_GB2312"/>
          <w:color w:val="auto"/>
          <w:szCs w:val="20"/>
        </w:rPr>
        <w:t>各投标人在编制投标文件时请按照招标文件第六部分规定的格式进行，混乱的编排导致投标文件被误读或评标委员会查找不到有效文件是投标人的风险。</w:t>
      </w:r>
    </w:p>
    <w:bookmarkEnd w:id="33"/>
    <w:p>
      <w:pPr>
        <w:pStyle w:val="18"/>
        <w:snapToGrid w:val="0"/>
        <w:ind w:firstLine="420"/>
        <w:rPr>
          <w:rFonts w:ascii="仿宋_GB2312" w:hAnsi="仿宋" w:eastAsia="仿宋_GB2312"/>
          <w:color w:val="auto"/>
          <w:sz w:val="21"/>
          <w:szCs w:val="24"/>
        </w:rPr>
      </w:pPr>
      <w:r>
        <w:rPr>
          <w:rFonts w:hint="eastAsia" w:ascii="仿宋_GB2312" w:hAnsi="仿宋" w:eastAsia="仿宋_GB2312"/>
          <w:color w:val="auto"/>
          <w:sz w:val="21"/>
          <w:szCs w:val="24"/>
        </w:rPr>
        <w:t>3.5.2 在投标文件外封面上均应：</w:t>
      </w:r>
    </w:p>
    <w:p>
      <w:pPr>
        <w:pStyle w:val="18"/>
        <w:snapToGrid w:val="0"/>
        <w:ind w:firstLine="420"/>
        <w:rPr>
          <w:rFonts w:ascii="仿宋_GB2312" w:hAnsi="仿宋" w:eastAsia="仿宋_GB2312"/>
          <w:color w:val="auto"/>
          <w:sz w:val="21"/>
          <w:szCs w:val="24"/>
        </w:rPr>
      </w:pPr>
      <w:r>
        <w:rPr>
          <w:rFonts w:hint="eastAsia" w:ascii="仿宋_GB2312" w:hAnsi="仿宋" w:eastAsia="仿宋_GB2312"/>
          <w:color w:val="auto"/>
          <w:sz w:val="21"/>
          <w:szCs w:val="24"/>
        </w:rPr>
        <w:t>1）写明招标项目名称、招标编号，投标人的名称内容。</w:t>
      </w:r>
    </w:p>
    <w:p>
      <w:pPr>
        <w:pStyle w:val="18"/>
        <w:snapToGrid w:val="0"/>
        <w:ind w:firstLine="420"/>
        <w:rPr>
          <w:rFonts w:ascii="仿宋_GB2312" w:hAnsi="仿宋" w:eastAsia="仿宋_GB2312"/>
          <w:color w:val="auto"/>
          <w:sz w:val="21"/>
          <w:szCs w:val="24"/>
        </w:rPr>
      </w:pPr>
      <w:r>
        <w:rPr>
          <w:rFonts w:hint="eastAsia" w:ascii="仿宋_GB2312" w:hAnsi="仿宋" w:eastAsia="仿宋_GB2312"/>
          <w:color w:val="auto"/>
          <w:sz w:val="21"/>
          <w:szCs w:val="24"/>
        </w:rPr>
        <w:t xml:space="preserve">2）写明“ </w:t>
      </w:r>
      <w:r>
        <w:rPr>
          <w:rFonts w:hint="eastAsia" w:ascii="仿宋_GB2312" w:hAnsi="仿宋" w:eastAsia="仿宋_GB2312"/>
          <w:color w:val="auto"/>
          <w:sz w:val="21"/>
          <w:szCs w:val="24"/>
          <w:u w:val="single"/>
        </w:rPr>
        <w:t xml:space="preserve">     </w:t>
      </w:r>
      <w:r>
        <w:rPr>
          <w:rFonts w:hint="eastAsia" w:ascii="仿宋_GB2312" w:hAnsi="仿宋" w:eastAsia="仿宋_GB2312"/>
          <w:color w:val="auto"/>
          <w:sz w:val="21"/>
          <w:szCs w:val="24"/>
        </w:rPr>
        <w:t>年</w:t>
      </w:r>
      <w:r>
        <w:rPr>
          <w:rFonts w:hint="eastAsia" w:ascii="仿宋_GB2312" w:hAnsi="仿宋" w:eastAsia="仿宋_GB2312"/>
          <w:color w:val="auto"/>
          <w:sz w:val="21"/>
          <w:szCs w:val="24"/>
          <w:u w:val="single"/>
        </w:rPr>
        <w:t>___</w:t>
      </w:r>
      <w:r>
        <w:rPr>
          <w:rFonts w:hint="eastAsia" w:ascii="仿宋_GB2312" w:hAnsi="仿宋" w:eastAsia="仿宋_GB2312"/>
          <w:color w:val="auto"/>
          <w:sz w:val="21"/>
          <w:szCs w:val="24"/>
        </w:rPr>
        <w:t>月</w:t>
      </w:r>
      <w:r>
        <w:rPr>
          <w:rFonts w:hint="eastAsia" w:ascii="仿宋_GB2312" w:hAnsi="仿宋" w:eastAsia="仿宋_GB2312"/>
          <w:color w:val="auto"/>
          <w:sz w:val="21"/>
          <w:szCs w:val="24"/>
          <w:u w:val="single"/>
        </w:rPr>
        <w:t>___</w:t>
      </w:r>
      <w:r>
        <w:rPr>
          <w:rFonts w:hint="eastAsia" w:ascii="仿宋_GB2312" w:hAnsi="仿宋" w:eastAsia="仿宋_GB2312"/>
          <w:color w:val="auto"/>
          <w:sz w:val="21"/>
          <w:szCs w:val="24"/>
        </w:rPr>
        <w:t>日</w:t>
      </w:r>
      <w:r>
        <w:rPr>
          <w:rFonts w:hint="eastAsia" w:ascii="仿宋_GB2312" w:hAnsi="仿宋" w:eastAsia="仿宋_GB2312"/>
          <w:color w:val="auto"/>
          <w:sz w:val="21"/>
          <w:szCs w:val="24"/>
          <w:u w:val="single"/>
        </w:rPr>
        <w:t>___</w:t>
      </w:r>
      <w:r>
        <w:rPr>
          <w:rFonts w:hint="eastAsia" w:ascii="仿宋_GB2312" w:hAnsi="仿宋" w:eastAsia="仿宋_GB2312"/>
          <w:color w:val="auto"/>
          <w:sz w:val="21"/>
          <w:szCs w:val="24"/>
        </w:rPr>
        <w:t>时</w:t>
      </w:r>
      <w:r>
        <w:rPr>
          <w:rFonts w:hint="eastAsia" w:ascii="仿宋_GB2312" w:hAnsi="仿宋" w:eastAsia="仿宋_GB2312"/>
          <w:color w:val="auto"/>
          <w:sz w:val="21"/>
          <w:szCs w:val="24"/>
          <w:u w:val="single"/>
        </w:rPr>
        <w:t>___</w:t>
      </w:r>
      <w:r>
        <w:rPr>
          <w:rFonts w:hint="eastAsia" w:ascii="仿宋_GB2312" w:hAnsi="仿宋" w:eastAsia="仿宋_GB2312"/>
          <w:color w:val="auto"/>
          <w:sz w:val="21"/>
          <w:szCs w:val="24"/>
        </w:rPr>
        <w:t>分开标，此时间以前不得开封”字样。</w:t>
      </w:r>
    </w:p>
    <w:p>
      <w:pPr>
        <w:pStyle w:val="18"/>
        <w:snapToGrid w:val="0"/>
        <w:spacing w:before="0"/>
        <w:ind w:firstLine="420"/>
        <w:rPr>
          <w:rFonts w:ascii="仿宋_GB2312" w:hAnsi="仿宋" w:eastAsia="仿宋_GB2312"/>
          <w:color w:val="auto"/>
          <w:sz w:val="21"/>
          <w:szCs w:val="24"/>
        </w:rPr>
      </w:pPr>
      <w:r>
        <w:rPr>
          <w:rFonts w:hint="eastAsia" w:ascii="仿宋_GB2312" w:hAnsi="仿宋" w:eastAsia="仿宋_GB2312"/>
          <w:color w:val="auto"/>
          <w:sz w:val="21"/>
          <w:szCs w:val="24"/>
        </w:rPr>
        <w:t>3）在投标文件外封面上均应由法定代表人或委托代理人签字（或盖章）并加盖公章。</w:t>
      </w:r>
    </w:p>
    <w:p>
      <w:pPr>
        <w:pStyle w:val="18"/>
        <w:snapToGrid w:val="0"/>
        <w:spacing w:before="0"/>
        <w:ind w:firstLine="420"/>
        <w:rPr>
          <w:rFonts w:ascii="仿宋_GB2312" w:hAnsi="仿宋" w:eastAsia="仿宋_GB2312"/>
          <w:color w:val="auto"/>
          <w:sz w:val="21"/>
          <w:szCs w:val="24"/>
        </w:rPr>
      </w:pPr>
      <w:r>
        <w:rPr>
          <w:rFonts w:hint="eastAsia" w:ascii="仿宋_GB2312" w:hAnsi="仿宋" w:eastAsia="仿宋_GB2312"/>
          <w:color w:val="auto"/>
          <w:sz w:val="21"/>
          <w:szCs w:val="24"/>
        </w:rPr>
        <w:t>3.5.3投标人按前附表规定的份数编制投标文件，并在封面上标明“正本”和“副本”。投标文件正本和副本如有不一致之处，以正本为准。</w:t>
      </w:r>
    </w:p>
    <w:p>
      <w:pPr>
        <w:pStyle w:val="18"/>
        <w:snapToGrid w:val="0"/>
        <w:spacing w:before="0"/>
        <w:ind w:firstLine="420"/>
        <w:rPr>
          <w:rFonts w:ascii="仿宋_GB2312" w:hAnsi="仿宋" w:eastAsia="仿宋_GB2312"/>
          <w:color w:val="auto"/>
          <w:sz w:val="21"/>
          <w:szCs w:val="24"/>
        </w:rPr>
      </w:pPr>
      <w:r>
        <w:rPr>
          <w:rFonts w:hint="eastAsia" w:ascii="仿宋_GB2312" w:hAnsi="仿宋" w:eastAsia="仿宋_GB2312"/>
          <w:color w:val="auto"/>
          <w:sz w:val="21"/>
        </w:rPr>
        <w:t>3.5.4</w:t>
      </w:r>
      <w:r>
        <w:rPr>
          <w:rFonts w:hint="eastAsia" w:ascii="仿宋_GB2312" w:hAnsi="仿宋" w:eastAsia="仿宋_GB2312"/>
          <w:color w:val="auto"/>
          <w:sz w:val="21"/>
          <w:szCs w:val="24"/>
        </w:rPr>
        <w:t>投标文件正本和副本均应使用不能擦去的墨水打印或书写，投标（开标）一览表及反映企业资质和经营情况的资料必须加盖投标人公章，并由法定代表人或其授权代表签字盖章。</w:t>
      </w:r>
    </w:p>
    <w:p>
      <w:pPr>
        <w:snapToGrid w:val="0"/>
        <w:spacing w:line="360" w:lineRule="auto"/>
        <w:ind w:firstLine="420" w:firstLineChars="200"/>
        <w:rPr>
          <w:rFonts w:ascii="仿宋_GB2312" w:hAnsi="仿宋" w:eastAsia="仿宋_GB2312"/>
          <w:color w:val="auto"/>
        </w:rPr>
      </w:pPr>
      <w:r>
        <w:rPr>
          <w:rFonts w:hint="eastAsia" w:ascii="仿宋_GB2312" w:hAnsi="仿宋" w:eastAsia="仿宋_GB2312"/>
          <w:color w:val="auto"/>
        </w:rPr>
        <w:t>3.5.5全套投标文件应无涂改和行间插字，除非这些删改是根据采购机构要求进行，或者是投标人造成的必须修改的错误。所修改处应由法定代表人或其授权代表签字盖章予以确认。</w:t>
      </w:r>
    </w:p>
    <w:p>
      <w:pPr>
        <w:snapToGrid w:val="0"/>
        <w:spacing w:line="360" w:lineRule="auto"/>
        <w:ind w:firstLine="420" w:firstLineChars="200"/>
        <w:rPr>
          <w:rFonts w:ascii="仿宋_GB2312" w:hAnsi="仿宋" w:eastAsia="仿宋_GB2312"/>
          <w:color w:val="auto"/>
        </w:rPr>
      </w:pPr>
      <w:r>
        <w:rPr>
          <w:rFonts w:hint="eastAsia" w:ascii="仿宋_GB2312" w:hAnsi="仿宋" w:eastAsia="仿宋_GB2312"/>
          <w:color w:val="auto"/>
        </w:rPr>
        <w:t>3.5.6投标文件建议采用A4幅面，按顺序统一编目编码装订成册。</w:t>
      </w:r>
    </w:p>
    <w:p>
      <w:pPr>
        <w:adjustRightInd/>
        <w:spacing w:line="360" w:lineRule="auto"/>
        <w:jc w:val="center"/>
        <w:outlineLvl w:val="0"/>
        <w:rPr>
          <w:rFonts w:ascii="仿宋_GB2312" w:hAnsi="仿宋" w:eastAsia="仿宋_GB2312"/>
          <w:b/>
          <w:color w:val="auto"/>
          <w:sz w:val="32"/>
          <w:szCs w:val="20"/>
        </w:rPr>
      </w:pPr>
    </w:p>
    <w:p>
      <w:pPr>
        <w:adjustRightInd/>
        <w:spacing w:line="360" w:lineRule="auto"/>
        <w:jc w:val="center"/>
        <w:outlineLvl w:val="0"/>
        <w:rPr>
          <w:rFonts w:ascii="仿宋_GB2312" w:hAnsi="仿宋" w:eastAsia="仿宋_GB2312"/>
          <w:b/>
          <w:color w:val="auto"/>
          <w:sz w:val="32"/>
          <w:szCs w:val="20"/>
        </w:rPr>
      </w:pPr>
      <w:r>
        <w:rPr>
          <w:rFonts w:hint="eastAsia" w:ascii="仿宋_GB2312" w:hAnsi="仿宋" w:eastAsia="仿宋_GB2312"/>
          <w:b/>
          <w:color w:val="auto"/>
          <w:sz w:val="32"/>
          <w:szCs w:val="20"/>
        </w:rPr>
        <w:t>四、投标文件的递交</w:t>
      </w:r>
      <w:bookmarkEnd w:id="28"/>
    </w:p>
    <w:bookmarkEnd w:id="29"/>
    <w:p>
      <w:pPr>
        <w:pStyle w:val="9"/>
        <w:spacing w:line="360" w:lineRule="auto"/>
        <w:rPr>
          <w:rFonts w:ascii="仿宋_GB2312" w:hAnsi="仿宋" w:eastAsia="仿宋_GB2312"/>
          <w:b/>
          <w:color w:val="auto"/>
          <w:szCs w:val="24"/>
        </w:rPr>
      </w:pPr>
      <w:bookmarkStart w:id="34" w:name="_Toc164416483"/>
      <w:bookmarkStart w:id="35" w:name="第三部分"/>
      <w:r>
        <w:rPr>
          <w:rFonts w:hint="eastAsia" w:ascii="仿宋_GB2312" w:hAnsi="仿宋" w:eastAsia="仿宋_GB2312"/>
          <w:b/>
          <w:color w:val="auto"/>
          <w:szCs w:val="24"/>
        </w:rPr>
        <w:t>4.1投标文件的密封与标志</w:t>
      </w:r>
    </w:p>
    <w:p>
      <w:pPr>
        <w:pStyle w:val="18"/>
        <w:spacing w:before="0"/>
        <w:ind w:firstLine="420"/>
        <w:rPr>
          <w:rFonts w:ascii="仿宋_GB2312" w:hAnsi="仿宋" w:eastAsia="仿宋_GB2312"/>
          <w:color w:val="auto"/>
          <w:sz w:val="21"/>
          <w:szCs w:val="24"/>
        </w:rPr>
      </w:pPr>
      <w:r>
        <w:rPr>
          <w:rFonts w:hint="eastAsia" w:ascii="仿宋_GB2312" w:hAnsi="仿宋" w:eastAsia="仿宋_GB2312"/>
          <w:color w:val="auto"/>
          <w:sz w:val="21"/>
          <w:szCs w:val="24"/>
        </w:rPr>
        <w:t>4.1.1投标文件须</w:t>
      </w:r>
      <w:r>
        <w:rPr>
          <w:rFonts w:hint="eastAsia" w:ascii="仿宋_GB2312" w:hAnsi="仿宋" w:eastAsia="仿宋_GB2312"/>
          <w:b/>
          <w:color w:val="auto"/>
          <w:sz w:val="21"/>
          <w:szCs w:val="24"/>
        </w:rPr>
        <w:t>密封包装。</w:t>
      </w:r>
      <w:r>
        <w:rPr>
          <w:rFonts w:hint="eastAsia" w:ascii="仿宋_GB2312" w:hAnsi="仿宋" w:eastAsia="仿宋_GB2312"/>
          <w:color w:val="auto"/>
          <w:sz w:val="21"/>
          <w:szCs w:val="24"/>
        </w:rPr>
        <w:t>没有密封包装的投标文件，将被当场拒绝。</w:t>
      </w:r>
    </w:p>
    <w:p>
      <w:pPr>
        <w:pStyle w:val="18"/>
        <w:spacing w:before="0"/>
        <w:ind w:firstLine="420"/>
        <w:rPr>
          <w:rFonts w:ascii="仿宋_GB2312" w:hAnsi="仿宋" w:eastAsia="仿宋_GB2312"/>
          <w:color w:val="auto"/>
          <w:sz w:val="21"/>
          <w:szCs w:val="24"/>
        </w:rPr>
      </w:pPr>
      <w:r>
        <w:rPr>
          <w:rFonts w:hint="eastAsia" w:ascii="仿宋_GB2312" w:hAnsi="仿宋" w:eastAsia="仿宋_GB2312"/>
          <w:color w:val="auto"/>
          <w:sz w:val="21"/>
          <w:szCs w:val="24"/>
        </w:rPr>
        <w:t>4.1.2投标文件包装封面物应写明项目名称、投标人全称。</w:t>
      </w:r>
    </w:p>
    <w:p>
      <w:pPr>
        <w:pStyle w:val="9"/>
        <w:spacing w:line="360" w:lineRule="auto"/>
        <w:rPr>
          <w:rFonts w:ascii="仿宋_GB2312" w:hAnsi="仿宋" w:eastAsia="仿宋_GB2312"/>
          <w:b/>
          <w:color w:val="auto"/>
          <w:szCs w:val="24"/>
        </w:rPr>
      </w:pPr>
      <w:r>
        <w:rPr>
          <w:rFonts w:hint="eastAsia" w:ascii="仿宋_GB2312" w:hAnsi="仿宋" w:eastAsia="仿宋_GB2312"/>
          <w:b/>
          <w:color w:val="auto"/>
          <w:szCs w:val="24"/>
        </w:rPr>
        <w:t>4.2投标截止期</w:t>
      </w:r>
    </w:p>
    <w:p>
      <w:pPr>
        <w:pStyle w:val="18"/>
        <w:spacing w:before="0"/>
        <w:ind w:firstLine="420"/>
        <w:rPr>
          <w:rFonts w:ascii="仿宋_GB2312" w:hAnsi="仿宋" w:eastAsia="仿宋_GB2312"/>
          <w:color w:val="auto"/>
          <w:sz w:val="21"/>
          <w:szCs w:val="24"/>
        </w:rPr>
      </w:pPr>
      <w:r>
        <w:rPr>
          <w:rFonts w:hint="eastAsia" w:ascii="仿宋_GB2312" w:hAnsi="仿宋" w:eastAsia="仿宋_GB2312"/>
          <w:color w:val="auto"/>
          <w:sz w:val="21"/>
          <w:szCs w:val="24"/>
        </w:rPr>
        <w:t>4.2.1</w:t>
      </w:r>
      <w:r>
        <w:rPr>
          <w:rFonts w:hint="eastAsia" w:ascii="仿宋_GB2312" w:eastAsia="仿宋_GB2312"/>
          <w:color w:val="auto"/>
          <w:sz w:val="21"/>
        </w:rPr>
        <w:t>投标人应按“招标公告”规定的时间、地点将投标文件递交给</w:t>
      </w:r>
      <w:r>
        <w:rPr>
          <w:rFonts w:hint="eastAsia" w:ascii="仿宋_GB2312" w:hAnsi="宋体" w:eastAsia="仿宋_GB2312"/>
          <w:color w:val="auto"/>
          <w:sz w:val="21"/>
          <w:szCs w:val="24"/>
        </w:rPr>
        <w:t>采购机构</w:t>
      </w:r>
      <w:r>
        <w:rPr>
          <w:rFonts w:hint="eastAsia" w:ascii="仿宋_GB2312" w:eastAsia="仿宋_GB2312"/>
          <w:color w:val="auto"/>
          <w:sz w:val="21"/>
        </w:rPr>
        <w:t>，</w:t>
      </w:r>
      <w:r>
        <w:rPr>
          <w:rFonts w:hint="eastAsia" w:ascii="仿宋_GB2312" w:hAnsi="宋体" w:eastAsia="仿宋_GB2312"/>
          <w:color w:val="auto"/>
          <w:sz w:val="21"/>
          <w:szCs w:val="24"/>
        </w:rPr>
        <w:t>采购机构</w:t>
      </w:r>
      <w:r>
        <w:rPr>
          <w:rFonts w:hint="eastAsia" w:ascii="仿宋_GB2312" w:eastAsia="仿宋_GB2312"/>
          <w:color w:val="auto"/>
          <w:sz w:val="21"/>
        </w:rPr>
        <w:t>将拒绝接受逾期送达的投标文件。</w:t>
      </w:r>
    </w:p>
    <w:p>
      <w:pPr>
        <w:pStyle w:val="18"/>
        <w:spacing w:before="0"/>
        <w:ind w:firstLine="420"/>
        <w:rPr>
          <w:rFonts w:ascii="仿宋_GB2312" w:hAnsi="仿宋" w:eastAsia="仿宋_GB2312"/>
          <w:color w:val="auto"/>
          <w:sz w:val="21"/>
          <w:szCs w:val="24"/>
        </w:rPr>
      </w:pPr>
      <w:r>
        <w:rPr>
          <w:rFonts w:hint="eastAsia" w:ascii="仿宋_GB2312" w:hAnsi="仿宋" w:eastAsia="仿宋_GB2312"/>
          <w:color w:val="auto"/>
          <w:sz w:val="21"/>
          <w:szCs w:val="24"/>
        </w:rPr>
        <w:t>4.2.2采购机构可以按本须知第7条规定以补充通知的方式，酌情延长递交投标文件的截止日期。在上述情况下，采购机构与投标人以前在投标截止期方面的全部权利、责任和义务，将适用于延长至新的投标截止期。</w:t>
      </w:r>
    </w:p>
    <w:p>
      <w:pPr>
        <w:pStyle w:val="9"/>
        <w:spacing w:line="360" w:lineRule="auto"/>
        <w:rPr>
          <w:rFonts w:ascii="仿宋_GB2312" w:hAnsi="仿宋" w:eastAsia="仿宋_GB2312"/>
          <w:b/>
          <w:color w:val="auto"/>
          <w:szCs w:val="24"/>
        </w:rPr>
      </w:pPr>
      <w:r>
        <w:rPr>
          <w:rFonts w:hint="eastAsia" w:ascii="仿宋_GB2312" w:hAnsi="仿宋" w:eastAsia="仿宋_GB2312"/>
          <w:b/>
          <w:color w:val="auto"/>
          <w:szCs w:val="24"/>
        </w:rPr>
        <w:t>4.3. 投标文件的补充、修改、撤回</w:t>
      </w:r>
    </w:p>
    <w:p>
      <w:pPr>
        <w:pStyle w:val="18"/>
        <w:spacing w:before="0"/>
        <w:ind w:firstLine="420"/>
        <w:rPr>
          <w:rFonts w:ascii="仿宋_GB2312" w:hAnsi="仿宋" w:eastAsia="仿宋_GB2312"/>
          <w:color w:val="auto"/>
          <w:sz w:val="21"/>
          <w:szCs w:val="24"/>
        </w:rPr>
      </w:pPr>
      <w:r>
        <w:rPr>
          <w:rFonts w:hint="eastAsia" w:ascii="仿宋_GB2312" w:hAnsi="仿宋" w:eastAsia="仿宋_GB2312"/>
          <w:color w:val="auto"/>
          <w:sz w:val="21"/>
          <w:szCs w:val="24"/>
        </w:rPr>
        <w:t>4.3.1投标人递交投标文件以后，在规定的投标截止时间之前，可以书面形式对投标文件进行补充、修改，补充、修改文件须加盖单位公章，并由法定代表人或其授权代表签字或盖章，在投标截止时间以后，不能补充、修改投标文件。</w:t>
      </w:r>
    </w:p>
    <w:p>
      <w:pPr>
        <w:pStyle w:val="18"/>
        <w:spacing w:before="0"/>
        <w:ind w:firstLine="420"/>
        <w:rPr>
          <w:rFonts w:ascii="仿宋_GB2312" w:hAnsi="仿宋" w:eastAsia="仿宋_GB2312"/>
          <w:color w:val="auto"/>
          <w:sz w:val="21"/>
          <w:szCs w:val="24"/>
        </w:rPr>
      </w:pPr>
      <w:r>
        <w:rPr>
          <w:rFonts w:hint="eastAsia" w:ascii="仿宋_GB2312" w:hAnsi="仿宋" w:eastAsia="仿宋_GB2312"/>
          <w:color w:val="auto"/>
          <w:sz w:val="21"/>
          <w:szCs w:val="24"/>
        </w:rPr>
        <w:t>4.3.2 投标人的补充、修改文件，应按本须知规定编制、密封、标志和递交，如果一份投标文件有几份函件时，应注明哪一份有效，否则所作修改视为无效。</w:t>
      </w:r>
    </w:p>
    <w:p>
      <w:pPr>
        <w:pStyle w:val="18"/>
        <w:spacing w:before="0"/>
        <w:ind w:firstLine="420"/>
        <w:rPr>
          <w:rFonts w:ascii="仿宋_GB2312" w:hAnsi="仿宋" w:eastAsia="仿宋_GB2312"/>
          <w:color w:val="auto"/>
          <w:sz w:val="21"/>
          <w:szCs w:val="24"/>
        </w:rPr>
      </w:pPr>
      <w:r>
        <w:rPr>
          <w:rFonts w:hint="eastAsia" w:ascii="仿宋_GB2312" w:hAnsi="仿宋" w:eastAsia="仿宋_GB2312"/>
          <w:color w:val="auto"/>
          <w:sz w:val="21"/>
          <w:szCs w:val="24"/>
        </w:rPr>
        <w:t>4.3.3投标人对投标文件的修改均要加以说明，否则其修改将被视为无效。</w:t>
      </w:r>
    </w:p>
    <w:p>
      <w:pPr>
        <w:pStyle w:val="18"/>
        <w:spacing w:before="0"/>
        <w:ind w:firstLine="420"/>
        <w:rPr>
          <w:rFonts w:ascii="仿宋_GB2312" w:hAnsi="仿宋" w:eastAsia="仿宋_GB2312"/>
          <w:color w:val="auto"/>
          <w:sz w:val="21"/>
          <w:szCs w:val="24"/>
        </w:rPr>
      </w:pPr>
      <w:r>
        <w:rPr>
          <w:rFonts w:hint="eastAsia" w:ascii="仿宋_GB2312" w:hAnsi="仿宋" w:eastAsia="仿宋_GB2312"/>
          <w:color w:val="auto"/>
          <w:sz w:val="21"/>
          <w:szCs w:val="24"/>
        </w:rPr>
        <w:t>4.3.4投标人在投标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18"/>
        <w:spacing w:before="0"/>
        <w:ind w:firstLine="420"/>
        <w:rPr>
          <w:rFonts w:ascii="仿宋_GB2312" w:hAnsi="仿宋" w:eastAsia="仿宋_GB2312"/>
          <w:color w:val="auto"/>
          <w:sz w:val="21"/>
          <w:szCs w:val="24"/>
        </w:rPr>
      </w:pPr>
      <w:r>
        <w:rPr>
          <w:rFonts w:hint="eastAsia" w:ascii="仿宋_GB2312" w:hAnsi="仿宋" w:eastAsia="仿宋_GB2312"/>
          <w:color w:val="auto"/>
          <w:sz w:val="21"/>
          <w:szCs w:val="24"/>
        </w:rPr>
        <w:t>4.3.5</w:t>
      </w:r>
      <w:r>
        <w:rPr>
          <w:rFonts w:hint="eastAsia" w:ascii="仿宋_GB2312" w:eastAsia="仿宋_GB2312"/>
          <w:color w:val="auto"/>
          <w:sz w:val="21"/>
        </w:rPr>
        <w:t>在</w:t>
      </w:r>
      <w:r>
        <w:rPr>
          <w:rFonts w:hint="eastAsia" w:ascii="仿宋_GB2312" w:hAnsi="宋体" w:eastAsia="仿宋_GB2312"/>
          <w:color w:val="auto"/>
          <w:sz w:val="21"/>
        </w:rPr>
        <w:t>开标后规定的投标有效期内</w:t>
      </w:r>
      <w:r>
        <w:rPr>
          <w:rFonts w:hint="eastAsia" w:ascii="仿宋_GB2312" w:hAnsi="仿宋" w:eastAsia="仿宋_GB2312"/>
          <w:color w:val="auto"/>
          <w:sz w:val="21"/>
          <w:szCs w:val="24"/>
        </w:rPr>
        <w:t>，投标人不能撤回投标文件.</w:t>
      </w:r>
    </w:p>
    <w:p>
      <w:pPr>
        <w:pStyle w:val="18"/>
        <w:spacing w:before="0"/>
        <w:ind w:firstLine="480"/>
        <w:rPr>
          <w:rFonts w:ascii="仿宋_GB2312" w:hAnsi="仿宋" w:eastAsia="仿宋_GB2312"/>
          <w:color w:val="auto"/>
          <w:szCs w:val="24"/>
        </w:rPr>
      </w:pPr>
    </w:p>
    <w:p>
      <w:pPr>
        <w:adjustRightInd/>
        <w:spacing w:line="360" w:lineRule="auto"/>
        <w:jc w:val="center"/>
        <w:outlineLvl w:val="0"/>
        <w:rPr>
          <w:rFonts w:ascii="仿宋_GB2312" w:hAnsi="仿宋" w:eastAsia="仿宋_GB2312"/>
          <w:b/>
          <w:color w:val="auto"/>
          <w:sz w:val="32"/>
          <w:szCs w:val="20"/>
        </w:rPr>
      </w:pPr>
      <w:bookmarkStart w:id="36" w:name="_Toc91899897"/>
      <w:r>
        <w:rPr>
          <w:rFonts w:hint="eastAsia" w:ascii="仿宋_GB2312" w:hAnsi="仿宋" w:eastAsia="仿宋_GB2312"/>
          <w:b/>
          <w:color w:val="auto"/>
          <w:sz w:val="32"/>
          <w:szCs w:val="20"/>
        </w:rPr>
        <w:t>五、开标</w:t>
      </w:r>
      <w:bookmarkEnd w:id="36"/>
    </w:p>
    <w:p>
      <w:pPr>
        <w:pStyle w:val="9"/>
        <w:spacing w:line="360" w:lineRule="auto"/>
        <w:rPr>
          <w:rFonts w:ascii="仿宋_GB2312" w:hAnsi="仿宋" w:eastAsia="仿宋_GB2312"/>
          <w:b/>
          <w:color w:val="auto"/>
          <w:szCs w:val="24"/>
        </w:rPr>
      </w:pPr>
      <w:r>
        <w:rPr>
          <w:rFonts w:hint="eastAsia" w:ascii="仿宋_GB2312" w:hAnsi="仿宋" w:eastAsia="仿宋_GB2312"/>
          <w:b/>
          <w:color w:val="auto"/>
          <w:szCs w:val="24"/>
        </w:rPr>
        <w:t>5.1 开标</w:t>
      </w:r>
    </w:p>
    <w:p>
      <w:pPr>
        <w:pStyle w:val="18"/>
        <w:spacing w:before="0"/>
        <w:ind w:firstLine="420"/>
        <w:rPr>
          <w:rFonts w:ascii="仿宋_GB2312" w:hAnsi="宋体" w:eastAsia="仿宋_GB2312" w:cs="宋体"/>
          <w:color w:val="auto"/>
          <w:kern w:val="0"/>
          <w:sz w:val="21"/>
          <w:szCs w:val="24"/>
        </w:rPr>
      </w:pPr>
      <w:r>
        <w:rPr>
          <w:rFonts w:hint="eastAsia" w:ascii="仿宋_GB2312" w:hAnsi="仿宋" w:eastAsia="仿宋_GB2312"/>
          <w:color w:val="auto"/>
          <w:sz w:val="21"/>
          <w:szCs w:val="24"/>
        </w:rPr>
        <w:t>5.1.1</w:t>
      </w:r>
      <w:r>
        <w:rPr>
          <w:rFonts w:hint="eastAsia" w:ascii="仿宋_GB2312" w:eastAsia="仿宋_GB2312"/>
          <w:color w:val="auto"/>
          <w:sz w:val="21"/>
        </w:rPr>
        <w:t>采购机构将于“招标公告”规定的开标时间</w:t>
      </w:r>
      <w:r>
        <w:rPr>
          <w:rFonts w:hint="eastAsia" w:ascii="仿宋_GB2312" w:hAnsi="仿宋" w:eastAsia="仿宋_GB2312"/>
          <w:color w:val="auto"/>
          <w:sz w:val="21"/>
          <w:szCs w:val="24"/>
        </w:rPr>
        <w:t>，由招标人主持，在招标文件规定的地点公开进行。</w:t>
      </w:r>
      <w:r>
        <w:rPr>
          <w:rFonts w:hint="eastAsia" w:ascii="仿宋_GB2312" w:hAnsi="宋体" w:eastAsia="仿宋_GB2312"/>
          <w:color w:val="auto"/>
          <w:sz w:val="21"/>
          <w:szCs w:val="24"/>
        </w:rPr>
        <w:t xml:space="preserve"> </w:t>
      </w:r>
      <w:r>
        <w:rPr>
          <w:rFonts w:hint="eastAsia" w:ascii="仿宋_GB2312" w:eastAsia="仿宋_GB2312"/>
          <w:b/>
          <w:color w:val="auto"/>
          <w:sz w:val="21"/>
          <w:szCs w:val="24"/>
        </w:rPr>
        <w:t>各投标人法定代表人或其授权代表应准时参加</w:t>
      </w:r>
      <w:r>
        <w:rPr>
          <w:rFonts w:hint="eastAsia" w:ascii="仿宋_GB2312" w:eastAsia="仿宋_GB2312"/>
          <w:color w:val="auto"/>
          <w:sz w:val="21"/>
          <w:szCs w:val="24"/>
        </w:rPr>
        <w:t>，</w:t>
      </w:r>
      <w:r>
        <w:rPr>
          <w:rFonts w:hint="eastAsia" w:ascii="仿宋_GB2312" w:eastAsia="仿宋_GB2312"/>
          <w:b/>
          <w:color w:val="auto"/>
          <w:sz w:val="21"/>
          <w:szCs w:val="24"/>
        </w:rPr>
        <w:t>携带本人有效证件原件，投标文件中按要求提供法定代表人授权书（法定代表人参加的除外）。</w:t>
      </w:r>
      <w:r>
        <w:rPr>
          <w:rFonts w:hint="eastAsia" w:ascii="仿宋_GB2312" w:eastAsia="仿宋_GB2312"/>
          <w:color w:val="auto"/>
          <w:sz w:val="21"/>
          <w:szCs w:val="24"/>
        </w:rPr>
        <w:t>投标人</w:t>
      </w:r>
      <w:r>
        <w:rPr>
          <w:rFonts w:hint="eastAsia" w:ascii="仿宋_GB2312" w:hAnsi="宋体" w:eastAsia="仿宋_GB2312" w:cs="宋体"/>
          <w:color w:val="auto"/>
          <w:kern w:val="0"/>
          <w:sz w:val="21"/>
          <w:szCs w:val="24"/>
        </w:rPr>
        <w:t>如不派授权代表或法定代表人参加开标大会的，事后不得对采购相关人员、开标过程和开标结果提出异议。</w:t>
      </w:r>
    </w:p>
    <w:p>
      <w:pPr>
        <w:pStyle w:val="19"/>
        <w:spacing w:before="0" w:line="360" w:lineRule="auto"/>
        <w:ind w:left="0" w:firstLine="420" w:firstLineChars="200"/>
        <w:rPr>
          <w:rFonts w:ascii="仿宋_GB2312" w:hAnsi="仿宋" w:eastAsia="仿宋_GB2312"/>
          <w:color w:val="auto"/>
          <w:kern w:val="2"/>
          <w:sz w:val="21"/>
          <w:szCs w:val="24"/>
        </w:rPr>
      </w:pPr>
      <w:r>
        <w:rPr>
          <w:rFonts w:hint="eastAsia" w:ascii="仿宋_GB2312" w:hAnsi="仿宋" w:eastAsia="仿宋_GB2312"/>
          <w:color w:val="auto"/>
          <w:kern w:val="2"/>
          <w:sz w:val="21"/>
          <w:szCs w:val="24"/>
        </w:rPr>
        <w:t>5.1.2 开标时，由投标人或者其推选的代表检查投标文件的密封情况，经确认无误后，由采购机构工作人员当众拆封，检查投标文件份数。唱标人将当众宣读投标人名称、投标价格和投标文件的其他主要内容。</w:t>
      </w:r>
    </w:p>
    <w:p>
      <w:pPr>
        <w:pStyle w:val="19"/>
        <w:spacing w:before="0" w:line="360" w:lineRule="auto"/>
        <w:ind w:left="0" w:firstLine="420" w:firstLineChars="200"/>
        <w:rPr>
          <w:rFonts w:ascii="仿宋_GB2312" w:hAnsi="仿宋" w:eastAsia="仿宋_GB2312"/>
          <w:color w:val="auto"/>
          <w:kern w:val="2"/>
          <w:sz w:val="21"/>
          <w:szCs w:val="24"/>
        </w:rPr>
      </w:pPr>
      <w:r>
        <w:rPr>
          <w:rFonts w:hint="eastAsia" w:ascii="仿宋_GB2312" w:hAnsi="仿宋" w:eastAsia="仿宋_GB2312"/>
          <w:color w:val="auto"/>
          <w:kern w:val="2"/>
          <w:sz w:val="21"/>
          <w:szCs w:val="24"/>
        </w:rPr>
        <w:t>5.1.3投标人代表应对唱标内容及记录结果当即进行校核确认。如发现唱标内容或记录结果与投标文件不一致时，应在签字确认前当场提出，并经招标人代表、监督人、唱标人和记录人核实后，当即予以纠正。</w:t>
      </w:r>
    </w:p>
    <w:p>
      <w:pPr>
        <w:pStyle w:val="19"/>
        <w:spacing w:before="0" w:line="360" w:lineRule="auto"/>
        <w:ind w:left="0" w:firstLine="420" w:firstLineChars="200"/>
        <w:rPr>
          <w:rFonts w:ascii="仿宋_GB2312" w:hAnsi="仿宋" w:eastAsia="仿宋_GB2312"/>
          <w:color w:val="auto"/>
          <w:kern w:val="2"/>
          <w:sz w:val="21"/>
          <w:szCs w:val="24"/>
        </w:rPr>
      </w:pPr>
      <w:r>
        <w:rPr>
          <w:rFonts w:hint="eastAsia" w:ascii="仿宋_GB2312" w:hAnsi="仿宋" w:eastAsia="仿宋_GB2312"/>
          <w:color w:val="auto"/>
          <w:kern w:val="2"/>
          <w:sz w:val="21"/>
          <w:szCs w:val="24"/>
        </w:rPr>
        <w:t>5.1.4投标人在投标截止时间前递交投标文件撤回函的，招标人应在开标时宣读撤回函，并将其投标文件及其投标保证金及时退还投标人。</w:t>
      </w:r>
    </w:p>
    <w:p>
      <w:pPr>
        <w:pStyle w:val="19"/>
        <w:spacing w:before="0" w:line="360" w:lineRule="auto"/>
        <w:ind w:left="0" w:firstLine="420" w:firstLineChars="200"/>
        <w:rPr>
          <w:rFonts w:ascii="仿宋_GB2312" w:hAnsi="仿宋" w:eastAsia="仿宋_GB2312"/>
          <w:color w:val="auto"/>
          <w:kern w:val="2"/>
          <w:sz w:val="21"/>
          <w:szCs w:val="24"/>
        </w:rPr>
      </w:pPr>
      <w:r>
        <w:rPr>
          <w:rFonts w:hint="eastAsia" w:ascii="仿宋_GB2312" w:hAnsi="仿宋" w:eastAsia="仿宋_GB2312"/>
          <w:color w:val="auto"/>
          <w:kern w:val="2"/>
          <w:sz w:val="21"/>
          <w:szCs w:val="24"/>
        </w:rPr>
        <w:t>5.1.5唱标结束后，投标人代表应在开标记录上签字确认。招标人代表、唱标人、记录人、监督人均应在开标记录上签字。投标人代表未在开标记录上签字的，均视为对开标结果予以默认。</w:t>
      </w:r>
    </w:p>
    <w:p>
      <w:pPr>
        <w:pStyle w:val="19"/>
        <w:spacing w:before="0" w:line="360" w:lineRule="auto"/>
        <w:ind w:left="0" w:firstLine="420" w:firstLineChars="200"/>
        <w:rPr>
          <w:rFonts w:ascii="仿宋_GB2312" w:hAnsi="仿宋" w:eastAsia="仿宋_GB2312"/>
          <w:b/>
          <w:bCs/>
          <w:color w:val="auto"/>
          <w:sz w:val="21"/>
          <w:szCs w:val="24"/>
        </w:rPr>
      </w:pPr>
      <w:r>
        <w:rPr>
          <w:rFonts w:hint="eastAsia" w:ascii="仿宋_GB2312" w:hAnsi="仿宋" w:eastAsia="仿宋_GB2312"/>
          <w:color w:val="auto"/>
          <w:kern w:val="2"/>
          <w:sz w:val="21"/>
          <w:szCs w:val="24"/>
        </w:rPr>
        <w:t>5.1.6开标时，投标文件中的投标（开标）一览表内容与投标文件中明细表内容不一致的，以投标（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napToGrid w:val="0"/>
        <w:spacing w:line="360" w:lineRule="auto"/>
        <w:ind w:firstLine="420" w:firstLineChars="200"/>
        <w:rPr>
          <w:rFonts w:ascii="仿宋_GB2312" w:hAnsi="仿宋" w:eastAsia="仿宋_GB2312"/>
          <w:color w:val="auto"/>
        </w:rPr>
      </w:pPr>
      <w:r>
        <w:rPr>
          <w:rFonts w:hint="eastAsia" w:ascii="仿宋_GB2312" w:hAnsi="仿宋" w:eastAsia="仿宋_GB2312"/>
          <w:color w:val="auto"/>
        </w:rPr>
        <w:t>5.1.7开标时，采购机构将对投标文件进行初步检查，并将相关情况报告评标委员会。投标文件存在下列情况之一者，投标文件将被拒收（原封退回）：</w:t>
      </w:r>
    </w:p>
    <w:p>
      <w:pPr>
        <w:numPr>
          <w:ilvl w:val="0"/>
          <w:numId w:val="3"/>
        </w:numPr>
        <w:tabs>
          <w:tab w:val="left" w:pos="840"/>
        </w:tabs>
        <w:adjustRightInd/>
        <w:snapToGrid w:val="0"/>
        <w:spacing w:line="360" w:lineRule="auto"/>
        <w:ind w:firstLine="0"/>
        <w:rPr>
          <w:rFonts w:ascii="仿宋_GB2312" w:hAnsi="仿宋" w:eastAsia="仿宋_GB2312"/>
          <w:color w:val="auto"/>
        </w:rPr>
      </w:pPr>
      <w:r>
        <w:rPr>
          <w:rFonts w:hint="eastAsia" w:ascii="仿宋_GB2312" w:hAnsi="仿宋" w:eastAsia="仿宋_GB2312"/>
          <w:color w:val="auto"/>
        </w:rPr>
        <w:t>投标文件逾期送达的或者未送达指定地点的；</w:t>
      </w:r>
    </w:p>
    <w:p>
      <w:pPr>
        <w:numPr>
          <w:ilvl w:val="0"/>
          <w:numId w:val="3"/>
        </w:numPr>
        <w:tabs>
          <w:tab w:val="left" w:pos="840"/>
        </w:tabs>
        <w:adjustRightInd/>
        <w:snapToGrid w:val="0"/>
        <w:spacing w:line="360" w:lineRule="auto"/>
        <w:ind w:firstLine="0"/>
        <w:rPr>
          <w:rFonts w:ascii="仿宋_GB2312" w:hAnsi="仿宋" w:eastAsia="仿宋_GB2312"/>
          <w:color w:val="auto"/>
        </w:rPr>
      </w:pPr>
      <w:r>
        <w:rPr>
          <w:rFonts w:hint="eastAsia" w:ascii="仿宋_GB2312" w:hAnsi="仿宋" w:eastAsia="仿宋_GB2312"/>
          <w:color w:val="auto"/>
        </w:rPr>
        <w:t>投标文件未按招标文件要求密封的；</w:t>
      </w:r>
    </w:p>
    <w:p>
      <w:pPr>
        <w:autoSpaceDE w:val="0"/>
        <w:autoSpaceDN w:val="0"/>
        <w:spacing w:line="360" w:lineRule="auto"/>
        <w:ind w:firstLine="420" w:firstLineChars="200"/>
        <w:rPr>
          <w:rFonts w:ascii="仿宋_GB2312" w:hAnsi="仿宋" w:eastAsia="仿宋_GB2312"/>
          <w:color w:val="auto"/>
        </w:rPr>
      </w:pPr>
      <w:r>
        <w:rPr>
          <w:rFonts w:hint="eastAsia" w:ascii="仿宋_GB2312" w:hAnsi="仿宋" w:eastAsia="仿宋_GB2312"/>
          <w:color w:val="auto"/>
        </w:rPr>
        <w:t>5.1.8经开标后递交至评标委员会的投标文件，仍需接受相关资格性审查和符合性审查，并有可能在评标过程中被判断为无效。</w:t>
      </w:r>
    </w:p>
    <w:p>
      <w:pPr>
        <w:pStyle w:val="18"/>
        <w:spacing w:before="0"/>
        <w:ind w:firstLine="420"/>
        <w:rPr>
          <w:rFonts w:ascii="仿宋_GB2312" w:hAnsi="仿宋" w:eastAsia="仿宋_GB2312"/>
          <w:color w:val="auto"/>
          <w:sz w:val="21"/>
          <w:szCs w:val="24"/>
        </w:rPr>
      </w:pPr>
      <w:bookmarkStart w:id="37" w:name="_Hlt75236101"/>
      <w:bookmarkEnd w:id="37"/>
      <w:bookmarkStart w:id="38" w:name="_Toc91899902"/>
      <w:r>
        <w:rPr>
          <w:rFonts w:hint="eastAsia" w:ascii="仿宋_GB2312" w:hAnsi="仿宋" w:eastAsia="仿宋_GB2312"/>
          <w:color w:val="auto"/>
          <w:sz w:val="21"/>
          <w:szCs w:val="24"/>
        </w:rPr>
        <w:t>5.1.9 开标后，不论投标人中标与否，投标文件均不退回。</w:t>
      </w:r>
    </w:p>
    <w:p>
      <w:pPr>
        <w:adjustRightInd/>
        <w:spacing w:line="360" w:lineRule="auto"/>
        <w:jc w:val="center"/>
        <w:outlineLvl w:val="0"/>
        <w:rPr>
          <w:rFonts w:ascii="仿宋_GB2312" w:hAnsi="仿宋" w:eastAsia="仿宋_GB2312"/>
          <w:b/>
          <w:color w:val="auto"/>
          <w:sz w:val="32"/>
          <w:szCs w:val="20"/>
        </w:rPr>
      </w:pPr>
    </w:p>
    <w:p>
      <w:pPr>
        <w:adjustRightInd/>
        <w:spacing w:line="360" w:lineRule="auto"/>
        <w:jc w:val="center"/>
        <w:outlineLvl w:val="0"/>
        <w:rPr>
          <w:rFonts w:ascii="仿宋_GB2312" w:hAnsi="仿宋" w:eastAsia="仿宋_GB2312"/>
          <w:b/>
          <w:color w:val="auto"/>
          <w:sz w:val="32"/>
          <w:szCs w:val="20"/>
        </w:rPr>
      </w:pPr>
      <w:r>
        <w:rPr>
          <w:rFonts w:hint="eastAsia" w:ascii="仿宋_GB2312" w:hAnsi="仿宋" w:eastAsia="仿宋_GB2312"/>
          <w:b/>
          <w:color w:val="auto"/>
          <w:sz w:val="32"/>
          <w:szCs w:val="20"/>
        </w:rPr>
        <w:t>六、评标</w:t>
      </w:r>
      <w:bookmarkEnd w:id="38"/>
    </w:p>
    <w:p>
      <w:pPr>
        <w:pStyle w:val="9"/>
        <w:spacing w:line="360" w:lineRule="auto"/>
        <w:rPr>
          <w:rFonts w:ascii="仿宋_GB2312" w:hAnsi="仿宋" w:eastAsia="仿宋_GB2312"/>
          <w:b/>
          <w:color w:val="auto"/>
          <w:sz w:val="22"/>
          <w:szCs w:val="24"/>
        </w:rPr>
      </w:pPr>
      <w:bookmarkStart w:id="39" w:name="_Toc91899903"/>
      <w:r>
        <w:rPr>
          <w:rFonts w:hint="eastAsia" w:ascii="仿宋_GB2312" w:hAnsi="仿宋" w:eastAsia="仿宋_GB2312"/>
          <w:b/>
          <w:color w:val="auto"/>
          <w:sz w:val="22"/>
          <w:szCs w:val="24"/>
        </w:rPr>
        <w:t>6.1 评标原则</w:t>
      </w:r>
    </w:p>
    <w:p>
      <w:pPr>
        <w:pStyle w:val="9"/>
        <w:spacing w:line="360" w:lineRule="auto"/>
        <w:ind w:firstLine="431" w:firstLineChars="196"/>
        <w:rPr>
          <w:rFonts w:ascii="仿宋_GB2312" w:hAnsi="仿宋" w:eastAsia="仿宋_GB2312"/>
          <w:b/>
          <w:color w:val="auto"/>
          <w:sz w:val="22"/>
          <w:szCs w:val="24"/>
        </w:rPr>
      </w:pPr>
      <w:r>
        <w:rPr>
          <w:rFonts w:hint="eastAsia" w:ascii="仿宋_GB2312" w:hAnsi="仿宋" w:eastAsia="仿宋_GB2312"/>
          <w:color w:val="auto"/>
          <w:sz w:val="22"/>
          <w:szCs w:val="24"/>
        </w:rPr>
        <w:t>6.1.1 竞争优选；</w:t>
      </w:r>
    </w:p>
    <w:p>
      <w:pPr>
        <w:autoSpaceDE w:val="0"/>
        <w:autoSpaceDN w:val="0"/>
        <w:spacing w:line="360" w:lineRule="auto"/>
        <w:ind w:firstLine="440" w:firstLineChars="200"/>
        <w:rPr>
          <w:rFonts w:ascii="仿宋_GB2312" w:hAnsi="仿宋" w:eastAsia="仿宋_GB2312"/>
          <w:color w:val="auto"/>
          <w:sz w:val="22"/>
        </w:rPr>
      </w:pPr>
      <w:r>
        <w:rPr>
          <w:rFonts w:hint="eastAsia" w:ascii="仿宋_GB2312" w:hAnsi="仿宋" w:eastAsia="仿宋_GB2312"/>
          <w:color w:val="auto"/>
          <w:sz w:val="22"/>
        </w:rPr>
        <w:t xml:space="preserve">6.1.2 </w:t>
      </w:r>
      <w:r>
        <w:rPr>
          <w:rFonts w:hint="eastAsia" w:ascii="仿宋_GB2312" w:hAnsi="仿宋" w:eastAsia="仿宋_GB2312"/>
          <w:color w:val="auto"/>
          <w:sz w:val="22"/>
          <w:lang w:val="zh-CN"/>
        </w:rPr>
        <w:t>坚持公开</w:t>
      </w:r>
      <w:r>
        <w:rPr>
          <w:rFonts w:hint="eastAsia" w:ascii="仿宋_GB2312" w:hAnsi="仿宋" w:eastAsia="仿宋_GB2312"/>
          <w:color w:val="auto"/>
          <w:sz w:val="22"/>
        </w:rPr>
        <w:t>、公平、公正、科学合理</w:t>
      </w:r>
      <w:r>
        <w:rPr>
          <w:rFonts w:hint="eastAsia" w:ascii="仿宋_GB2312" w:hAnsi="仿宋" w:eastAsia="仿宋_GB2312"/>
          <w:color w:val="auto"/>
          <w:sz w:val="22"/>
          <w:lang w:val="zh-CN"/>
        </w:rPr>
        <w:t>的原则；</w:t>
      </w:r>
    </w:p>
    <w:p>
      <w:pPr>
        <w:autoSpaceDE w:val="0"/>
        <w:autoSpaceDN w:val="0"/>
        <w:spacing w:line="360" w:lineRule="auto"/>
        <w:ind w:firstLine="440" w:firstLineChars="200"/>
        <w:rPr>
          <w:rFonts w:ascii="仿宋_GB2312" w:hAnsi="仿宋" w:eastAsia="仿宋_GB2312"/>
          <w:color w:val="auto"/>
          <w:sz w:val="22"/>
          <w:lang w:val="zh-CN"/>
        </w:rPr>
      </w:pPr>
      <w:r>
        <w:rPr>
          <w:rFonts w:hint="eastAsia" w:ascii="仿宋_GB2312" w:hAnsi="仿宋" w:eastAsia="仿宋_GB2312"/>
          <w:color w:val="auto"/>
          <w:sz w:val="22"/>
        </w:rPr>
        <w:t>6.1</w:t>
      </w:r>
      <w:r>
        <w:rPr>
          <w:rFonts w:hint="eastAsia" w:ascii="仿宋_GB2312" w:hAnsi="仿宋" w:eastAsia="仿宋_GB2312"/>
          <w:color w:val="auto"/>
          <w:sz w:val="22"/>
          <w:lang w:val="zh-CN"/>
        </w:rPr>
        <w:t xml:space="preserve">.3 </w:t>
      </w:r>
      <w:r>
        <w:rPr>
          <w:rFonts w:hint="eastAsia" w:ascii="仿宋_GB2312" w:hAnsi="仿宋" w:eastAsia="仿宋_GB2312"/>
          <w:color w:val="auto"/>
          <w:sz w:val="22"/>
        </w:rPr>
        <w:t>价格合理，方案、产品先进可行；</w:t>
      </w:r>
    </w:p>
    <w:p>
      <w:pPr>
        <w:autoSpaceDE w:val="0"/>
        <w:autoSpaceDN w:val="0"/>
        <w:spacing w:line="360" w:lineRule="auto"/>
        <w:ind w:firstLine="440" w:firstLineChars="200"/>
        <w:rPr>
          <w:rFonts w:ascii="仿宋_GB2312" w:hAnsi="仿宋" w:eastAsia="仿宋_GB2312"/>
          <w:color w:val="auto"/>
          <w:sz w:val="22"/>
          <w:lang w:val="zh-CN"/>
        </w:rPr>
      </w:pPr>
      <w:r>
        <w:rPr>
          <w:rFonts w:hint="eastAsia" w:ascii="仿宋_GB2312" w:hAnsi="仿宋" w:eastAsia="仿宋_GB2312"/>
          <w:color w:val="auto"/>
          <w:sz w:val="22"/>
        </w:rPr>
        <w:t>6.1</w:t>
      </w:r>
      <w:r>
        <w:rPr>
          <w:rFonts w:hint="eastAsia" w:ascii="仿宋_GB2312" w:hAnsi="仿宋" w:eastAsia="仿宋_GB2312"/>
          <w:color w:val="auto"/>
          <w:sz w:val="22"/>
          <w:lang w:val="zh-CN"/>
        </w:rPr>
        <w:t>.4 反对不正当竞争。</w:t>
      </w:r>
    </w:p>
    <w:p>
      <w:pPr>
        <w:pStyle w:val="18"/>
        <w:spacing w:before="0"/>
        <w:ind w:firstLine="0" w:firstLineChars="0"/>
        <w:rPr>
          <w:rFonts w:ascii="仿宋_GB2312" w:hAnsi="仿宋" w:eastAsia="仿宋_GB2312"/>
          <w:b/>
          <w:color w:val="auto"/>
          <w:sz w:val="22"/>
          <w:szCs w:val="24"/>
        </w:rPr>
      </w:pPr>
      <w:r>
        <w:rPr>
          <w:rFonts w:hint="eastAsia" w:ascii="仿宋_GB2312" w:hAnsi="仿宋" w:eastAsia="仿宋_GB2312"/>
          <w:b/>
          <w:color w:val="auto"/>
          <w:sz w:val="22"/>
          <w:szCs w:val="24"/>
        </w:rPr>
        <w:t>6.2 评标组织</w:t>
      </w:r>
    </w:p>
    <w:p>
      <w:pPr>
        <w:pStyle w:val="9"/>
        <w:spacing w:line="360" w:lineRule="auto"/>
        <w:ind w:firstLine="431" w:firstLineChars="196"/>
        <w:rPr>
          <w:rFonts w:ascii="仿宋_GB2312" w:hAnsi="仿宋" w:eastAsia="仿宋_GB2312"/>
          <w:color w:val="auto"/>
          <w:sz w:val="22"/>
          <w:szCs w:val="24"/>
          <w:highlight w:val="yellow"/>
        </w:rPr>
      </w:pPr>
      <w:r>
        <w:rPr>
          <w:rFonts w:hint="eastAsia" w:ascii="仿宋_GB2312" w:hAnsi="仿宋" w:eastAsia="仿宋_GB2312"/>
          <w:color w:val="auto"/>
          <w:sz w:val="22"/>
          <w:szCs w:val="24"/>
          <w:highlight w:val="yellow"/>
        </w:rPr>
        <w:t>评标工作由招标人依法组建的评标委员会负责，评标委员会成员为3人或以上单数。</w:t>
      </w:r>
    </w:p>
    <w:p>
      <w:pPr>
        <w:pStyle w:val="9"/>
        <w:spacing w:line="360" w:lineRule="auto"/>
        <w:ind w:firstLine="431" w:firstLineChars="196"/>
        <w:rPr>
          <w:rFonts w:ascii="仿宋_GB2312" w:hAnsi="仿宋" w:eastAsia="仿宋_GB2312"/>
          <w:color w:val="auto"/>
          <w:sz w:val="22"/>
          <w:szCs w:val="24"/>
        </w:rPr>
      </w:pPr>
      <w:r>
        <w:rPr>
          <w:rFonts w:hint="eastAsia" w:ascii="仿宋_GB2312" w:hAnsi="仿宋" w:eastAsia="仿宋_GB2312"/>
          <w:color w:val="auto"/>
          <w:sz w:val="22"/>
          <w:szCs w:val="24"/>
        </w:rPr>
        <w:t>评标委员会在审核和审阅投标文件的过程中，对需进一步澄清、明确的技术、资信和报价等问题，可以书面方式要求投标人对投标文件中含义不明确，对同类问题表述不一致或者有明显文字和计算错误的内容作必要的澄清、补正和说明。</w:t>
      </w:r>
    </w:p>
    <w:p>
      <w:pPr>
        <w:pStyle w:val="18"/>
        <w:spacing w:before="0"/>
        <w:ind w:firstLine="0" w:firstLineChars="0"/>
        <w:rPr>
          <w:rFonts w:ascii="仿宋_GB2312" w:hAnsi="仿宋" w:eastAsia="仿宋_GB2312"/>
          <w:b/>
          <w:color w:val="auto"/>
          <w:sz w:val="22"/>
          <w:szCs w:val="24"/>
        </w:rPr>
      </w:pPr>
      <w:r>
        <w:rPr>
          <w:rFonts w:hint="eastAsia" w:ascii="仿宋_GB2312" w:hAnsi="仿宋" w:eastAsia="仿宋_GB2312"/>
          <w:b/>
          <w:color w:val="auto"/>
          <w:sz w:val="22"/>
          <w:szCs w:val="24"/>
        </w:rPr>
        <w:t>6.3 评标办法</w:t>
      </w:r>
    </w:p>
    <w:p>
      <w:pPr>
        <w:spacing w:line="360" w:lineRule="auto"/>
        <w:ind w:firstLine="428" w:firstLineChars="194"/>
        <w:rPr>
          <w:rFonts w:ascii="仿宋_GB2312" w:hAnsi="宋体" w:eastAsia="仿宋_GB2312"/>
          <w:b/>
          <w:color w:val="auto"/>
          <w:sz w:val="22"/>
        </w:rPr>
      </w:pPr>
      <w:r>
        <w:rPr>
          <w:rFonts w:hint="eastAsia" w:ascii="仿宋_GB2312" w:hAnsi="仿宋" w:eastAsia="仿宋_GB2312"/>
          <w:b/>
          <w:color w:val="auto"/>
          <w:kern w:val="0"/>
          <w:sz w:val="22"/>
          <w:szCs w:val="20"/>
        </w:rPr>
        <w:t>本项目评标办法是综合评分法，具体评标内容及评分标准等详见招标文件第三部分。评标委员会按照客观、公正、科学、择优的原则，根据招标文件确定的评标标准、办法，以招标文件规定的因素为评价指标，并将各指标量化记分</w:t>
      </w:r>
    </w:p>
    <w:p>
      <w:pPr>
        <w:snapToGrid w:val="0"/>
        <w:spacing w:line="360" w:lineRule="auto"/>
        <w:rPr>
          <w:rFonts w:ascii="仿宋_GB2312" w:hAnsi="宋体" w:eastAsia="仿宋_GB2312"/>
          <w:b/>
          <w:color w:val="auto"/>
          <w:sz w:val="22"/>
        </w:rPr>
      </w:pPr>
      <w:r>
        <w:rPr>
          <w:rFonts w:hint="eastAsia" w:ascii="仿宋_GB2312" w:hAnsi="仿宋" w:eastAsia="仿宋_GB2312"/>
          <w:b/>
          <w:color w:val="auto"/>
          <w:sz w:val="22"/>
        </w:rPr>
        <w:t>6.4</w:t>
      </w:r>
      <w:r>
        <w:rPr>
          <w:rFonts w:hint="eastAsia" w:ascii="仿宋_GB2312" w:hAnsi="宋体" w:eastAsia="仿宋_GB2312"/>
          <w:b/>
          <w:color w:val="auto"/>
          <w:sz w:val="22"/>
        </w:rPr>
        <w:t xml:space="preserve"> 投标文件审查</w:t>
      </w:r>
    </w:p>
    <w:p>
      <w:pPr>
        <w:snapToGrid w:val="0"/>
        <w:spacing w:line="360" w:lineRule="auto"/>
        <w:ind w:firstLine="440" w:firstLineChars="200"/>
        <w:rPr>
          <w:rFonts w:ascii="仿宋_GB2312" w:hAnsi="仿宋" w:eastAsia="仿宋_GB2312"/>
          <w:color w:val="auto"/>
          <w:sz w:val="22"/>
        </w:rPr>
      </w:pPr>
      <w:r>
        <w:rPr>
          <w:rFonts w:hint="eastAsia" w:ascii="仿宋_GB2312" w:hAnsi="仿宋" w:eastAsia="仿宋_GB2312"/>
          <w:color w:val="auto"/>
          <w:sz w:val="22"/>
        </w:rPr>
        <w:t>6.4.1投标文件资格性审查：评标委员会依据法律法规和招标文件的规定，对投标文件中的资格证明、投标保证金等进行审查，以确定投标人是否具备投标资格。</w:t>
      </w:r>
    </w:p>
    <w:p>
      <w:pPr>
        <w:snapToGrid w:val="0"/>
        <w:spacing w:line="360" w:lineRule="auto"/>
        <w:ind w:firstLine="330" w:firstLineChars="150"/>
        <w:rPr>
          <w:rFonts w:ascii="仿宋_GB2312" w:hAnsi="仿宋" w:eastAsia="仿宋_GB2312"/>
          <w:color w:val="auto"/>
          <w:sz w:val="22"/>
        </w:rPr>
      </w:pPr>
      <w:r>
        <w:rPr>
          <w:rFonts w:hint="eastAsia" w:ascii="仿宋_GB2312" w:hAnsi="仿宋" w:eastAsia="仿宋_GB2312"/>
          <w:color w:val="auto"/>
          <w:sz w:val="22"/>
        </w:rPr>
        <w:t>6.4.2 投标文件符合性审查：评标委员会依据招标文件的规定，从投标文件的有效性、完整性和对招标文件的响应程度进行审查，以确定是否对招标文件的要求作出实质性响应。</w:t>
      </w:r>
    </w:p>
    <w:p>
      <w:pPr>
        <w:snapToGrid w:val="0"/>
        <w:spacing w:line="360" w:lineRule="auto"/>
        <w:ind w:firstLine="330" w:firstLineChars="150"/>
        <w:rPr>
          <w:rFonts w:ascii="仿宋_GB2312" w:hAnsi="仿宋" w:eastAsia="仿宋_GB2312"/>
          <w:color w:val="auto"/>
          <w:sz w:val="22"/>
        </w:rPr>
      </w:pPr>
      <w:r>
        <w:rPr>
          <w:rFonts w:hint="eastAsia" w:ascii="仿宋_GB2312" w:hAnsi="仿宋" w:eastAsia="仿宋_GB2312"/>
          <w:color w:val="auto"/>
          <w:sz w:val="22"/>
        </w:rPr>
        <w:t>6.4.3 实质性响应的投标应该是与招标文件要求的主要条款相符，没有重大偏离或保留的投标。所谓重大偏离或保留是指影响合同的内容、项目建设质量，或者在实质上与招标文件不一致，而且限制了合同中采购人的权利或投标人的义务，纠正这些偏离或保留将会对其他实质性响应要求的投标人的竞争地位产生不公正的影响。评标委员会决定投标文件的响应性只根据投标文件本身的内容，而不寻求外部证据。</w:t>
      </w:r>
    </w:p>
    <w:p>
      <w:pPr>
        <w:spacing w:line="360" w:lineRule="auto"/>
        <w:ind w:firstLine="360"/>
        <w:rPr>
          <w:rFonts w:ascii="仿宋_GB2312" w:hAnsi="仿宋" w:eastAsia="仿宋_GB2312"/>
          <w:color w:val="auto"/>
          <w:sz w:val="22"/>
        </w:rPr>
      </w:pPr>
      <w:r>
        <w:rPr>
          <w:rFonts w:hint="eastAsia" w:ascii="仿宋_GB2312" w:hAnsi="仿宋" w:eastAsia="仿宋_GB2312"/>
          <w:color w:val="auto"/>
          <w:sz w:val="22"/>
        </w:rPr>
        <w:t xml:space="preserve">6.4.4 如果投标文件没有实质上响应招标文件的要求，评标委员会将判定无效，投标人不得通过修改或撤销不合要求的偏离或保留而使其投标成为实质性响应的投标。 </w:t>
      </w:r>
    </w:p>
    <w:p>
      <w:pPr>
        <w:spacing w:line="360" w:lineRule="auto"/>
        <w:ind w:firstLine="360"/>
        <w:rPr>
          <w:rFonts w:ascii="仿宋_GB2312" w:hAnsi="仿宋" w:eastAsia="仿宋_GB2312"/>
          <w:color w:val="auto"/>
          <w:sz w:val="22"/>
        </w:rPr>
      </w:pPr>
      <w:r>
        <w:rPr>
          <w:rFonts w:hint="eastAsia" w:ascii="仿宋_GB2312" w:hAnsi="仿宋" w:eastAsia="仿宋_GB2312"/>
          <w:color w:val="auto"/>
          <w:sz w:val="22"/>
        </w:rPr>
        <w:t xml:space="preserve"> 6.5</w:t>
      </w:r>
      <w:r>
        <w:rPr>
          <w:rFonts w:hint="eastAsia" w:ascii="仿宋_GB2312" w:hAnsi="宋体" w:eastAsia="仿宋_GB2312"/>
          <w:b/>
          <w:color w:val="auto"/>
          <w:sz w:val="22"/>
        </w:rPr>
        <w:t>修正原则</w:t>
      </w:r>
    </w:p>
    <w:p>
      <w:pPr>
        <w:spacing w:line="360" w:lineRule="auto"/>
        <w:ind w:firstLine="480"/>
        <w:rPr>
          <w:rFonts w:ascii="仿宋_GB2312" w:hAnsi="仿宋" w:eastAsia="仿宋_GB2312"/>
          <w:color w:val="auto"/>
          <w:sz w:val="22"/>
        </w:rPr>
      </w:pPr>
      <w:r>
        <w:rPr>
          <w:rFonts w:hint="eastAsia" w:ascii="仿宋_GB2312" w:hAnsi="仿宋" w:eastAsia="仿宋_GB2312"/>
          <w:color w:val="auto"/>
          <w:sz w:val="22"/>
        </w:rPr>
        <w:t>评标委员会对投标文件的报价文件进行审核，对发现计算、书写等错误的，按以下原则进行修正：</w:t>
      </w:r>
    </w:p>
    <w:p>
      <w:pPr>
        <w:spacing w:line="360" w:lineRule="auto"/>
        <w:ind w:firstLine="420" w:firstLineChars="200"/>
        <w:rPr>
          <w:rFonts w:ascii="仿宋_GB2312" w:hAnsi="仿宋" w:eastAsia="仿宋_GB2312"/>
          <w:color w:val="auto"/>
          <w:szCs w:val="21"/>
        </w:rPr>
      </w:pPr>
      <w:r>
        <w:rPr>
          <w:rFonts w:hint="eastAsia" w:ascii="仿宋_GB2312" w:hAnsi="仿宋" w:eastAsia="仿宋_GB2312"/>
          <w:color w:val="auto"/>
          <w:szCs w:val="21"/>
        </w:rPr>
        <w:t>6.5.1大写金额与小写金额不一致的，以大写金额为准；</w:t>
      </w:r>
    </w:p>
    <w:p>
      <w:pPr>
        <w:spacing w:line="360" w:lineRule="auto"/>
        <w:ind w:firstLine="420" w:firstLineChars="200"/>
        <w:rPr>
          <w:rFonts w:ascii="仿宋_GB2312" w:hAnsi="仿宋" w:eastAsia="仿宋_GB2312"/>
          <w:color w:val="auto"/>
          <w:szCs w:val="21"/>
        </w:rPr>
      </w:pPr>
      <w:r>
        <w:rPr>
          <w:rFonts w:hint="eastAsia" w:ascii="仿宋_GB2312" w:hAnsi="仿宋" w:eastAsia="仿宋_GB2312"/>
          <w:color w:val="auto"/>
          <w:szCs w:val="21"/>
        </w:rPr>
        <w:t>6.5.2总价金额与按单价汇总金额不一致的，以单价金额计算结果为准；</w:t>
      </w:r>
    </w:p>
    <w:p>
      <w:pPr>
        <w:spacing w:line="360" w:lineRule="auto"/>
        <w:ind w:firstLine="420" w:firstLineChars="200"/>
        <w:rPr>
          <w:rFonts w:ascii="仿宋_GB2312" w:hAnsi="仿宋" w:eastAsia="仿宋_GB2312"/>
          <w:color w:val="auto"/>
          <w:szCs w:val="21"/>
        </w:rPr>
      </w:pPr>
      <w:r>
        <w:rPr>
          <w:rFonts w:hint="eastAsia" w:ascii="仿宋_GB2312" w:hAnsi="仿宋" w:eastAsia="仿宋_GB2312"/>
          <w:color w:val="auto"/>
          <w:szCs w:val="21"/>
        </w:rPr>
        <w:t>6.5.3单价金额小数点有明显错位的，应以总价为准，并修改单价；</w:t>
      </w:r>
    </w:p>
    <w:p>
      <w:pPr>
        <w:snapToGrid w:val="0"/>
        <w:spacing w:line="360" w:lineRule="auto"/>
        <w:ind w:firstLine="420" w:firstLineChars="200"/>
        <w:rPr>
          <w:rFonts w:ascii="仿宋_GB2312" w:hAnsi="仿宋" w:eastAsia="仿宋_GB2312"/>
          <w:color w:val="auto"/>
          <w:szCs w:val="21"/>
          <w:lang w:val="zh-CN"/>
        </w:rPr>
      </w:pPr>
      <w:r>
        <w:rPr>
          <w:rFonts w:hint="eastAsia" w:ascii="仿宋_GB2312" w:hAnsi="仿宋" w:eastAsia="仿宋_GB2312"/>
          <w:color w:val="auto"/>
          <w:szCs w:val="21"/>
        </w:rPr>
        <w:t>6.5.4以修正后的总价作为投标报价</w:t>
      </w:r>
      <w:r>
        <w:rPr>
          <w:rFonts w:hint="eastAsia" w:ascii="仿宋_GB2312" w:hAnsi="宋体" w:eastAsia="仿宋_GB2312"/>
          <w:color w:val="auto"/>
          <w:szCs w:val="21"/>
        </w:rPr>
        <w:t>。</w:t>
      </w:r>
    </w:p>
    <w:p>
      <w:pPr>
        <w:pStyle w:val="18"/>
        <w:snapToGrid w:val="0"/>
        <w:spacing w:before="0"/>
        <w:ind w:firstLine="0" w:firstLineChars="0"/>
        <w:rPr>
          <w:rFonts w:ascii="仿宋_GB2312" w:hAnsi="仿宋" w:eastAsia="仿宋_GB2312"/>
          <w:b/>
          <w:color w:val="auto"/>
          <w:sz w:val="21"/>
          <w:szCs w:val="21"/>
        </w:rPr>
      </w:pPr>
      <w:r>
        <w:rPr>
          <w:rFonts w:hint="eastAsia" w:ascii="仿宋_GB2312" w:hAnsi="仿宋" w:eastAsia="仿宋_GB2312"/>
          <w:b/>
          <w:color w:val="auto"/>
          <w:sz w:val="21"/>
          <w:szCs w:val="21"/>
        </w:rPr>
        <w:t>6.6 投标文件的澄清</w:t>
      </w:r>
    </w:p>
    <w:p>
      <w:pPr>
        <w:pStyle w:val="18"/>
        <w:snapToGrid w:val="0"/>
        <w:spacing w:before="0"/>
        <w:ind w:firstLine="420"/>
        <w:rPr>
          <w:rFonts w:ascii="仿宋_GB2312" w:hAnsi="仿宋" w:eastAsia="仿宋_GB2312"/>
          <w:color w:val="auto"/>
          <w:sz w:val="21"/>
          <w:szCs w:val="21"/>
        </w:rPr>
      </w:pPr>
      <w:r>
        <w:rPr>
          <w:rFonts w:hint="eastAsia" w:ascii="仿宋_GB2312" w:hAnsi="仿宋" w:eastAsia="仿宋_GB2312"/>
          <w:color w:val="auto"/>
          <w:sz w:val="21"/>
          <w:szCs w:val="21"/>
        </w:rPr>
        <w:t>对投标文件中含义不明、表述不一致或有明显计算错误等内容，评标委员会将对投标人进行询标，并要求投标人作书面澄清；投标人的书面澄清，应由法定代表人或授权代表签字，作为投标文件的补充部分，但澄清的内容不得改变投标文件的实质性内容。</w:t>
      </w:r>
    </w:p>
    <w:p>
      <w:pPr>
        <w:pStyle w:val="8"/>
        <w:spacing w:line="360" w:lineRule="auto"/>
        <w:ind w:left="420" w:hanging="420" w:hangingChars="199"/>
        <w:rPr>
          <w:rFonts w:ascii="仿宋_GB2312" w:eastAsia="仿宋_GB2312"/>
          <w:b/>
          <w:color w:val="auto"/>
          <w:spacing w:val="20"/>
          <w:sz w:val="21"/>
          <w:szCs w:val="21"/>
        </w:rPr>
      </w:pPr>
      <w:r>
        <w:rPr>
          <w:rFonts w:hint="eastAsia" w:ascii="仿宋_GB2312" w:eastAsia="仿宋_GB2312"/>
          <w:b/>
          <w:color w:val="auto"/>
          <w:sz w:val="21"/>
          <w:szCs w:val="21"/>
        </w:rPr>
        <w:t>6.7</w:t>
      </w:r>
      <w:r>
        <w:rPr>
          <w:rFonts w:hint="eastAsia" w:ascii="仿宋_GB2312" w:eastAsia="仿宋_GB2312"/>
          <w:b/>
          <w:color w:val="auto"/>
          <w:spacing w:val="20"/>
          <w:sz w:val="21"/>
          <w:szCs w:val="21"/>
        </w:rPr>
        <w:t>无效标</w:t>
      </w:r>
    </w:p>
    <w:p>
      <w:pPr>
        <w:pStyle w:val="8"/>
        <w:spacing w:line="360" w:lineRule="auto"/>
        <w:ind w:firstLine="525" w:firstLineChars="250"/>
        <w:rPr>
          <w:rFonts w:ascii="仿宋_GB2312" w:hAnsi="仿宋" w:eastAsia="仿宋_GB2312"/>
          <w:color w:val="auto"/>
          <w:sz w:val="21"/>
          <w:szCs w:val="21"/>
        </w:rPr>
      </w:pPr>
      <w:r>
        <w:rPr>
          <w:rFonts w:hint="eastAsia" w:ascii="仿宋_GB2312" w:hAnsi="仿宋" w:eastAsia="仿宋_GB2312"/>
          <w:color w:val="auto"/>
          <w:sz w:val="21"/>
          <w:szCs w:val="21"/>
        </w:rPr>
        <w:t>投标文件有下列情况之一的，其投标文件作无效处理：</w:t>
      </w:r>
    </w:p>
    <w:p>
      <w:pPr>
        <w:spacing w:line="360" w:lineRule="auto"/>
        <w:ind w:firstLine="420" w:firstLineChars="200"/>
        <w:rPr>
          <w:rFonts w:ascii="仿宋_GB2312" w:hAnsi="仿宋" w:eastAsia="仿宋_GB2312"/>
          <w:color w:val="auto"/>
          <w:szCs w:val="21"/>
        </w:rPr>
      </w:pPr>
      <w:r>
        <w:rPr>
          <w:rFonts w:hint="eastAsia" w:ascii="仿宋_GB2312" w:hAnsi="仿宋" w:eastAsia="仿宋_GB2312" w:cs="仿宋_GB2312"/>
          <w:color w:val="auto"/>
          <w:szCs w:val="21"/>
        </w:rPr>
        <w:t>（1）投标文件未按招标文件要求加盖单位印章或投标人的法定代表人（或其委托代理人）未按招标文件要求签字或盖章的；</w:t>
      </w:r>
    </w:p>
    <w:p>
      <w:pPr>
        <w:spacing w:line="360" w:lineRule="auto"/>
        <w:ind w:firstLine="420" w:firstLineChars="200"/>
        <w:rPr>
          <w:rFonts w:ascii="仿宋_GB2312" w:hAnsi="仿宋" w:eastAsia="仿宋_GB2312"/>
          <w:color w:val="auto"/>
          <w:szCs w:val="21"/>
        </w:rPr>
      </w:pPr>
      <w:r>
        <w:rPr>
          <w:rFonts w:hint="eastAsia" w:ascii="仿宋_GB2312" w:hAnsi="仿宋" w:eastAsia="仿宋_GB2312"/>
          <w:color w:val="auto"/>
          <w:szCs w:val="21"/>
        </w:rPr>
        <w:t>（2）投标文件中法定代表人授权书所载内容与本项目内容有异的；</w:t>
      </w:r>
    </w:p>
    <w:p>
      <w:pPr>
        <w:spacing w:line="360" w:lineRule="auto"/>
        <w:ind w:firstLine="420" w:firstLineChars="200"/>
        <w:rPr>
          <w:rFonts w:ascii="仿宋_GB2312" w:hAnsi="仿宋" w:eastAsia="仿宋_GB2312"/>
          <w:color w:val="auto"/>
          <w:szCs w:val="21"/>
        </w:rPr>
      </w:pPr>
      <w:r>
        <w:rPr>
          <w:rFonts w:hint="eastAsia" w:ascii="仿宋_GB2312" w:hAnsi="仿宋" w:eastAsia="仿宋_GB2312"/>
          <w:color w:val="auto"/>
          <w:szCs w:val="21"/>
        </w:rPr>
        <w:t>（3）投标文件组成漏项或未按规定的格式编制或投标文件正、副本份数不足，内容不全或内容字迹模糊辨认不清的；</w:t>
      </w:r>
    </w:p>
    <w:p>
      <w:pPr>
        <w:spacing w:line="360" w:lineRule="auto"/>
        <w:ind w:firstLine="420" w:firstLineChars="200"/>
        <w:rPr>
          <w:rFonts w:ascii="仿宋_GB2312" w:hAnsi="仿宋" w:eastAsia="仿宋_GB2312"/>
          <w:color w:val="auto"/>
          <w:szCs w:val="21"/>
        </w:rPr>
      </w:pPr>
      <w:r>
        <w:rPr>
          <w:rFonts w:hint="eastAsia" w:ascii="仿宋_GB2312" w:hAnsi="仿宋" w:eastAsia="仿宋_GB2312"/>
          <w:color w:val="auto"/>
          <w:szCs w:val="21"/>
        </w:rPr>
        <w:t>（4）投标人不具备投标资格的，或者未按规定交纳投标保证金的；</w:t>
      </w:r>
    </w:p>
    <w:p>
      <w:pPr>
        <w:spacing w:line="360" w:lineRule="auto"/>
        <w:ind w:firstLine="420" w:firstLineChars="200"/>
        <w:rPr>
          <w:rFonts w:ascii="仿宋_GB2312" w:hAnsi="仿宋" w:eastAsia="仿宋_GB2312"/>
          <w:color w:val="auto"/>
          <w:szCs w:val="21"/>
        </w:rPr>
      </w:pPr>
      <w:r>
        <w:rPr>
          <w:rFonts w:hint="eastAsia" w:ascii="仿宋_GB2312" w:hAnsi="仿宋" w:eastAsia="仿宋_GB2312"/>
          <w:color w:val="auto"/>
          <w:szCs w:val="21"/>
        </w:rPr>
        <w:t>（5）投标报价明显高于市场价或低于成本价，且不能提供书面证明材料说明原因的；</w:t>
      </w:r>
    </w:p>
    <w:p>
      <w:pPr>
        <w:spacing w:line="360" w:lineRule="auto"/>
        <w:ind w:firstLine="420" w:firstLineChars="200"/>
        <w:rPr>
          <w:rFonts w:ascii="仿宋_GB2312" w:eastAsia="仿宋_GB2312"/>
          <w:color w:val="auto"/>
          <w:szCs w:val="21"/>
        </w:rPr>
      </w:pPr>
      <w:r>
        <w:rPr>
          <w:rFonts w:hint="eastAsia" w:ascii="仿宋_GB2312" w:eastAsia="仿宋_GB2312"/>
          <w:color w:val="auto"/>
          <w:szCs w:val="21"/>
        </w:rPr>
        <w:t>（6）投标报价高于本项目采购预算的；</w:t>
      </w:r>
    </w:p>
    <w:p>
      <w:pPr>
        <w:spacing w:line="360" w:lineRule="auto"/>
        <w:ind w:firstLine="420" w:firstLineChars="200"/>
        <w:rPr>
          <w:rFonts w:ascii="仿宋_GB2312" w:hAnsi="仿宋" w:eastAsia="仿宋_GB2312"/>
          <w:color w:val="auto"/>
          <w:szCs w:val="21"/>
        </w:rPr>
      </w:pPr>
      <w:r>
        <w:rPr>
          <w:rFonts w:hint="eastAsia" w:ascii="仿宋_GB2312" w:hAnsi="仿宋" w:eastAsia="仿宋_GB2312"/>
          <w:color w:val="auto"/>
          <w:szCs w:val="21"/>
        </w:rPr>
        <w:t>（7）投标人未按招标文件变更通知编制投标文件的；</w:t>
      </w:r>
    </w:p>
    <w:p>
      <w:pPr>
        <w:spacing w:line="360" w:lineRule="auto"/>
        <w:ind w:firstLine="420" w:firstLineChars="200"/>
        <w:rPr>
          <w:rFonts w:ascii="仿宋_GB2312" w:hAnsi="仿宋" w:eastAsia="仿宋_GB2312"/>
          <w:color w:val="auto"/>
          <w:szCs w:val="21"/>
        </w:rPr>
      </w:pPr>
      <w:r>
        <w:rPr>
          <w:rFonts w:hint="eastAsia" w:ascii="仿宋_GB2312" w:hAnsi="仿宋" w:eastAsia="仿宋_GB2312"/>
          <w:color w:val="auto"/>
          <w:szCs w:val="21"/>
        </w:rPr>
        <w:t>（8）《投标（开标）一览表》和《投标报价明细清单》填写不完整或字迹不能辨认的；</w:t>
      </w:r>
    </w:p>
    <w:p>
      <w:pPr>
        <w:spacing w:line="360" w:lineRule="auto"/>
        <w:ind w:firstLine="420" w:firstLineChars="200"/>
        <w:rPr>
          <w:rFonts w:ascii="仿宋_GB2312" w:hAnsi="仿宋" w:eastAsia="仿宋_GB2312"/>
          <w:color w:val="auto"/>
          <w:szCs w:val="21"/>
        </w:rPr>
      </w:pPr>
      <w:r>
        <w:rPr>
          <w:rFonts w:hint="eastAsia" w:ascii="仿宋_GB2312" w:hAnsi="仿宋" w:eastAsia="仿宋_GB2312"/>
          <w:color w:val="auto"/>
          <w:szCs w:val="21"/>
        </w:rPr>
        <w:t>（9）经评标委员会审核，投标人的资质、业绩、人员等条件不满足招标文件载明的实质性条件；</w:t>
      </w:r>
    </w:p>
    <w:p>
      <w:pPr>
        <w:spacing w:line="360" w:lineRule="auto"/>
        <w:ind w:firstLine="420" w:firstLineChars="200"/>
        <w:rPr>
          <w:rFonts w:ascii="仿宋_GB2312" w:hAnsi="仿宋" w:eastAsia="仿宋_GB2312"/>
          <w:color w:val="auto"/>
          <w:szCs w:val="21"/>
        </w:rPr>
      </w:pPr>
      <w:r>
        <w:rPr>
          <w:rFonts w:hint="eastAsia" w:ascii="仿宋_GB2312" w:hAnsi="仿宋" w:eastAsia="仿宋_GB2312"/>
          <w:color w:val="auto"/>
          <w:szCs w:val="21"/>
        </w:rPr>
        <w:t>（10）投标人拒绝按招标文件第6.5条修正原则对投标文件进行修改的；</w:t>
      </w:r>
    </w:p>
    <w:p>
      <w:pPr>
        <w:spacing w:line="360" w:lineRule="auto"/>
        <w:ind w:firstLine="420" w:firstLineChars="200"/>
        <w:rPr>
          <w:rFonts w:ascii="仿宋_GB2312" w:hAnsi="仿宋" w:eastAsia="仿宋_GB2312"/>
          <w:color w:val="auto"/>
          <w:szCs w:val="21"/>
        </w:rPr>
      </w:pPr>
      <w:r>
        <w:rPr>
          <w:rFonts w:hint="eastAsia" w:ascii="仿宋_GB2312" w:hAnsi="仿宋" w:eastAsia="仿宋_GB2312"/>
          <w:color w:val="auto"/>
          <w:szCs w:val="21"/>
        </w:rPr>
        <w:t>（11）投标人提供虚假材料投标的；</w:t>
      </w:r>
    </w:p>
    <w:p>
      <w:pPr>
        <w:spacing w:line="360" w:lineRule="auto"/>
        <w:ind w:firstLine="420" w:firstLineChars="200"/>
        <w:rPr>
          <w:rFonts w:ascii="仿宋_GB2312" w:hAnsi="仿宋" w:eastAsia="仿宋_GB2312"/>
          <w:color w:val="auto"/>
          <w:szCs w:val="21"/>
        </w:rPr>
      </w:pPr>
      <w:r>
        <w:rPr>
          <w:rFonts w:hint="eastAsia" w:ascii="仿宋_GB2312" w:hAnsi="仿宋" w:eastAsia="仿宋_GB2312"/>
          <w:color w:val="auto"/>
          <w:szCs w:val="21"/>
        </w:rPr>
        <w:t>（12）经评标委员会审核，投标人的投标文件有类同或有串标嫌疑的；</w:t>
      </w:r>
    </w:p>
    <w:p>
      <w:pPr>
        <w:pStyle w:val="8"/>
        <w:snapToGrid w:val="0"/>
        <w:spacing w:line="360" w:lineRule="auto"/>
        <w:ind w:firstLine="420"/>
        <w:rPr>
          <w:rFonts w:ascii="仿宋_GB2312" w:eastAsia="仿宋_GB2312"/>
          <w:color w:val="auto"/>
          <w:sz w:val="21"/>
          <w:szCs w:val="21"/>
        </w:rPr>
      </w:pPr>
      <w:r>
        <w:rPr>
          <w:rFonts w:hint="eastAsia" w:ascii="仿宋_GB2312" w:eastAsia="仿宋_GB2312"/>
          <w:color w:val="auto"/>
          <w:sz w:val="21"/>
          <w:szCs w:val="21"/>
        </w:rPr>
        <w:t>（13）参与本次招标活动前三年内，投标人在</w:t>
      </w:r>
      <w:r>
        <w:rPr>
          <w:rFonts w:hint="eastAsia" w:ascii="仿宋_GB2312" w:eastAsia="仿宋_GB2312"/>
          <w:color w:val="auto"/>
          <w:kern w:val="0"/>
          <w:sz w:val="21"/>
          <w:szCs w:val="21"/>
        </w:rPr>
        <w:t>政府采购领域中</w:t>
      </w:r>
      <w:r>
        <w:rPr>
          <w:rFonts w:hint="eastAsia" w:ascii="仿宋_GB2312" w:eastAsia="仿宋_GB2312"/>
          <w:color w:val="auto"/>
          <w:sz w:val="21"/>
          <w:szCs w:val="21"/>
        </w:rPr>
        <w:t>，在项目招标、投标和合同履约期间存在违法以及违反政府采购供应商行为规范且情节严重的。</w:t>
      </w:r>
    </w:p>
    <w:p>
      <w:pPr>
        <w:pStyle w:val="18"/>
        <w:spacing w:before="0"/>
        <w:ind w:firstLine="0" w:firstLineChars="0"/>
        <w:rPr>
          <w:rFonts w:ascii="仿宋_GB2312" w:hAnsi="仿宋" w:eastAsia="仿宋_GB2312"/>
          <w:b/>
          <w:color w:val="auto"/>
          <w:sz w:val="21"/>
          <w:szCs w:val="21"/>
        </w:rPr>
      </w:pPr>
      <w:r>
        <w:rPr>
          <w:rFonts w:hint="eastAsia" w:ascii="仿宋_GB2312" w:hAnsi="仿宋" w:eastAsia="仿宋_GB2312"/>
          <w:b/>
          <w:color w:val="auto"/>
          <w:sz w:val="21"/>
          <w:szCs w:val="21"/>
        </w:rPr>
        <w:t>6.8废标</w:t>
      </w:r>
    </w:p>
    <w:p>
      <w:pPr>
        <w:pStyle w:val="8"/>
        <w:snapToGrid w:val="0"/>
        <w:spacing w:line="360" w:lineRule="auto"/>
        <w:ind w:firstLine="420"/>
        <w:rPr>
          <w:rFonts w:ascii="仿宋_GB2312" w:hAnsi="仿宋" w:eastAsia="仿宋_GB2312"/>
          <w:color w:val="auto"/>
          <w:sz w:val="21"/>
          <w:szCs w:val="21"/>
        </w:rPr>
      </w:pPr>
      <w:r>
        <w:rPr>
          <w:rFonts w:hint="eastAsia" w:ascii="仿宋_GB2312" w:hAnsi="仿宋" w:eastAsia="仿宋_GB2312"/>
          <w:color w:val="auto"/>
          <w:sz w:val="21"/>
          <w:szCs w:val="21"/>
        </w:rPr>
        <w:t>根据《中华人民共和国政府采购法》第三十六条之规定，在采购中，出现下列情形之一的，应予废标：</w:t>
      </w:r>
    </w:p>
    <w:p>
      <w:pPr>
        <w:pStyle w:val="8"/>
        <w:snapToGrid w:val="0"/>
        <w:spacing w:line="360" w:lineRule="auto"/>
        <w:ind w:firstLine="420"/>
        <w:rPr>
          <w:rFonts w:ascii="仿宋_GB2312" w:hAnsi="仿宋" w:eastAsia="仿宋_GB2312"/>
          <w:color w:val="auto"/>
          <w:sz w:val="21"/>
          <w:szCs w:val="21"/>
        </w:rPr>
      </w:pPr>
      <w:r>
        <w:rPr>
          <w:rFonts w:hint="eastAsia" w:ascii="仿宋_GB2312" w:hAnsi="仿宋" w:eastAsia="仿宋_GB2312"/>
          <w:color w:val="auto"/>
          <w:sz w:val="21"/>
          <w:szCs w:val="21"/>
        </w:rPr>
        <w:t>(1) 出现影响采购公正的违法、违规行为的；</w:t>
      </w:r>
    </w:p>
    <w:p>
      <w:pPr>
        <w:pStyle w:val="8"/>
        <w:snapToGrid w:val="0"/>
        <w:spacing w:line="360" w:lineRule="auto"/>
        <w:ind w:firstLine="420"/>
        <w:rPr>
          <w:rFonts w:ascii="仿宋_GB2312" w:hAnsi="仿宋" w:eastAsia="仿宋_GB2312"/>
          <w:color w:val="auto"/>
          <w:sz w:val="21"/>
          <w:szCs w:val="21"/>
        </w:rPr>
      </w:pPr>
      <w:r>
        <w:rPr>
          <w:rFonts w:hint="eastAsia" w:ascii="仿宋_GB2312" w:hAnsi="仿宋" w:eastAsia="仿宋_GB2312"/>
          <w:color w:val="auto"/>
          <w:sz w:val="21"/>
          <w:szCs w:val="21"/>
        </w:rPr>
        <w:t>(2) 投标人的报价均超过了采购预算，采购人不能支付的；</w:t>
      </w:r>
    </w:p>
    <w:p>
      <w:pPr>
        <w:pStyle w:val="8"/>
        <w:snapToGrid w:val="0"/>
        <w:spacing w:line="360" w:lineRule="auto"/>
        <w:ind w:firstLine="420"/>
        <w:rPr>
          <w:rFonts w:ascii="仿宋_GB2312" w:hAnsi="仿宋" w:eastAsia="仿宋_GB2312"/>
          <w:color w:val="auto"/>
          <w:sz w:val="21"/>
          <w:szCs w:val="21"/>
        </w:rPr>
      </w:pPr>
      <w:r>
        <w:rPr>
          <w:rFonts w:hint="eastAsia" w:ascii="仿宋_GB2312" w:hAnsi="仿宋" w:eastAsia="仿宋_GB2312"/>
          <w:color w:val="auto"/>
          <w:sz w:val="21"/>
          <w:szCs w:val="21"/>
        </w:rPr>
        <w:t>(3) 因重大变故，采购任务取消的。</w:t>
      </w:r>
    </w:p>
    <w:p>
      <w:pPr>
        <w:pStyle w:val="8"/>
        <w:snapToGrid w:val="0"/>
        <w:spacing w:line="360" w:lineRule="auto"/>
        <w:ind w:firstLine="420"/>
        <w:rPr>
          <w:rFonts w:ascii="仿宋_GB2312" w:hAnsi="仿宋" w:eastAsia="仿宋_GB2312"/>
          <w:color w:val="auto"/>
          <w:sz w:val="21"/>
          <w:szCs w:val="21"/>
        </w:rPr>
      </w:pPr>
      <w:r>
        <w:rPr>
          <w:rFonts w:hint="eastAsia" w:ascii="仿宋_GB2312" w:hAnsi="仿宋" w:eastAsia="仿宋_GB2312"/>
          <w:color w:val="auto"/>
          <w:sz w:val="21"/>
          <w:szCs w:val="21"/>
        </w:rPr>
        <w:t>废标后，采购机构应当将废标理由通知所有投标人。</w:t>
      </w:r>
    </w:p>
    <w:p>
      <w:pPr>
        <w:pStyle w:val="18"/>
        <w:spacing w:before="0"/>
        <w:ind w:firstLine="0" w:firstLineChars="0"/>
        <w:rPr>
          <w:rFonts w:ascii="仿宋_GB2312" w:hAnsi="仿宋" w:eastAsia="仿宋_GB2312"/>
          <w:b/>
          <w:color w:val="auto"/>
          <w:sz w:val="21"/>
          <w:szCs w:val="21"/>
        </w:rPr>
      </w:pPr>
      <w:r>
        <w:rPr>
          <w:rFonts w:hint="eastAsia" w:ascii="仿宋_GB2312" w:hAnsi="仿宋" w:eastAsia="仿宋_GB2312"/>
          <w:b/>
          <w:color w:val="auto"/>
          <w:sz w:val="21"/>
          <w:szCs w:val="21"/>
        </w:rPr>
        <w:t>6.9. 评标内容的保密</w:t>
      </w:r>
    </w:p>
    <w:p>
      <w:pPr>
        <w:pStyle w:val="18"/>
        <w:snapToGrid w:val="0"/>
        <w:spacing w:before="0"/>
        <w:ind w:firstLine="420"/>
        <w:rPr>
          <w:rFonts w:ascii="仿宋_GB2312" w:hAnsi="仿宋" w:eastAsia="仿宋_GB2312"/>
          <w:color w:val="auto"/>
          <w:sz w:val="21"/>
          <w:szCs w:val="21"/>
        </w:rPr>
      </w:pPr>
      <w:r>
        <w:rPr>
          <w:rFonts w:hint="eastAsia" w:ascii="仿宋_GB2312" w:hAnsi="仿宋" w:eastAsia="仿宋_GB2312"/>
          <w:color w:val="auto"/>
          <w:sz w:val="21"/>
          <w:szCs w:val="21"/>
        </w:rPr>
        <w:t>6.9.1  公开开标后，直到宣布中标人止，凡属于审查、澄清、评价和比较投标的所有资料，都不应向投标人或与评标无关的其他人泄露。</w:t>
      </w:r>
    </w:p>
    <w:p>
      <w:pPr>
        <w:pStyle w:val="18"/>
        <w:snapToGrid w:val="0"/>
        <w:spacing w:before="0"/>
        <w:ind w:firstLine="420"/>
        <w:rPr>
          <w:rFonts w:ascii="仿宋_GB2312" w:hAnsi="仿宋" w:eastAsia="仿宋_GB2312"/>
          <w:color w:val="auto"/>
          <w:sz w:val="21"/>
          <w:szCs w:val="21"/>
        </w:rPr>
      </w:pPr>
      <w:r>
        <w:rPr>
          <w:rFonts w:hint="eastAsia" w:ascii="仿宋_GB2312" w:hAnsi="仿宋" w:eastAsia="仿宋_GB2312"/>
          <w:color w:val="auto"/>
          <w:sz w:val="21"/>
          <w:szCs w:val="21"/>
        </w:rPr>
        <w:t>6.9.2  在投标文件的审查、澄清、评价和比较以及确定中标人过程中，投标人对采购机构和评标机构施加影响的任何行为，都将导致取消资格。</w:t>
      </w:r>
    </w:p>
    <w:p>
      <w:pPr>
        <w:snapToGrid w:val="0"/>
        <w:spacing w:line="360" w:lineRule="auto"/>
        <w:jc w:val="center"/>
        <w:outlineLvl w:val="0"/>
        <w:rPr>
          <w:rFonts w:ascii="仿宋_GB2312" w:hAnsi="仿宋" w:eastAsia="仿宋_GB2312"/>
          <w:b/>
          <w:color w:val="auto"/>
          <w:sz w:val="36"/>
          <w:szCs w:val="36"/>
        </w:rPr>
      </w:pPr>
    </w:p>
    <w:p>
      <w:pPr>
        <w:snapToGrid w:val="0"/>
        <w:spacing w:line="360" w:lineRule="auto"/>
        <w:jc w:val="center"/>
        <w:outlineLvl w:val="0"/>
        <w:rPr>
          <w:rFonts w:ascii="仿宋_GB2312" w:hAnsi="仿宋" w:eastAsia="仿宋_GB2312"/>
          <w:b/>
          <w:color w:val="auto"/>
          <w:sz w:val="36"/>
          <w:szCs w:val="36"/>
        </w:rPr>
      </w:pPr>
    </w:p>
    <w:p>
      <w:pPr>
        <w:snapToGrid w:val="0"/>
        <w:spacing w:line="360" w:lineRule="auto"/>
        <w:jc w:val="center"/>
        <w:outlineLvl w:val="0"/>
        <w:rPr>
          <w:rFonts w:ascii="仿宋_GB2312" w:hAnsi="仿宋" w:eastAsia="仿宋_GB2312"/>
          <w:b/>
          <w:color w:val="auto"/>
          <w:sz w:val="36"/>
          <w:szCs w:val="36"/>
        </w:rPr>
      </w:pPr>
      <w:r>
        <w:rPr>
          <w:rFonts w:hint="eastAsia" w:ascii="仿宋_GB2312" w:hAnsi="仿宋" w:eastAsia="仿宋_GB2312"/>
          <w:b/>
          <w:color w:val="auto"/>
          <w:sz w:val="36"/>
          <w:szCs w:val="36"/>
        </w:rPr>
        <w:t>七、定 标</w:t>
      </w:r>
    </w:p>
    <w:p>
      <w:pPr>
        <w:pStyle w:val="8"/>
        <w:spacing w:line="360" w:lineRule="auto"/>
        <w:ind w:left="420" w:hanging="420" w:hangingChars="199"/>
        <w:rPr>
          <w:rFonts w:ascii="仿宋_GB2312" w:eastAsia="仿宋_GB2312"/>
          <w:b/>
          <w:color w:val="auto"/>
          <w:sz w:val="21"/>
        </w:rPr>
      </w:pPr>
      <w:r>
        <w:rPr>
          <w:rFonts w:hint="eastAsia" w:ascii="仿宋_GB2312" w:eastAsia="仿宋_GB2312"/>
          <w:b/>
          <w:color w:val="auto"/>
          <w:sz w:val="21"/>
        </w:rPr>
        <w:t>7.1 授标建议</w:t>
      </w:r>
    </w:p>
    <w:p>
      <w:pPr>
        <w:snapToGrid w:val="0"/>
        <w:spacing w:line="360" w:lineRule="auto"/>
        <w:ind w:left="120" w:leftChars="57" w:firstLine="420" w:firstLineChars="200"/>
        <w:rPr>
          <w:rFonts w:ascii="仿宋_GB2312" w:hAnsi="仿宋" w:eastAsia="仿宋_GB2312"/>
          <w:color w:val="auto"/>
        </w:rPr>
      </w:pPr>
      <w:r>
        <w:rPr>
          <w:rFonts w:hint="eastAsia" w:ascii="仿宋_GB2312" w:hAnsi="仿宋" w:eastAsia="仿宋_GB2312"/>
          <w:color w:val="auto"/>
        </w:rPr>
        <w:t>评标委员会将根据招标文件和有关规定，履行评标工作职责，以评标原则和评标办法为标准，全面衡量各投标人对招标文件的响应情况。对实质上响应招标文件的投标人，</w:t>
      </w:r>
      <w:r>
        <w:rPr>
          <w:rFonts w:hint="eastAsia" w:ascii="仿宋_GB2312" w:hAnsi="仿宋" w:eastAsia="仿宋_GB2312"/>
          <w:color w:val="auto"/>
          <w:kern w:val="28"/>
          <w:lang w:val="zh-CN"/>
        </w:rPr>
        <w:t>以打分的方法</w:t>
      </w:r>
      <w:r>
        <w:rPr>
          <w:rFonts w:hint="eastAsia" w:ascii="仿宋_GB2312" w:hAnsi="仿宋" w:eastAsia="仿宋_GB2312"/>
          <w:color w:val="auto"/>
        </w:rPr>
        <w:t>，排出推荐中标的投标人的先后顺序</w:t>
      </w:r>
      <w:r>
        <w:rPr>
          <w:rFonts w:hint="eastAsia" w:ascii="仿宋_GB2312" w:hAnsi="仿宋" w:eastAsia="仿宋_GB2312"/>
          <w:color w:val="auto"/>
          <w:lang w:val="zh-CN"/>
        </w:rPr>
        <w:t>，并按</w:t>
      </w:r>
      <w:r>
        <w:rPr>
          <w:rFonts w:hint="eastAsia" w:ascii="仿宋_GB2312" w:hAnsi="仿宋" w:eastAsia="仿宋_GB2312"/>
          <w:color w:val="auto"/>
        </w:rPr>
        <w:t>顺序</w:t>
      </w:r>
      <w:r>
        <w:rPr>
          <w:rFonts w:hint="eastAsia" w:ascii="仿宋_GB2312" w:hAnsi="仿宋" w:eastAsia="仿宋_GB2312"/>
          <w:color w:val="auto"/>
          <w:lang w:val="zh-CN"/>
        </w:rPr>
        <w:t>提出授标建议</w:t>
      </w:r>
      <w:r>
        <w:rPr>
          <w:rFonts w:hint="eastAsia" w:ascii="仿宋_GB2312" w:hAnsi="仿宋" w:eastAsia="仿宋_GB2312"/>
          <w:color w:val="auto"/>
        </w:rPr>
        <w:t>。评标结果经采购人确认，最终确定中标人。</w:t>
      </w:r>
    </w:p>
    <w:p>
      <w:pPr>
        <w:pStyle w:val="8"/>
        <w:spacing w:line="360" w:lineRule="auto"/>
        <w:ind w:left="420" w:hanging="420" w:hangingChars="199"/>
        <w:rPr>
          <w:rFonts w:ascii="仿宋_GB2312" w:eastAsia="仿宋_GB2312"/>
          <w:b/>
          <w:color w:val="auto"/>
          <w:sz w:val="21"/>
        </w:rPr>
      </w:pPr>
      <w:r>
        <w:rPr>
          <w:rFonts w:hint="eastAsia" w:ascii="仿宋_GB2312" w:eastAsia="仿宋_GB2312"/>
          <w:b/>
          <w:color w:val="auto"/>
          <w:sz w:val="21"/>
        </w:rPr>
        <w:t>7.2中标通知</w:t>
      </w:r>
    </w:p>
    <w:p>
      <w:pPr>
        <w:tabs>
          <w:tab w:val="left" w:pos="0"/>
        </w:tabs>
        <w:spacing w:line="360" w:lineRule="auto"/>
        <w:ind w:firstLine="480"/>
        <w:rPr>
          <w:rFonts w:ascii="仿宋_GB2312" w:hAnsi="宋体" w:eastAsia="仿宋_GB2312"/>
          <w:color w:val="auto"/>
        </w:rPr>
      </w:pPr>
      <w:r>
        <w:rPr>
          <w:rFonts w:hint="eastAsia" w:ascii="仿宋_GB2312" w:hAnsi="宋体" w:eastAsia="仿宋_GB2312"/>
          <w:color w:val="auto"/>
        </w:rPr>
        <w:t>7.2.1</w:t>
      </w:r>
      <w:r>
        <w:rPr>
          <w:rFonts w:hint="eastAsia" w:ascii="仿宋_GB2312" w:eastAsia="仿宋_GB2312"/>
          <w:color w:val="auto"/>
        </w:rPr>
        <w:t>确定预中标人后，采购人将在发布招标公告的网站上公布评标结果，并</w:t>
      </w:r>
      <w:r>
        <w:rPr>
          <w:rFonts w:hint="eastAsia" w:ascii="仿宋_GB2312" w:hAnsi="宋体" w:eastAsia="仿宋_GB2312"/>
          <w:color w:val="auto"/>
        </w:rPr>
        <w:t>将中标结果在指定媒体上公示3个工作日，公示期内如无异议，</w:t>
      </w:r>
      <w:r>
        <w:rPr>
          <w:rFonts w:hint="eastAsia" w:ascii="仿宋_GB2312" w:eastAsia="仿宋_GB2312"/>
          <w:color w:val="auto"/>
        </w:rPr>
        <w:t>采购机构</w:t>
      </w:r>
      <w:r>
        <w:rPr>
          <w:rFonts w:hint="eastAsia" w:ascii="仿宋_GB2312" w:hAnsi="宋体" w:eastAsia="仿宋_GB2312"/>
          <w:color w:val="auto"/>
        </w:rPr>
        <w:t>向预中标人签发中标通知书。</w:t>
      </w:r>
    </w:p>
    <w:p>
      <w:pPr>
        <w:tabs>
          <w:tab w:val="left" w:pos="0"/>
        </w:tabs>
        <w:spacing w:line="360" w:lineRule="auto"/>
        <w:ind w:firstLine="480"/>
        <w:rPr>
          <w:rFonts w:ascii="仿宋_GB2312" w:hAnsi="宋体" w:eastAsia="仿宋_GB2312"/>
          <w:color w:val="auto"/>
        </w:rPr>
      </w:pPr>
      <w:r>
        <w:rPr>
          <w:rFonts w:hint="eastAsia" w:ascii="仿宋_GB2312" w:hAnsi="仿宋" w:eastAsia="仿宋_GB2312"/>
          <w:color w:val="auto"/>
        </w:rPr>
        <w:t>如采购人在招标需求内有对产品原厂授权做出要求的，中标人须提供投标品牌授权书及原厂服务承诺，以预中标公告截止日作为授权书提交的截止日，否则取消中标资格，排名其次的投标人为候补中标候选人，以此类推。</w:t>
      </w:r>
    </w:p>
    <w:p>
      <w:pPr>
        <w:tabs>
          <w:tab w:val="left" w:pos="0"/>
        </w:tabs>
        <w:spacing w:line="360" w:lineRule="auto"/>
        <w:ind w:firstLine="480"/>
        <w:rPr>
          <w:rFonts w:ascii="仿宋_GB2312" w:hAnsi="宋体" w:eastAsia="仿宋_GB2312"/>
          <w:color w:val="auto"/>
        </w:rPr>
      </w:pPr>
      <w:r>
        <w:rPr>
          <w:rFonts w:hint="eastAsia" w:ascii="仿宋_GB2312" w:hAnsi="宋体" w:eastAsia="仿宋_GB2312"/>
          <w:color w:val="auto"/>
        </w:rPr>
        <w:t>在</w:t>
      </w:r>
      <w:r>
        <w:rPr>
          <w:rFonts w:hint="eastAsia" w:ascii="仿宋_GB2312" w:eastAsia="仿宋_GB2312"/>
          <w:color w:val="auto"/>
        </w:rPr>
        <w:t>采购机构</w:t>
      </w:r>
      <w:r>
        <w:rPr>
          <w:rFonts w:hint="eastAsia" w:ascii="仿宋_GB2312" w:hAnsi="宋体" w:eastAsia="仿宋_GB2312"/>
          <w:color w:val="auto"/>
        </w:rPr>
        <w:t>发出中标通知书前，中标人有违反有关法律法规和本项目要求行为的，则取消其预中标资格，不再退还其投标保证金，</w:t>
      </w:r>
      <w:r>
        <w:rPr>
          <w:rFonts w:hint="eastAsia" w:ascii="仿宋_GB2312" w:eastAsia="仿宋_GB2312"/>
          <w:color w:val="auto"/>
        </w:rPr>
        <w:t>并根据评标委员会推荐的中标候选人</w:t>
      </w:r>
      <w:r>
        <w:rPr>
          <w:rFonts w:hint="eastAsia" w:ascii="仿宋_GB2312" w:hAnsi="宋体" w:eastAsia="仿宋_GB2312"/>
          <w:color w:val="auto"/>
        </w:rPr>
        <w:t>先后顺序</w:t>
      </w:r>
      <w:r>
        <w:rPr>
          <w:rFonts w:hint="eastAsia" w:ascii="仿宋_GB2312" w:eastAsia="仿宋_GB2312"/>
          <w:color w:val="auto"/>
        </w:rPr>
        <w:t>，将下一顺序单位作为</w:t>
      </w:r>
      <w:r>
        <w:rPr>
          <w:rFonts w:hint="eastAsia" w:ascii="仿宋_GB2312" w:hAnsi="宋体" w:eastAsia="仿宋_GB2312"/>
          <w:color w:val="auto"/>
        </w:rPr>
        <w:t>预中标公示单位</w:t>
      </w:r>
      <w:r>
        <w:rPr>
          <w:rFonts w:hint="eastAsia" w:ascii="仿宋_GB2312" w:eastAsia="仿宋_GB2312"/>
          <w:color w:val="auto"/>
        </w:rPr>
        <w:t>，或由采购机构组织评标委员会复议后提出重新组织采购等建议。</w:t>
      </w:r>
    </w:p>
    <w:p>
      <w:pPr>
        <w:tabs>
          <w:tab w:val="left" w:pos="0"/>
        </w:tabs>
        <w:spacing w:line="360" w:lineRule="auto"/>
        <w:ind w:firstLine="480"/>
        <w:rPr>
          <w:rFonts w:ascii="仿宋_GB2312" w:hAnsi="宋体" w:eastAsia="仿宋_GB2312"/>
          <w:color w:val="auto"/>
        </w:rPr>
      </w:pPr>
      <w:r>
        <w:rPr>
          <w:rFonts w:hint="eastAsia" w:ascii="仿宋_GB2312" w:hAnsi="宋体" w:eastAsia="仿宋_GB2312"/>
          <w:color w:val="auto"/>
        </w:rPr>
        <w:t>7.2.2投标人全部接受合同条件并签订合同后，中标通知书亦成为合同的组成部分。</w:t>
      </w:r>
    </w:p>
    <w:p>
      <w:pPr>
        <w:tabs>
          <w:tab w:val="left" w:pos="0"/>
        </w:tabs>
        <w:spacing w:line="360" w:lineRule="auto"/>
        <w:ind w:firstLine="480"/>
        <w:rPr>
          <w:rFonts w:ascii="仿宋_GB2312" w:hAnsi="宋体" w:eastAsia="仿宋_GB2312"/>
          <w:color w:val="auto"/>
        </w:rPr>
      </w:pPr>
      <w:r>
        <w:rPr>
          <w:rFonts w:hint="eastAsia" w:ascii="仿宋_GB2312" w:hAnsi="宋体" w:eastAsia="仿宋_GB2312"/>
          <w:color w:val="auto"/>
        </w:rPr>
        <w:t>7.2.3如中标人拒绝承担中标的项目，或提出采购机构不能接受的条件，致使合同无法签订，采购机构将取消其中标资格，不再退还其投标保证金，</w:t>
      </w:r>
      <w:r>
        <w:rPr>
          <w:rFonts w:hint="eastAsia" w:ascii="仿宋_GB2312" w:eastAsia="仿宋_GB2312"/>
          <w:color w:val="auto"/>
        </w:rPr>
        <w:t>并根据评标委员会推荐的中标候选人</w:t>
      </w:r>
      <w:r>
        <w:rPr>
          <w:rFonts w:hint="eastAsia" w:ascii="仿宋_GB2312" w:hAnsi="宋体" w:eastAsia="仿宋_GB2312"/>
          <w:color w:val="auto"/>
        </w:rPr>
        <w:t>先后顺序</w:t>
      </w:r>
      <w:r>
        <w:rPr>
          <w:rFonts w:hint="eastAsia" w:ascii="仿宋_GB2312" w:eastAsia="仿宋_GB2312"/>
          <w:color w:val="auto"/>
        </w:rPr>
        <w:t>，将下一顺序单位作为</w:t>
      </w:r>
      <w:r>
        <w:rPr>
          <w:rFonts w:hint="eastAsia" w:ascii="仿宋_GB2312" w:hAnsi="宋体" w:eastAsia="仿宋_GB2312"/>
          <w:color w:val="auto"/>
        </w:rPr>
        <w:t>中标公示单位</w:t>
      </w:r>
      <w:r>
        <w:rPr>
          <w:rFonts w:hint="eastAsia" w:ascii="仿宋_GB2312" w:eastAsia="仿宋_GB2312"/>
          <w:color w:val="auto"/>
        </w:rPr>
        <w:t>，或由采购机构组织评标委员会复议后提出重新组织采购等建议。</w:t>
      </w:r>
    </w:p>
    <w:p>
      <w:pPr>
        <w:tabs>
          <w:tab w:val="left" w:pos="0"/>
        </w:tabs>
        <w:spacing w:line="360" w:lineRule="auto"/>
        <w:ind w:firstLine="480"/>
        <w:rPr>
          <w:rFonts w:ascii="仿宋_GB2312" w:hAnsi="宋体" w:eastAsia="仿宋_GB2312"/>
          <w:color w:val="auto"/>
        </w:rPr>
      </w:pPr>
      <w:r>
        <w:rPr>
          <w:rFonts w:hint="eastAsia" w:ascii="仿宋_GB2312" w:hAnsi="宋体" w:eastAsia="仿宋_GB2312"/>
          <w:color w:val="auto"/>
        </w:rPr>
        <w:t>7.2.4在中标人签订合同并生效后，中标人即为供应商，</w:t>
      </w:r>
      <w:r>
        <w:rPr>
          <w:rFonts w:hint="eastAsia" w:ascii="仿宋_GB2312" w:hAnsi="仿宋" w:eastAsia="仿宋_GB2312"/>
          <w:color w:val="auto"/>
        </w:rPr>
        <w:t>采购机构及时将未中标的结果通知其他投标人</w:t>
      </w:r>
      <w:r>
        <w:rPr>
          <w:rFonts w:hint="eastAsia" w:ascii="仿宋_GB2312" w:hAnsi="宋体" w:eastAsia="仿宋_GB2312"/>
          <w:color w:val="auto"/>
        </w:rPr>
        <w:t>。</w:t>
      </w:r>
    </w:p>
    <w:p>
      <w:pPr>
        <w:snapToGrid w:val="0"/>
        <w:spacing w:line="360" w:lineRule="auto"/>
        <w:ind w:left="120" w:leftChars="57" w:firstLine="482" w:firstLineChars="150"/>
        <w:jc w:val="center"/>
        <w:rPr>
          <w:rFonts w:ascii="仿宋_GB2312" w:hAnsi="仿宋" w:eastAsia="仿宋_GB2312"/>
          <w:b/>
          <w:color w:val="auto"/>
          <w:sz w:val="32"/>
        </w:rPr>
      </w:pPr>
    </w:p>
    <w:p>
      <w:pPr>
        <w:snapToGrid w:val="0"/>
        <w:spacing w:line="360" w:lineRule="auto"/>
        <w:ind w:left="120" w:leftChars="57" w:firstLine="482" w:firstLineChars="150"/>
        <w:jc w:val="center"/>
        <w:rPr>
          <w:rFonts w:ascii="仿宋_GB2312" w:hAnsi="仿宋" w:eastAsia="仿宋_GB2312"/>
          <w:b/>
          <w:color w:val="auto"/>
          <w:sz w:val="32"/>
        </w:rPr>
      </w:pPr>
      <w:r>
        <w:rPr>
          <w:rFonts w:hint="eastAsia" w:ascii="仿宋_GB2312" w:hAnsi="仿宋" w:eastAsia="仿宋_GB2312"/>
          <w:b/>
          <w:color w:val="auto"/>
          <w:sz w:val="32"/>
        </w:rPr>
        <w:t>八、合同签订及其他</w:t>
      </w:r>
    </w:p>
    <w:p>
      <w:pPr>
        <w:pStyle w:val="8"/>
        <w:spacing w:line="360" w:lineRule="auto"/>
        <w:ind w:left="420" w:hanging="420" w:hangingChars="199"/>
        <w:rPr>
          <w:rFonts w:ascii="仿宋_GB2312" w:eastAsia="仿宋_GB2312"/>
          <w:b/>
          <w:color w:val="auto"/>
          <w:sz w:val="21"/>
        </w:rPr>
      </w:pPr>
      <w:r>
        <w:rPr>
          <w:rFonts w:hint="eastAsia" w:ascii="仿宋_GB2312" w:eastAsia="仿宋_GB2312"/>
          <w:b/>
          <w:color w:val="auto"/>
          <w:sz w:val="21"/>
        </w:rPr>
        <w:t>8.1 合同的签订</w:t>
      </w:r>
    </w:p>
    <w:p>
      <w:pPr>
        <w:snapToGrid w:val="0"/>
        <w:spacing w:line="360" w:lineRule="auto"/>
        <w:ind w:firstLine="420" w:firstLineChars="200"/>
        <w:rPr>
          <w:rFonts w:ascii="仿宋_GB2312" w:hAnsi="仿宋" w:eastAsia="仿宋_GB2312"/>
          <w:color w:val="auto"/>
        </w:rPr>
      </w:pPr>
      <w:r>
        <w:rPr>
          <w:rFonts w:hint="eastAsia" w:ascii="仿宋_GB2312" w:hAnsi="仿宋" w:eastAsia="仿宋_GB2312"/>
          <w:color w:val="auto"/>
        </w:rPr>
        <w:t>8.1.1合同将由采购人与经评审最终确定的中标人结合本项目具体情况协商后签订。招标文件第五部分《采购合同的一般和特殊条款》为采购人提出的主要条款，投标人在投标文件中应对其进行确认或拒绝。如投标人在其投标文件中未做拒绝或提出修改要求的，采购人将视作认同。</w:t>
      </w:r>
    </w:p>
    <w:p>
      <w:pPr>
        <w:pStyle w:val="18"/>
        <w:snapToGrid w:val="0"/>
        <w:spacing w:before="0"/>
        <w:ind w:firstLine="420"/>
        <w:rPr>
          <w:rFonts w:ascii="仿宋_GB2312" w:hAnsi="仿宋" w:eastAsia="仿宋_GB2312"/>
          <w:color w:val="auto"/>
          <w:kern w:val="0"/>
          <w:sz w:val="21"/>
          <w:lang w:val="zh-CN"/>
        </w:rPr>
      </w:pPr>
      <w:r>
        <w:rPr>
          <w:rFonts w:hint="eastAsia" w:ascii="仿宋_GB2312" w:hAnsi="仿宋" w:eastAsia="仿宋_GB2312"/>
          <w:color w:val="auto"/>
          <w:kern w:val="0"/>
          <w:sz w:val="21"/>
          <w:lang w:val="zh-CN"/>
        </w:rPr>
        <w:t>8.1.2中标人按规定的日期、时间、地点，由法定代表人或其授权代表与采购人代表签订合同，经招标人和中标人盖章并经双方法定代表人或授权代理人签字（盖章）后生效。</w:t>
      </w:r>
    </w:p>
    <w:p>
      <w:pPr>
        <w:pStyle w:val="18"/>
        <w:snapToGrid w:val="0"/>
        <w:spacing w:before="0"/>
        <w:ind w:firstLine="420"/>
        <w:rPr>
          <w:rFonts w:ascii="仿宋_GB2312" w:hAnsi="仿宋" w:eastAsia="仿宋_GB2312"/>
          <w:color w:val="auto"/>
          <w:kern w:val="0"/>
          <w:sz w:val="21"/>
          <w:lang w:val="zh-CN"/>
        </w:rPr>
      </w:pPr>
    </w:p>
    <w:p>
      <w:pPr>
        <w:snapToGrid w:val="0"/>
        <w:spacing w:line="360" w:lineRule="auto"/>
        <w:jc w:val="center"/>
        <w:outlineLvl w:val="0"/>
        <w:rPr>
          <w:rFonts w:ascii="仿宋_GB2312" w:hAnsi="仿宋" w:eastAsia="仿宋_GB2312"/>
          <w:b/>
          <w:color w:val="auto"/>
          <w:sz w:val="36"/>
          <w:szCs w:val="36"/>
        </w:rPr>
      </w:pPr>
      <w:r>
        <w:rPr>
          <w:rFonts w:hint="eastAsia" w:ascii="仿宋_GB2312" w:hAnsi="仿宋" w:eastAsia="仿宋_GB2312"/>
          <w:b/>
          <w:color w:val="auto"/>
          <w:sz w:val="36"/>
          <w:szCs w:val="36"/>
        </w:rPr>
        <w:t>九、质疑与投诉</w:t>
      </w:r>
    </w:p>
    <w:p>
      <w:pPr>
        <w:pStyle w:val="18"/>
        <w:snapToGrid w:val="0"/>
        <w:spacing w:before="0"/>
        <w:ind w:firstLine="0" w:firstLineChars="0"/>
        <w:rPr>
          <w:rFonts w:ascii="仿宋_GB2312" w:hAnsi="仿宋" w:eastAsia="仿宋_GB2312"/>
          <w:b/>
          <w:color w:val="auto"/>
          <w:sz w:val="21"/>
          <w:szCs w:val="24"/>
        </w:rPr>
      </w:pPr>
      <w:r>
        <w:rPr>
          <w:rFonts w:hint="eastAsia" w:ascii="仿宋_GB2312" w:hAnsi="仿宋" w:eastAsia="仿宋_GB2312"/>
          <w:b/>
          <w:color w:val="auto"/>
          <w:sz w:val="21"/>
          <w:szCs w:val="24"/>
        </w:rPr>
        <w:t>9.1供应商询问</w:t>
      </w:r>
    </w:p>
    <w:p>
      <w:pPr>
        <w:pStyle w:val="18"/>
        <w:snapToGrid w:val="0"/>
        <w:spacing w:before="0"/>
        <w:ind w:firstLine="420"/>
        <w:rPr>
          <w:rFonts w:ascii="仿宋_GB2312" w:hAnsi="仿宋" w:eastAsia="仿宋_GB2312"/>
          <w:color w:val="auto"/>
          <w:sz w:val="21"/>
          <w:lang w:val="zh-CN"/>
        </w:rPr>
      </w:pPr>
      <w:r>
        <w:rPr>
          <w:rFonts w:hint="eastAsia" w:ascii="仿宋_GB2312" w:hAnsi="仿宋" w:eastAsia="仿宋_GB2312"/>
          <w:color w:val="auto"/>
          <w:sz w:val="21"/>
          <w:lang w:val="zh-CN"/>
        </w:rPr>
        <w:t>供应商对政府采购活动事项有疑问的，可以向采购机构提出询问，采购机构应当及时作出答复，但答复的内容不得涉及商业秘密。</w:t>
      </w:r>
    </w:p>
    <w:p>
      <w:pPr>
        <w:pStyle w:val="18"/>
        <w:snapToGrid w:val="0"/>
        <w:spacing w:before="0"/>
        <w:ind w:firstLine="0" w:firstLineChars="0"/>
        <w:rPr>
          <w:rFonts w:ascii="仿宋_GB2312" w:hAnsi="仿宋" w:eastAsia="仿宋_GB2312"/>
          <w:b/>
          <w:color w:val="auto"/>
          <w:sz w:val="21"/>
          <w:szCs w:val="24"/>
        </w:rPr>
      </w:pPr>
      <w:r>
        <w:rPr>
          <w:rFonts w:hint="eastAsia" w:ascii="仿宋_GB2312" w:hAnsi="仿宋" w:eastAsia="仿宋_GB2312"/>
          <w:b/>
          <w:color w:val="auto"/>
          <w:sz w:val="21"/>
          <w:szCs w:val="24"/>
        </w:rPr>
        <w:t>9.2供应商质疑</w:t>
      </w:r>
    </w:p>
    <w:p>
      <w:pPr>
        <w:pStyle w:val="18"/>
        <w:snapToGrid w:val="0"/>
        <w:spacing w:before="0"/>
        <w:ind w:firstLine="420"/>
        <w:rPr>
          <w:rFonts w:ascii="仿宋_GB2312" w:hAnsi="仿宋" w:eastAsia="仿宋_GB2312"/>
          <w:b/>
          <w:color w:val="auto"/>
          <w:sz w:val="21"/>
        </w:rPr>
      </w:pPr>
      <w:r>
        <w:rPr>
          <w:rFonts w:hint="eastAsia" w:ascii="仿宋_GB2312" w:hAnsi="仿宋" w:eastAsia="仿宋_GB2312"/>
          <w:color w:val="auto"/>
          <w:sz w:val="21"/>
        </w:rPr>
        <w:t>9.2.1</w:t>
      </w:r>
      <w:r>
        <w:rPr>
          <w:rFonts w:hint="eastAsia" w:ascii="仿宋_GB2312" w:hAnsi="宋体" w:eastAsia="仿宋_GB2312"/>
          <w:color w:val="auto"/>
          <w:sz w:val="21"/>
          <w:szCs w:val="24"/>
        </w:rPr>
        <w:t>供应商认为招标文件、采购过程和中标、成交结果使自己的权益受到损害的，可以在招标公告发出之日起七个工作日内，以书面形式向</w:t>
      </w:r>
      <w:r>
        <w:rPr>
          <w:rFonts w:hint="eastAsia" w:ascii="仿宋_GB2312" w:hAnsi="ˎ̥" w:eastAsia="仿宋_GB2312"/>
          <w:color w:val="auto"/>
          <w:sz w:val="21"/>
        </w:rPr>
        <w:t>采购人</w:t>
      </w:r>
      <w:r>
        <w:rPr>
          <w:rFonts w:hint="eastAsia" w:ascii="仿宋_GB2312" w:hAnsi="宋体" w:eastAsia="仿宋_GB2312"/>
          <w:color w:val="auto"/>
          <w:sz w:val="21"/>
          <w:szCs w:val="24"/>
        </w:rPr>
        <w:t>提出质疑。</w:t>
      </w:r>
    </w:p>
    <w:p>
      <w:pPr>
        <w:pStyle w:val="18"/>
        <w:snapToGrid w:val="0"/>
        <w:spacing w:before="0"/>
        <w:ind w:firstLine="420"/>
        <w:rPr>
          <w:rFonts w:ascii="仿宋_GB2312" w:hAnsi="仿宋" w:eastAsia="仿宋_GB2312"/>
          <w:bCs/>
          <w:color w:val="auto"/>
          <w:sz w:val="21"/>
          <w:szCs w:val="24"/>
        </w:rPr>
      </w:pPr>
      <w:r>
        <w:rPr>
          <w:rFonts w:hint="eastAsia" w:ascii="仿宋_GB2312" w:hAnsi="仿宋" w:eastAsia="仿宋_GB2312"/>
          <w:bCs/>
          <w:color w:val="auto"/>
          <w:sz w:val="21"/>
          <w:szCs w:val="24"/>
        </w:rPr>
        <w:t>9.2.2供应商提交的质疑书需一式三份，由法定代表人签字（或盖章）并加盖单位公章。质疑书至少应包括下列主要内容：</w:t>
      </w:r>
    </w:p>
    <w:p>
      <w:pPr>
        <w:pStyle w:val="18"/>
        <w:snapToGrid w:val="0"/>
        <w:spacing w:before="0"/>
        <w:ind w:firstLine="420"/>
        <w:rPr>
          <w:rFonts w:ascii="仿宋_GB2312" w:hAnsi="仿宋" w:eastAsia="仿宋_GB2312"/>
          <w:bCs/>
          <w:color w:val="auto"/>
          <w:sz w:val="21"/>
          <w:szCs w:val="24"/>
        </w:rPr>
      </w:pPr>
      <w:r>
        <w:rPr>
          <w:rFonts w:hint="eastAsia" w:ascii="仿宋_GB2312" w:hAnsi="仿宋" w:eastAsia="仿宋_GB2312"/>
          <w:bCs/>
          <w:color w:val="auto"/>
          <w:sz w:val="21"/>
          <w:szCs w:val="24"/>
        </w:rPr>
        <w:t>（1）质疑人的名称、地址、邮政编码、联系人、联系电话，以及被质疑人名称及联系方式；</w:t>
      </w:r>
    </w:p>
    <w:p>
      <w:pPr>
        <w:pStyle w:val="18"/>
        <w:snapToGrid w:val="0"/>
        <w:spacing w:before="0"/>
        <w:ind w:firstLine="420"/>
        <w:rPr>
          <w:rFonts w:ascii="仿宋_GB2312" w:hAnsi="仿宋" w:eastAsia="仿宋_GB2312"/>
          <w:bCs/>
          <w:color w:val="auto"/>
          <w:sz w:val="21"/>
          <w:szCs w:val="24"/>
        </w:rPr>
      </w:pPr>
      <w:r>
        <w:rPr>
          <w:rFonts w:hint="eastAsia" w:ascii="仿宋_GB2312" w:hAnsi="仿宋" w:eastAsia="仿宋_GB2312"/>
          <w:bCs/>
          <w:color w:val="auto"/>
          <w:sz w:val="21"/>
          <w:szCs w:val="24"/>
        </w:rPr>
        <w:t>（2）被质疑采购项目名称、编号及采购内容；</w:t>
      </w:r>
    </w:p>
    <w:p>
      <w:pPr>
        <w:pStyle w:val="18"/>
        <w:snapToGrid w:val="0"/>
        <w:spacing w:before="0"/>
        <w:ind w:firstLine="420"/>
        <w:rPr>
          <w:rFonts w:ascii="仿宋_GB2312" w:hAnsi="仿宋" w:eastAsia="仿宋_GB2312"/>
          <w:bCs/>
          <w:color w:val="auto"/>
          <w:sz w:val="21"/>
          <w:szCs w:val="24"/>
        </w:rPr>
      </w:pPr>
      <w:r>
        <w:rPr>
          <w:rFonts w:hint="eastAsia" w:ascii="仿宋_GB2312" w:hAnsi="仿宋" w:eastAsia="仿宋_GB2312"/>
          <w:bCs/>
          <w:color w:val="auto"/>
          <w:sz w:val="21"/>
          <w:szCs w:val="24"/>
        </w:rPr>
        <w:t>（3）具体的质疑事项及事实依据；</w:t>
      </w:r>
    </w:p>
    <w:p>
      <w:pPr>
        <w:pStyle w:val="18"/>
        <w:snapToGrid w:val="0"/>
        <w:spacing w:before="0"/>
        <w:ind w:firstLine="420"/>
        <w:rPr>
          <w:rFonts w:ascii="仿宋_GB2312" w:hAnsi="仿宋" w:eastAsia="仿宋_GB2312"/>
          <w:bCs/>
          <w:color w:val="auto"/>
          <w:sz w:val="21"/>
          <w:szCs w:val="24"/>
        </w:rPr>
      </w:pPr>
      <w:r>
        <w:rPr>
          <w:rFonts w:hint="eastAsia" w:ascii="仿宋_GB2312" w:hAnsi="仿宋" w:eastAsia="仿宋_GB2312"/>
          <w:bCs/>
          <w:color w:val="auto"/>
          <w:sz w:val="21"/>
          <w:szCs w:val="24"/>
        </w:rPr>
        <w:t>（4）认为自己合法权益受到损害或可能受到损害的相关证据材料；</w:t>
      </w:r>
    </w:p>
    <w:p>
      <w:pPr>
        <w:pStyle w:val="18"/>
        <w:snapToGrid w:val="0"/>
        <w:spacing w:before="0"/>
        <w:ind w:firstLine="420"/>
        <w:rPr>
          <w:rFonts w:ascii="仿宋_GB2312" w:hAnsi="仿宋" w:eastAsia="仿宋_GB2312"/>
          <w:bCs/>
          <w:color w:val="auto"/>
          <w:sz w:val="21"/>
          <w:szCs w:val="24"/>
        </w:rPr>
      </w:pPr>
      <w:r>
        <w:rPr>
          <w:rFonts w:hint="eastAsia" w:ascii="仿宋_GB2312" w:hAnsi="仿宋" w:eastAsia="仿宋_GB2312"/>
          <w:bCs/>
          <w:color w:val="auto"/>
          <w:sz w:val="21"/>
          <w:szCs w:val="24"/>
        </w:rPr>
        <w:t>（5）提出质疑的日期。</w:t>
      </w:r>
    </w:p>
    <w:p>
      <w:pPr>
        <w:pStyle w:val="18"/>
        <w:snapToGrid w:val="0"/>
        <w:spacing w:before="0"/>
        <w:ind w:firstLine="420"/>
        <w:rPr>
          <w:rFonts w:ascii="仿宋_GB2312" w:hAnsi="仿宋" w:eastAsia="仿宋_GB2312"/>
          <w:color w:val="auto"/>
          <w:sz w:val="21"/>
        </w:rPr>
      </w:pPr>
      <w:r>
        <w:rPr>
          <w:rFonts w:hint="eastAsia" w:ascii="仿宋_GB2312" w:eastAsia="仿宋_GB2312"/>
          <w:color w:val="auto"/>
          <w:sz w:val="21"/>
        </w:rPr>
        <w:t>9.2.3</w:t>
      </w:r>
      <w:r>
        <w:rPr>
          <w:rFonts w:hint="eastAsia" w:ascii="仿宋_GB2312" w:hAnsi="仿宋" w:eastAsia="仿宋_GB2312"/>
          <w:color w:val="auto"/>
          <w:sz w:val="21"/>
        </w:rPr>
        <w:t>采购机构应当在收到供应商的书面质疑后七个工作日内作出答复，并以书面形式通知质疑供应商和其他与质疑处理结果有利害关系的政府采购当事人，但答复的内容不得涉及商业秘密。</w:t>
      </w:r>
    </w:p>
    <w:p>
      <w:pPr>
        <w:pStyle w:val="18"/>
        <w:snapToGrid w:val="0"/>
        <w:spacing w:before="0"/>
        <w:ind w:firstLine="420"/>
        <w:rPr>
          <w:rFonts w:ascii="仿宋_GB2312" w:eastAsia="仿宋_GB2312"/>
          <w:color w:val="auto"/>
          <w:sz w:val="21"/>
        </w:rPr>
      </w:pPr>
      <w:r>
        <w:rPr>
          <w:rFonts w:hint="eastAsia" w:ascii="仿宋_GB2312" w:hAnsi="宋体" w:eastAsia="仿宋_GB2312"/>
          <w:color w:val="auto"/>
          <w:sz w:val="21"/>
        </w:rPr>
        <w:t>9.2.4质疑投诉属于以下情况之一的，将不予受理：</w:t>
      </w:r>
    </w:p>
    <w:p>
      <w:pPr>
        <w:spacing w:line="420" w:lineRule="exact"/>
        <w:ind w:firstLine="420" w:firstLineChars="200"/>
        <w:rPr>
          <w:rFonts w:ascii="仿宋_GB2312" w:hAnsi="宋体" w:eastAsia="仿宋_GB2312"/>
          <w:color w:val="auto"/>
        </w:rPr>
      </w:pPr>
      <w:r>
        <w:rPr>
          <w:rFonts w:hint="eastAsia" w:ascii="仿宋_GB2312" w:hAnsi="宋体" w:eastAsia="仿宋_GB2312"/>
          <w:color w:val="auto"/>
        </w:rPr>
        <w:t>(1).质疑投诉人不是所投诉项目的参与者，或者与质疑投诉项目无任何利害关系。</w:t>
      </w:r>
    </w:p>
    <w:p>
      <w:pPr>
        <w:spacing w:line="420" w:lineRule="exact"/>
        <w:ind w:firstLine="420" w:firstLineChars="200"/>
        <w:rPr>
          <w:rFonts w:ascii="仿宋_GB2312" w:hAnsi="宋体" w:eastAsia="仿宋_GB2312"/>
          <w:color w:val="auto"/>
        </w:rPr>
      </w:pPr>
      <w:r>
        <w:rPr>
          <w:rFonts w:hint="eastAsia" w:ascii="仿宋_GB2312" w:hAnsi="宋体" w:eastAsia="仿宋_GB2312"/>
          <w:color w:val="auto"/>
        </w:rPr>
        <w:t>(2).质疑投诉事项不具体，且未提供有效线索，难以查证。</w:t>
      </w:r>
    </w:p>
    <w:p>
      <w:pPr>
        <w:spacing w:line="420" w:lineRule="exact"/>
        <w:ind w:firstLine="420" w:firstLineChars="200"/>
        <w:rPr>
          <w:rFonts w:ascii="仿宋_GB2312" w:hAnsi="宋体" w:eastAsia="仿宋_GB2312"/>
          <w:color w:val="auto"/>
        </w:rPr>
      </w:pPr>
      <w:r>
        <w:rPr>
          <w:rFonts w:hint="eastAsia" w:ascii="仿宋_GB2312" w:hAnsi="宋体" w:eastAsia="仿宋_GB2312"/>
          <w:color w:val="auto"/>
        </w:rPr>
        <w:t>(3).未提供书面质疑或者质疑未加盖公章的；投诉人为法人或者其他组织，其投诉书未经法定代表人或者主要负责人签字并加盖公章的。</w:t>
      </w:r>
    </w:p>
    <w:p>
      <w:pPr>
        <w:spacing w:line="420" w:lineRule="exact"/>
        <w:ind w:firstLine="420" w:firstLineChars="200"/>
        <w:rPr>
          <w:rFonts w:ascii="仿宋_GB2312" w:hAnsi="宋体" w:eastAsia="仿宋_GB2312"/>
          <w:color w:val="auto"/>
        </w:rPr>
      </w:pPr>
      <w:r>
        <w:rPr>
          <w:rFonts w:hint="eastAsia" w:ascii="仿宋_GB2312" w:hAnsi="宋体" w:eastAsia="仿宋_GB2312"/>
          <w:color w:val="auto"/>
        </w:rPr>
        <w:t xml:space="preserve">(4).已超过招标文件规定质疑投诉提出期限的事项。 </w:t>
      </w:r>
    </w:p>
    <w:p>
      <w:pPr>
        <w:spacing w:line="420" w:lineRule="exact"/>
        <w:ind w:firstLine="420" w:firstLineChars="200"/>
        <w:rPr>
          <w:rFonts w:ascii="仿宋_GB2312" w:hAnsi="宋体" w:eastAsia="仿宋_GB2312"/>
          <w:color w:val="auto"/>
        </w:rPr>
      </w:pPr>
      <w:r>
        <w:rPr>
          <w:rFonts w:hint="eastAsia" w:ascii="仿宋_GB2312" w:hAnsi="宋体" w:eastAsia="仿宋_GB2312"/>
          <w:color w:val="auto"/>
        </w:rPr>
        <w:t>(5).投诉事项已作出处理决定，并且投诉人没有提出新的证据；</w:t>
      </w:r>
    </w:p>
    <w:p>
      <w:pPr>
        <w:spacing w:line="420" w:lineRule="exact"/>
        <w:ind w:firstLine="420" w:firstLineChars="200"/>
        <w:rPr>
          <w:rFonts w:ascii="仿宋_GB2312" w:hAnsi="宋体" w:eastAsia="仿宋_GB2312"/>
          <w:color w:val="auto"/>
        </w:rPr>
      </w:pPr>
      <w:r>
        <w:rPr>
          <w:rFonts w:hint="eastAsia" w:ascii="仿宋_GB2312" w:hAnsi="宋体" w:eastAsia="仿宋_GB2312"/>
          <w:color w:val="auto"/>
        </w:rPr>
        <w:t>(6).质疑投诉的事项已经进入行政复议或者行政诉讼程序的；投诉事项应先提出质疑而没有提出质疑的。</w:t>
      </w:r>
    </w:p>
    <w:p>
      <w:pPr>
        <w:pStyle w:val="18"/>
        <w:snapToGrid w:val="0"/>
        <w:spacing w:before="0"/>
        <w:ind w:firstLine="420"/>
        <w:rPr>
          <w:rFonts w:ascii="仿宋_GB2312" w:hAnsi="仿宋" w:eastAsia="仿宋_GB2312"/>
          <w:color w:val="auto"/>
          <w:sz w:val="21"/>
        </w:rPr>
      </w:pPr>
      <w:r>
        <w:rPr>
          <w:rFonts w:hint="eastAsia" w:ascii="仿宋_GB2312" w:hAnsi="宋体" w:eastAsia="仿宋_GB2312"/>
          <w:color w:val="auto"/>
          <w:sz w:val="21"/>
        </w:rPr>
        <w:t>(7).不符合《政府采购供应商投诉处理办法》（财政部令第20号）和《关于印发&lt;浙江省政府采购供应商质疑处理办法&gt;的通知》（浙财采监〔2012〕18号）等有关规定的质疑投诉。</w:t>
      </w:r>
    </w:p>
    <w:p>
      <w:pPr>
        <w:pStyle w:val="18"/>
        <w:snapToGrid w:val="0"/>
        <w:spacing w:before="0"/>
        <w:ind w:firstLine="360"/>
        <w:rPr>
          <w:rFonts w:ascii="仿宋_GB2312" w:eastAsia="仿宋_GB2312"/>
          <w:color w:val="auto"/>
          <w:sz w:val="18"/>
          <w:szCs w:val="18"/>
        </w:rPr>
      </w:pPr>
    </w:p>
    <w:p>
      <w:pPr>
        <w:snapToGrid w:val="0"/>
        <w:spacing w:line="360" w:lineRule="auto"/>
        <w:jc w:val="center"/>
        <w:outlineLvl w:val="0"/>
        <w:rPr>
          <w:rFonts w:ascii="仿宋_GB2312" w:hAnsi="仿宋" w:eastAsia="仿宋_GB2312"/>
          <w:b/>
          <w:color w:val="auto"/>
          <w:sz w:val="36"/>
          <w:szCs w:val="36"/>
        </w:rPr>
      </w:pPr>
      <w:r>
        <w:rPr>
          <w:rFonts w:hint="eastAsia" w:ascii="仿宋_GB2312" w:hAnsi="仿宋" w:eastAsia="仿宋_GB2312"/>
          <w:b/>
          <w:color w:val="auto"/>
          <w:sz w:val="36"/>
          <w:szCs w:val="36"/>
        </w:rPr>
        <w:t>十、解释权</w:t>
      </w:r>
    </w:p>
    <w:p>
      <w:pPr>
        <w:pStyle w:val="18"/>
        <w:snapToGrid w:val="0"/>
        <w:spacing w:before="0"/>
        <w:ind w:firstLine="0" w:firstLineChars="0"/>
        <w:rPr>
          <w:rFonts w:ascii="仿宋_GB2312" w:hAnsi="仿宋" w:eastAsia="仿宋_GB2312"/>
          <w:color w:val="auto"/>
          <w:sz w:val="21"/>
        </w:rPr>
      </w:pPr>
      <w:r>
        <w:rPr>
          <w:rFonts w:hint="eastAsia" w:ascii="仿宋_GB2312" w:eastAsia="仿宋_GB2312"/>
          <w:b/>
          <w:color w:val="auto"/>
          <w:sz w:val="21"/>
        </w:rPr>
        <w:t>10.1</w:t>
      </w:r>
      <w:r>
        <w:rPr>
          <w:rFonts w:hint="eastAsia" w:ascii="仿宋_GB2312" w:eastAsia="仿宋_GB2312"/>
          <w:color w:val="auto"/>
          <w:sz w:val="21"/>
        </w:rPr>
        <w:t>凡涉及本招标文件的解释权均属于</w:t>
      </w:r>
      <w:r>
        <w:rPr>
          <w:rFonts w:hint="eastAsia" w:ascii="仿宋_GB2312" w:eastAsia="仿宋_GB2312"/>
          <w:color w:val="auto"/>
          <w:sz w:val="21"/>
          <w:szCs w:val="24"/>
        </w:rPr>
        <w:t>浙江大学医学院附属第四医院</w:t>
      </w:r>
      <w:r>
        <w:rPr>
          <w:rFonts w:hint="eastAsia" w:ascii="仿宋_GB2312" w:eastAsia="仿宋_GB2312"/>
          <w:color w:val="auto"/>
          <w:sz w:val="21"/>
        </w:rPr>
        <w:t>。</w:t>
      </w:r>
    </w:p>
    <w:bookmarkEnd w:id="39"/>
    <w:p>
      <w:pPr>
        <w:adjustRightInd/>
        <w:spacing w:line="360" w:lineRule="auto"/>
        <w:jc w:val="center"/>
        <w:rPr>
          <w:rFonts w:ascii="仿宋_GB2312" w:eastAsia="仿宋_GB2312"/>
          <w:b/>
          <w:color w:val="auto"/>
          <w:sz w:val="32"/>
          <w:szCs w:val="32"/>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992" w:gutter="0"/>
          <w:cols w:space="720" w:num="1"/>
          <w:titlePg/>
          <w:docGrid w:linePitch="312" w:charSpace="0"/>
        </w:sectPr>
      </w:pPr>
    </w:p>
    <w:p>
      <w:pPr>
        <w:adjustRightInd/>
        <w:spacing w:line="360" w:lineRule="auto"/>
        <w:jc w:val="center"/>
        <w:rPr>
          <w:rFonts w:ascii="仿宋_GB2312" w:hAnsi="仿宋" w:eastAsia="仿宋_GB2312"/>
          <w:b/>
          <w:color w:val="auto"/>
          <w:sz w:val="36"/>
          <w:szCs w:val="36"/>
        </w:rPr>
      </w:pPr>
      <w:r>
        <w:rPr>
          <w:rFonts w:hint="eastAsia" w:ascii="仿宋_GB2312" w:eastAsia="仿宋_GB2312"/>
          <w:b/>
          <w:color w:val="auto"/>
          <w:sz w:val="36"/>
          <w:szCs w:val="36"/>
        </w:rPr>
        <w:t xml:space="preserve">第三部分   </w:t>
      </w:r>
      <w:bookmarkEnd w:id="34"/>
      <w:bookmarkEnd w:id="35"/>
      <w:bookmarkStart w:id="40" w:name="_Toc184310282"/>
      <w:bookmarkEnd w:id="40"/>
      <w:bookmarkStart w:id="41" w:name="_Toc184314456"/>
      <w:bookmarkEnd w:id="41"/>
      <w:bookmarkStart w:id="42" w:name="_Toc184314466"/>
      <w:bookmarkEnd w:id="42"/>
      <w:bookmarkStart w:id="43" w:name="_Toc184312122"/>
      <w:bookmarkEnd w:id="43"/>
      <w:bookmarkStart w:id="44" w:name="_Toc184314410"/>
      <w:bookmarkEnd w:id="44"/>
      <w:bookmarkStart w:id="45" w:name="_Toc184312120"/>
      <w:bookmarkEnd w:id="45"/>
      <w:bookmarkStart w:id="46" w:name="_Toc184314414"/>
      <w:bookmarkEnd w:id="46"/>
      <w:bookmarkStart w:id="47" w:name="_Toc184314461"/>
      <w:bookmarkEnd w:id="47"/>
      <w:bookmarkStart w:id="48" w:name="_Toc184313251"/>
      <w:bookmarkEnd w:id="48"/>
      <w:bookmarkStart w:id="49" w:name="_Toc184312084"/>
      <w:bookmarkEnd w:id="49"/>
      <w:bookmarkStart w:id="50" w:name="_Toc184308039"/>
      <w:bookmarkEnd w:id="50"/>
      <w:bookmarkStart w:id="51" w:name="_Toc184310334"/>
      <w:bookmarkEnd w:id="51"/>
      <w:bookmarkStart w:id="52" w:name="_Toc184308099"/>
      <w:bookmarkEnd w:id="52"/>
      <w:bookmarkStart w:id="53" w:name="_Toc184310323"/>
      <w:bookmarkEnd w:id="53"/>
      <w:bookmarkStart w:id="54" w:name="_Toc184314453"/>
      <w:bookmarkEnd w:id="54"/>
      <w:bookmarkStart w:id="55" w:name="_Toc184312102"/>
      <w:bookmarkEnd w:id="55"/>
      <w:bookmarkStart w:id="56" w:name="_Toc184314426"/>
      <w:bookmarkEnd w:id="56"/>
      <w:bookmarkStart w:id="57" w:name="_Toc184310343"/>
      <w:bookmarkEnd w:id="57"/>
      <w:bookmarkStart w:id="58" w:name="_Toc184312068"/>
      <w:bookmarkEnd w:id="58"/>
      <w:bookmarkStart w:id="59" w:name="_Toc184314475"/>
      <w:bookmarkEnd w:id="59"/>
      <w:bookmarkStart w:id="60" w:name="_Toc184310344"/>
      <w:bookmarkEnd w:id="60"/>
      <w:bookmarkStart w:id="61" w:name="_Toc184314423"/>
      <w:bookmarkEnd w:id="61"/>
      <w:bookmarkStart w:id="62" w:name="_Toc184310330"/>
      <w:bookmarkEnd w:id="62"/>
      <w:bookmarkStart w:id="63" w:name="_Toc184314428"/>
      <w:bookmarkEnd w:id="63"/>
      <w:bookmarkStart w:id="64" w:name="_Toc184310277"/>
      <w:bookmarkEnd w:id="64"/>
      <w:bookmarkStart w:id="65" w:name="_Toc184313252"/>
      <w:bookmarkEnd w:id="65"/>
      <w:bookmarkStart w:id="66" w:name="_Toc184314460"/>
      <w:bookmarkEnd w:id="66"/>
      <w:bookmarkStart w:id="67" w:name="_Toc184312109"/>
      <w:bookmarkEnd w:id="67"/>
      <w:bookmarkStart w:id="68" w:name="_Toc184314480"/>
      <w:bookmarkEnd w:id="68"/>
      <w:bookmarkStart w:id="69" w:name="_Toc184312113"/>
      <w:bookmarkEnd w:id="69"/>
      <w:bookmarkStart w:id="70" w:name="_Toc184312089"/>
      <w:bookmarkEnd w:id="70"/>
      <w:bookmarkStart w:id="71" w:name="_Toc184314464"/>
      <w:bookmarkEnd w:id="71"/>
      <w:bookmarkStart w:id="72" w:name="_Toc184313305"/>
      <w:bookmarkEnd w:id="72"/>
      <w:bookmarkStart w:id="73" w:name="_Toc184314439"/>
      <w:bookmarkEnd w:id="73"/>
      <w:bookmarkStart w:id="74" w:name="_Toc184313241"/>
      <w:bookmarkEnd w:id="74"/>
      <w:bookmarkStart w:id="75" w:name="_Toc184313240"/>
      <w:bookmarkEnd w:id="75"/>
      <w:bookmarkStart w:id="76" w:name="_Toc184312138"/>
      <w:bookmarkEnd w:id="76"/>
      <w:bookmarkStart w:id="77" w:name="_Toc184313298"/>
      <w:bookmarkEnd w:id="77"/>
      <w:bookmarkStart w:id="78" w:name="_Toc184312108"/>
      <w:bookmarkEnd w:id="78"/>
      <w:bookmarkStart w:id="79" w:name="_Toc184313246"/>
      <w:bookmarkEnd w:id="79"/>
      <w:bookmarkStart w:id="80" w:name="_Toc184314424"/>
      <w:bookmarkEnd w:id="80"/>
      <w:bookmarkStart w:id="81" w:name="_Toc184308098"/>
      <w:bookmarkEnd w:id="81"/>
      <w:bookmarkStart w:id="82" w:name="_Toc184308083"/>
      <w:bookmarkEnd w:id="82"/>
      <w:bookmarkStart w:id="83" w:name="_Toc184314420"/>
      <w:bookmarkEnd w:id="83"/>
      <w:bookmarkStart w:id="84" w:name="_Toc184312083"/>
      <w:bookmarkEnd w:id="84"/>
      <w:bookmarkStart w:id="85" w:name="_Toc184314441"/>
      <w:bookmarkEnd w:id="85"/>
      <w:bookmarkStart w:id="86" w:name="_Toc184313295"/>
      <w:bookmarkEnd w:id="86"/>
      <w:bookmarkStart w:id="87" w:name="_Toc184308050"/>
      <w:bookmarkEnd w:id="87"/>
      <w:bookmarkStart w:id="88" w:name="_Toc184310297"/>
      <w:bookmarkEnd w:id="88"/>
      <w:bookmarkStart w:id="89" w:name="_Toc184312112"/>
      <w:bookmarkEnd w:id="89"/>
      <w:bookmarkStart w:id="90" w:name="_Toc184308105"/>
      <w:bookmarkEnd w:id="90"/>
      <w:bookmarkStart w:id="91" w:name="_Toc184313264"/>
      <w:bookmarkEnd w:id="91"/>
      <w:bookmarkStart w:id="92" w:name="_Toc184312091"/>
      <w:bookmarkEnd w:id="92"/>
      <w:bookmarkStart w:id="93" w:name="_Toc184310308"/>
      <w:bookmarkEnd w:id="93"/>
      <w:bookmarkStart w:id="94" w:name="_Toc184310327"/>
      <w:bookmarkEnd w:id="94"/>
      <w:bookmarkStart w:id="95" w:name="_Toc184312139"/>
      <w:bookmarkEnd w:id="95"/>
      <w:bookmarkStart w:id="96" w:name="_Toc184310276"/>
      <w:bookmarkEnd w:id="96"/>
      <w:bookmarkStart w:id="97" w:name="_Toc184313297"/>
      <w:bookmarkEnd w:id="97"/>
      <w:bookmarkStart w:id="98" w:name="_Toc184308060"/>
      <w:bookmarkEnd w:id="98"/>
      <w:bookmarkStart w:id="99" w:name="_Toc184308048"/>
      <w:bookmarkEnd w:id="99"/>
      <w:bookmarkStart w:id="100" w:name="_Toc184313255"/>
      <w:bookmarkEnd w:id="100"/>
      <w:bookmarkStart w:id="101" w:name="_Toc184313281"/>
      <w:bookmarkEnd w:id="101"/>
      <w:bookmarkStart w:id="102" w:name="_Toc184313294"/>
      <w:bookmarkEnd w:id="102"/>
      <w:bookmarkStart w:id="103" w:name="_Toc184310287"/>
      <w:bookmarkEnd w:id="103"/>
      <w:bookmarkStart w:id="104" w:name="_Toc184310339"/>
      <w:bookmarkEnd w:id="104"/>
      <w:bookmarkStart w:id="105" w:name="_Toc184312129"/>
      <w:bookmarkEnd w:id="105"/>
      <w:bookmarkStart w:id="106" w:name="_Toc184314476"/>
      <w:bookmarkEnd w:id="106"/>
      <w:bookmarkStart w:id="107" w:name="_Toc184314417"/>
      <w:bookmarkEnd w:id="107"/>
      <w:bookmarkStart w:id="108" w:name="_Toc184313296"/>
      <w:bookmarkEnd w:id="108"/>
      <w:bookmarkStart w:id="109" w:name="_Toc184313266"/>
      <w:bookmarkEnd w:id="109"/>
      <w:bookmarkStart w:id="110" w:name="_Toc184308061"/>
      <w:bookmarkEnd w:id="110"/>
      <w:bookmarkStart w:id="111" w:name="_Toc184312114"/>
      <w:bookmarkEnd w:id="111"/>
      <w:bookmarkStart w:id="112" w:name="_Toc184312128"/>
      <w:bookmarkEnd w:id="112"/>
      <w:bookmarkStart w:id="113" w:name="_Toc184310279"/>
      <w:bookmarkEnd w:id="113"/>
      <w:bookmarkStart w:id="114" w:name="_Toc184308042"/>
      <w:bookmarkEnd w:id="114"/>
      <w:bookmarkStart w:id="115" w:name="_Toc184313272"/>
      <w:bookmarkEnd w:id="115"/>
      <w:bookmarkStart w:id="116" w:name="_Toc184308093"/>
      <w:bookmarkEnd w:id="116"/>
      <w:bookmarkStart w:id="117" w:name="_Toc184310283"/>
      <w:bookmarkEnd w:id="117"/>
      <w:bookmarkStart w:id="118" w:name="_Toc184314435"/>
      <w:bookmarkEnd w:id="118"/>
      <w:bookmarkStart w:id="119" w:name="_Toc184310313"/>
      <w:bookmarkEnd w:id="119"/>
      <w:bookmarkStart w:id="120" w:name="_Toc184310319"/>
      <w:bookmarkEnd w:id="120"/>
      <w:bookmarkStart w:id="121" w:name="_Toc184310286"/>
      <w:bookmarkEnd w:id="121"/>
      <w:bookmarkStart w:id="122" w:name="_Toc184310307"/>
      <w:bookmarkEnd w:id="122"/>
      <w:bookmarkStart w:id="123" w:name="_Toc184313299"/>
      <w:bookmarkEnd w:id="123"/>
      <w:bookmarkStart w:id="124" w:name="_Toc184312099"/>
      <w:bookmarkEnd w:id="124"/>
      <w:bookmarkStart w:id="125" w:name="_Toc184312100"/>
      <w:bookmarkEnd w:id="125"/>
      <w:bookmarkStart w:id="126" w:name="_Toc184310284"/>
      <w:bookmarkEnd w:id="126"/>
      <w:bookmarkStart w:id="127" w:name="_Toc184308075"/>
      <w:bookmarkEnd w:id="127"/>
      <w:bookmarkStart w:id="128" w:name="_Toc184308043"/>
      <w:bookmarkEnd w:id="128"/>
      <w:bookmarkStart w:id="129" w:name="_Toc184312130"/>
      <w:bookmarkEnd w:id="129"/>
      <w:bookmarkStart w:id="130" w:name="_Toc184312127"/>
      <w:bookmarkEnd w:id="130"/>
      <w:bookmarkStart w:id="131" w:name="_Toc184308062"/>
      <w:bookmarkEnd w:id="131"/>
      <w:bookmarkStart w:id="132" w:name="_Toc184310304"/>
      <w:bookmarkEnd w:id="132"/>
      <w:bookmarkStart w:id="133" w:name="_Toc184314416"/>
      <w:bookmarkEnd w:id="133"/>
      <w:bookmarkStart w:id="134" w:name="_Toc184310300"/>
      <w:bookmarkEnd w:id="134"/>
      <w:bookmarkStart w:id="135" w:name="_Toc184308086"/>
      <w:bookmarkEnd w:id="135"/>
      <w:bookmarkStart w:id="136" w:name="_Toc184308088"/>
      <w:bookmarkEnd w:id="136"/>
      <w:bookmarkStart w:id="137" w:name="_Toc184310296"/>
      <w:bookmarkEnd w:id="137"/>
      <w:bookmarkStart w:id="138" w:name="_Toc184312119"/>
      <w:bookmarkEnd w:id="138"/>
      <w:bookmarkStart w:id="139" w:name="_Toc184308070"/>
      <w:bookmarkEnd w:id="139"/>
      <w:bookmarkStart w:id="140" w:name="_Toc184313287"/>
      <w:bookmarkEnd w:id="140"/>
      <w:bookmarkStart w:id="141" w:name="_Toc184310312"/>
      <w:bookmarkEnd w:id="141"/>
      <w:bookmarkStart w:id="142" w:name="_Toc184313277"/>
      <w:bookmarkEnd w:id="142"/>
      <w:bookmarkStart w:id="143" w:name="_Toc184312136"/>
      <w:bookmarkEnd w:id="143"/>
      <w:bookmarkStart w:id="144" w:name="_Toc184313239"/>
      <w:bookmarkEnd w:id="144"/>
      <w:bookmarkStart w:id="145" w:name="_Toc184308063"/>
      <w:bookmarkEnd w:id="145"/>
      <w:bookmarkStart w:id="146" w:name="_Toc184310294"/>
      <w:bookmarkEnd w:id="146"/>
      <w:bookmarkStart w:id="147" w:name="_Toc184310303"/>
      <w:bookmarkEnd w:id="147"/>
      <w:bookmarkStart w:id="148" w:name="_Toc184308076"/>
      <w:bookmarkEnd w:id="148"/>
      <w:bookmarkStart w:id="149" w:name="_Toc184312134"/>
      <w:bookmarkEnd w:id="149"/>
      <w:bookmarkStart w:id="150" w:name="_Toc184313291"/>
      <w:bookmarkEnd w:id="150"/>
      <w:bookmarkStart w:id="151" w:name="_Toc184314470"/>
      <w:bookmarkEnd w:id="151"/>
      <w:bookmarkStart w:id="152" w:name="_Toc184314477"/>
      <w:bookmarkEnd w:id="152"/>
      <w:bookmarkStart w:id="153" w:name="_Toc184314421"/>
      <w:bookmarkEnd w:id="153"/>
      <w:bookmarkStart w:id="154" w:name="_Toc184310273"/>
      <w:bookmarkEnd w:id="154"/>
      <w:bookmarkStart w:id="155" w:name="_Toc184314437"/>
      <w:bookmarkEnd w:id="155"/>
      <w:bookmarkStart w:id="156" w:name="_Toc184308047"/>
      <w:bookmarkEnd w:id="156"/>
      <w:bookmarkStart w:id="157" w:name="_Toc184314446"/>
      <w:bookmarkEnd w:id="157"/>
      <w:bookmarkStart w:id="158" w:name="_Toc184314472"/>
      <w:bookmarkEnd w:id="158"/>
      <w:bookmarkStart w:id="159" w:name="_Toc184314457"/>
      <w:bookmarkEnd w:id="159"/>
      <w:bookmarkStart w:id="160" w:name="_Toc184314411"/>
      <w:bookmarkEnd w:id="160"/>
      <w:bookmarkStart w:id="161" w:name="_Toc184310288"/>
      <w:bookmarkEnd w:id="161"/>
      <w:bookmarkStart w:id="162" w:name="_Toc184313244"/>
      <w:bookmarkEnd w:id="162"/>
      <w:bookmarkStart w:id="163" w:name="_Toc184313300"/>
      <w:bookmarkEnd w:id="163"/>
      <w:bookmarkStart w:id="164" w:name="_Toc184314468"/>
      <w:bookmarkEnd w:id="164"/>
      <w:bookmarkStart w:id="165" w:name="_Toc184312123"/>
      <w:bookmarkEnd w:id="165"/>
      <w:bookmarkStart w:id="166" w:name="_Toc184310280"/>
      <w:bookmarkEnd w:id="166"/>
      <w:bookmarkStart w:id="167" w:name="_Toc184310322"/>
      <w:bookmarkEnd w:id="167"/>
      <w:bookmarkStart w:id="168" w:name="_Toc184310342"/>
      <w:bookmarkEnd w:id="168"/>
      <w:bookmarkStart w:id="169" w:name="_Toc184314440"/>
      <w:bookmarkEnd w:id="169"/>
      <w:bookmarkStart w:id="170" w:name="_Toc184308073"/>
      <w:bookmarkEnd w:id="170"/>
      <w:bookmarkStart w:id="171" w:name="_Toc184312090"/>
      <w:bookmarkEnd w:id="171"/>
      <w:bookmarkStart w:id="172" w:name="_Toc184314452"/>
      <w:bookmarkEnd w:id="172"/>
      <w:bookmarkStart w:id="173" w:name="_Toc184308049"/>
      <w:bookmarkEnd w:id="173"/>
      <w:bookmarkStart w:id="174" w:name="_Toc184310338"/>
      <w:bookmarkEnd w:id="174"/>
      <w:bookmarkStart w:id="175" w:name="_Toc184310293"/>
      <w:bookmarkEnd w:id="175"/>
      <w:bookmarkStart w:id="176" w:name="_Toc184313304"/>
      <w:bookmarkEnd w:id="176"/>
      <w:bookmarkStart w:id="177" w:name="_Toc184310333"/>
      <w:bookmarkEnd w:id="177"/>
      <w:bookmarkStart w:id="178" w:name="_Toc184308094"/>
      <w:bookmarkEnd w:id="178"/>
      <w:bookmarkStart w:id="179" w:name="_Toc184310321"/>
      <w:bookmarkEnd w:id="179"/>
      <w:bookmarkStart w:id="180" w:name="_Toc184312106"/>
      <w:bookmarkEnd w:id="180"/>
      <w:bookmarkStart w:id="181" w:name="_Toc184312101"/>
      <w:bookmarkEnd w:id="181"/>
      <w:bookmarkStart w:id="182" w:name="_Toc184314419"/>
      <w:bookmarkEnd w:id="182"/>
      <w:bookmarkStart w:id="183" w:name="_Toc184313282"/>
      <w:bookmarkEnd w:id="183"/>
      <w:bookmarkStart w:id="184" w:name="_Toc184314465"/>
      <w:bookmarkEnd w:id="184"/>
      <w:bookmarkStart w:id="185" w:name="_Toc184314474"/>
      <w:bookmarkEnd w:id="185"/>
      <w:bookmarkStart w:id="186" w:name="_Toc184312131"/>
      <w:bookmarkEnd w:id="186"/>
      <w:bookmarkStart w:id="187" w:name="_Toc184312094"/>
      <w:bookmarkEnd w:id="187"/>
      <w:bookmarkStart w:id="188" w:name="_Toc184308079"/>
      <w:bookmarkEnd w:id="188"/>
      <w:bookmarkStart w:id="189" w:name="_Toc184310331"/>
      <w:bookmarkEnd w:id="189"/>
      <w:bookmarkStart w:id="190" w:name="_Toc184313265"/>
      <w:bookmarkEnd w:id="190"/>
      <w:bookmarkStart w:id="191" w:name="_Toc184312117"/>
      <w:bookmarkEnd w:id="191"/>
      <w:bookmarkStart w:id="192" w:name="_Toc184310315"/>
      <w:bookmarkEnd w:id="192"/>
      <w:bookmarkStart w:id="193" w:name="_Toc184308053"/>
      <w:bookmarkEnd w:id="193"/>
      <w:bookmarkStart w:id="194" w:name="_Toc184308074"/>
      <w:bookmarkEnd w:id="194"/>
      <w:bookmarkStart w:id="195" w:name="_Toc184310320"/>
      <w:bookmarkEnd w:id="195"/>
      <w:bookmarkStart w:id="196" w:name="_Toc184308097"/>
      <w:bookmarkEnd w:id="196"/>
      <w:bookmarkStart w:id="197" w:name="_Toc184310325"/>
      <w:bookmarkEnd w:id="197"/>
      <w:bookmarkStart w:id="198" w:name="_Toc184308058"/>
      <w:bookmarkEnd w:id="198"/>
      <w:bookmarkStart w:id="199" w:name="_Toc184310337"/>
      <w:bookmarkEnd w:id="199"/>
      <w:bookmarkStart w:id="200" w:name="_Toc184312095"/>
      <w:bookmarkEnd w:id="200"/>
      <w:bookmarkStart w:id="201" w:name="_Toc184310285"/>
      <w:bookmarkEnd w:id="201"/>
      <w:bookmarkStart w:id="202" w:name="_Toc184310278"/>
      <w:bookmarkEnd w:id="202"/>
      <w:bookmarkStart w:id="203" w:name="_Toc184308078"/>
      <w:bookmarkEnd w:id="203"/>
      <w:bookmarkStart w:id="204" w:name="_Toc184314433"/>
      <w:bookmarkEnd w:id="204"/>
      <w:bookmarkStart w:id="205" w:name="_Toc184312078"/>
      <w:bookmarkEnd w:id="205"/>
      <w:bookmarkStart w:id="206" w:name="_Toc184312124"/>
      <w:bookmarkEnd w:id="206"/>
      <w:bookmarkStart w:id="207" w:name="_Toc184314458"/>
      <w:bookmarkEnd w:id="207"/>
      <w:bookmarkStart w:id="208" w:name="_Toc184314467"/>
      <w:bookmarkEnd w:id="208"/>
      <w:bookmarkStart w:id="209" w:name="_Toc184308067"/>
      <w:bookmarkEnd w:id="209"/>
      <w:bookmarkStart w:id="210" w:name="_Toc184310309"/>
      <w:bookmarkEnd w:id="210"/>
      <w:bookmarkStart w:id="211" w:name="_Toc184313242"/>
      <w:bookmarkEnd w:id="211"/>
      <w:bookmarkStart w:id="212" w:name="_Toc184313308"/>
      <w:bookmarkEnd w:id="212"/>
      <w:bookmarkStart w:id="213" w:name="_Toc184313248"/>
      <w:bookmarkEnd w:id="213"/>
      <w:bookmarkStart w:id="214" w:name="_Toc184313276"/>
      <w:bookmarkEnd w:id="214"/>
      <w:bookmarkStart w:id="215" w:name="_Toc184310281"/>
      <w:bookmarkEnd w:id="215"/>
      <w:bookmarkStart w:id="216" w:name="_Toc184314469"/>
      <w:bookmarkEnd w:id="216"/>
      <w:bookmarkStart w:id="217" w:name="_Toc184308051"/>
      <w:bookmarkEnd w:id="217"/>
      <w:bookmarkStart w:id="218" w:name="_Toc184313258"/>
      <w:bookmarkEnd w:id="218"/>
      <w:bookmarkStart w:id="219" w:name="_Toc184308072"/>
      <w:bookmarkEnd w:id="219"/>
      <w:bookmarkStart w:id="220" w:name="_Toc184310311"/>
      <w:bookmarkEnd w:id="220"/>
      <w:bookmarkStart w:id="221" w:name="_Toc184308101"/>
      <w:bookmarkEnd w:id="221"/>
      <w:bookmarkStart w:id="222" w:name="_Toc184312092"/>
      <w:bookmarkEnd w:id="222"/>
      <w:bookmarkStart w:id="223" w:name="_Toc184314442"/>
      <w:bookmarkEnd w:id="223"/>
      <w:bookmarkStart w:id="224" w:name="_Toc184313238"/>
      <w:bookmarkEnd w:id="224"/>
      <w:bookmarkStart w:id="225" w:name="_Toc184310329"/>
      <w:bookmarkEnd w:id="225"/>
      <w:bookmarkStart w:id="226" w:name="_Toc184312105"/>
      <w:bookmarkEnd w:id="226"/>
      <w:bookmarkStart w:id="227" w:name="_Toc184308087"/>
      <w:bookmarkEnd w:id="227"/>
      <w:bookmarkStart w:id="228" w:name="_Toc184310302"/>
      <w:bookmarkEnd w:id="228"/>
      <w:bookmarkStart w:id="229" w:name="_Toc184314459"/>
      <w:bookmarkEnd w:id="229"/>
      <w:bookmarkStart w:id="230" w:name="_Toc184313243"/>
      <w:bookmarkEnd w:id="230"/>
      <w:bookmarkStart w:id="231" w:name="_Toc184313259"/>
      <w:bookmarkEnd w:id="231"/>
      <w:bookmarkStart w:id="232" w:name="_Toc184310306"/>
      <w:bookmarkEnd w:id="232"/>
      <w:bookmarkStart w:id="233" w:name="_Toc184310292"/>
      <w:bookmarkEnd w:id="233"/>
      <w:bookmarkStart w:id="234" w:name="_Toc184308064"/>
      <w:bookmarkEnd w:id="234"/>
      <w:bookmarkStart w:id="235" w:name="_Toc184308055"/>
      <w:bookmarkEnd w:id="235"/>
      <w:bookmarkStart w:id="236" w:name="_Toc184314471"/>
      <w:bookmarkEnd w:id="236"/>
      <w:bookmarkStart w:id="237" w:name="_Toc184310336"/>
      <w:bookmarkEnd w:id="237"/>
      <w:bookmarkStart w:id="238" w:name="_Toc184310301"/>
      <w:bookmarkEnd w:id="238"/>
      <w:bookmarkStart w:id="239" w:name="_Toc184313274"/>
      <w:bookmarkEnd w:id="239"/>
      <w:bookmarkStart w:id="240" w:name="_Toc184312135"/>
      <w:bookmarkEnd w:id="240"/>
      <w:bookmarkStart w:id="241" w:name="_Toc184313249"/>
      <w:bookmarkEnd w:id="241"/>
      <w:bookmarkStart w:id="242" w:name="_Toc184313278"/>
      <w:bookmarkEnd w:id="242"/>
      <w:bookmarkStart w:id="243" w:name="_Toc184310274"/>
      <w:bookmarkEnd w:id="243"/>
      <w:bookmarkStart w:id="244" w:name="_Toc184314463"/>
      <w:bookmarkEnd w:id="244"/>
      <w:bookmarkStart w:id="245" w:name="_Toc184313261"/>
      <w:bookmarkEnd w:id="245"/>
      <w:bookmarkStart w:id="246" w:name="_Toc184308071"/>
      <w:bookmarkEnd w:id="246"/>
      <w:bookmarkStart w:id="247" w:name="_Toc184308038"/>
      <w:bookmarkEnd w:id="247"/>
      <w:bookmarkStart w:id="248" w:name="_Toc184313245"/>
      <w:bookmarkEnd w:id="248"/>
      <w:bookmarkStart w:id="249" w:name="_Toc184313268"/>
      <w:bookmarkEnd w:id="249"/>
      <w:bookmarkStart w:id="250" w:name="_Toc184314443"/>
      <w:bookmarkEnd w:id="250"/>
      <w:bookmarkStart w:id="251" w:name="_Toc184312103"/>
      <w:bookmarkEnd w:id="251"/>
      <w:bookmarkStart w:id="252" w:name="_Toc184313247"/>
      <w:bookmarkEnd w:id="252"/>
      <w:bookmarkStart w:id="253" w:name="_Toc184310289"/>
      <w:bookmarkEnd w:id="253"/>
      <w:bookmarkStart w:id="254" w:name="_Toc184310305"/>
      <w:bookmarkEnd w:id="254"/>
      <w:bookmarkStart w:id="255" w:name="_Toc184308082"/>
      <w:bookmarkEnd w:id="255"/>
      <w:bookmarkStart w:id="256" w:name="_Toc184312110"/>
      <w:bookmarkEnd w:id="256"/>
      <w:bookmarkStart w:id="257" w:name="_Toc184314429"/>
      <w:bookmarkEnd w:id="257"/>
      <w:bookmarkStart w:id="258" w:name="_Toc184314438"/>
      <w:bookmarkEnd w:id="258"/>
      <w:bookmarkStart w:id="259" w:name="_Toc184312116"/>
      <w:bookmarkEnd w:id="259"/>
      <w:bookmarkStart w:id="260" w:name="_Toc184310318"/>
      <w:bookmarkEnd w:id="260"/>
      <w:bookmarkStart w:id="261" w:name="_Toc184308106"/>
      <w:bookmarkEnd w:id="261"/>
      <w:bookmarkStart w:id="262" w:name="_Toc184314482"/>
      <w:bookmarkEnd w:id="262"/>
      <w:bookmarkStart w:id="263" w:name="_Toc184312126"/>
      <w:bookmarkEnd w:id="263"/>
      <w:bookmarkStart w:id="264" w:name="_Toc184308100"/>
      <w:bookmarkEnd w:id="264"/>
      <w:bookmarkStart w:id="265" w:name="_Toc184313262"/>
      <w:bookmarkEnd w:id="265"/>
      <w:bookmarkStart w:id="266" w:name="_Toc184310341"/>
      <w:bookmarkEnd w:id="266"/>
      <w:bookmarkStart w:id="267" w:name="_Toc184308045"/>
      <w:bookmarkEnd w:id="267"/>
      <w:bookmarkStart w:id="268" w:name="_Toc184313275"/>
      <w:bookmarkEnd w:id="268"/>
      <w:bookmarkStart w:id="269" w:name="_Toc184313292"/>
      <w:bookmarkEnd w:id="269"/>
      <w:bookmarkStart w:id="270" w:name="_Toc184312104"/>
      <w:bookmarkEnd w:id="270"/>
      <w:bookmarkStart w:id="271" w:name="_Toc184308080"/>
      <w:bookmarkEnd w:id="271"/>
      <w:bookmarkStart w:id="272" w:name="_Toc184308066"/>
      <w:bookmarkEnd w:id="272"/>
      <w:bookmarkStart w:id="273" w:name="_Toc184314473"/>
      <w:bookmarkEnd w:id="273"/>
      <w:bookmarkStart w:id="274" w:name="_Toc184314434"/>
      <w:bookmarkEnd w:id="274"/>
      <w:bookmarkStart w:id="275" w:name="_Toc184310326"/>
      <w:bookmarkEnd w:id="275"/>
      <w:bookmarkStart w:id="276" w:name="_Toc184312133"/>
      <w:bookmarkEnd w:id="276"/>
      <w:bookmarkStart w:id="277" w:name="_Toc184314478"/>
      <w:bookmarkEnd w:id="277"/>
      <w:bookmarkStart w:id="278" w:name="_Toc184313285"/>
      <w:bookmarkEnd w:id="278"/>
      <w:bookmarkStart w:id="279" w:name="_Toc184313269"/>
      <w:bookmarkEnd w:id="279"/>
      <w:bookmarkStart w:id="280" w:name="_Toc184314432"/>
      <w:bookmarkEnd w:id="280"/>
      <w:bookmarkStart w:id="281" w:name="_Toc184308107"/>
      <w:bookmarkEnd w:id="281"/>
      <w:bookmarkStart w:id="282" w:name="_Toc184310314"/>
      <w:bookmarkEnd w:id="282"/>
      <w:bookmarkStart w:id="283" w:name="_Toc184314454"/>
      <w:bookmarkEnd w:id="283"/>
      <w:bookmarkStart w:id="284" w:name="_Toc184310324"/>
      <w:bookmarkEnd w:id="284"/>
      <w:bookmarkStart w:id="285" w:name="_Toc184310275"/>
      <w:bookmarkEnd w:id="285"/>
      <w:bookmarkStart w:id="286" w:name="_Toc184314415"/>
      <w:bookmarkEnd w:id="286"/>
      <w:bookmarkStart w:id="287" w:name="_Toc184308092"/>
      <w:bookmarkEnd w:id="287"/>
      <w:bookmarkStart w:id="288" w:name="_Toc184313306"/>
      <w:bookmarkEnd w:id="288"/>
      <w:bookmarkStart w:id="289" w:name="_Toc184308081"/>
      <w:bookmarkEnd w:id="289"/>
      <w:bookmarkStart w:id="290" w:name="_Toc184314450"/>
      <w:bookmarkEnd w:id="290"/>
      <w:bookmarkStart w:id="291" w:name="_Toc184312070"/>
      <w:bookmarkEnd w:id="291"/>
      <w:bookmarkStart w:id="292" w:name="_Toc184313286"/>
      <w:bookmarkEnd w:id="292"/>
      <w:bookmarkStart w:id="293" w:name="_Toc184313256"/>
      <w:bookmarkEnd w:id="293"/>
      <w:bookmarkStart w:id="294" w:name="_Toc184314455"/>
      <w:bookmarkEnd w:id="294"/>
      <w:bookmarkStart w:id="295" w:name="_Toc184314425"/>
      <w:bookmarkEnd w:id="295"/>
      <w:bookmarkStart w:id="296" w:name="_Toc184310295"/>
      <w:bookmarkEnd w:id="296"/>
      <w:bookmarkStart w:id="297" w:name="_Toc184313271"/>
      <w:bookmarkEnd w:id="297"/>
      <w:bookmarkStart w:id="298" w:name="_Toc184308057"/>
      <w:bookmarkEnd w:id="298"/>
      <w:bookmarkStart w:id="299" w:name="_Toc184312115"/>
      <w:bookmarkEnd w:id="299"/>
      <w:bookmarkStart w:id="300" w:name="_Toc184312107"/>
      <w:bookmarkEnd w:id="300"/>
      <w:bookmarkStart w:id="301" w:name="_Toc184308077"/>
      <w:bookmarkEnd w:id="301"/>
      <w:bookmarkStart w:id="302" w:name="_Toc184310316"/>
      <w:bookmarkEnd w:id="302"/>
      <w:bookmarkStart w:id="303" w:name="_Toc184313301"/>
      <w:bookmarkEnd w:id="303"/>
      <w:bookmarkStart w:id="304" w:name="_Toc184314427"/>
      <w:bookmarkEnd w:id="304"/>
      <w:bookmarkStart w:id="305" w:name="_Toc184312096"/>
      <w:bookmarkEnd w:id="305"/>
      <w:bookmarkStart w:id="306" w:name="_Toc184313263"/>
      <w:bookmarkEnd w:id="306"/>
      <w:bookmarkStart w:id="307" w:name="_Toc184312074"/>
      <w:bookmarkEnd w:id="307"/>
      <w:bookmarkStart w:id="308" w:name="_Toc184310332"/>
      <w:bookmarkEnd w:id="308"/>
      <w:bookmarkStart w:id="309" w:name="_Toc184314481"/>
      <w:bookmarkEnd w:id="309"/>
      <w:bookmarkStart w:id="310" w:name="_Toc184314445"/>
      <w:bookmarkEnd w:id="310"/>
      <w:bookmarkStart w:id="311" w:name="_Toc184313253"/>
      <w:bookmarkEnd w:id="311"/>
      <w:bookmarkStart w:id="312" w:name="_Toc184312097"/>
      <w:bookmarkEnd w:id="312"/>
      <w:bookmarkStart w:id="313" w:name="_Toc184312075"/>
      <w:bookmarkEnd w:id="313"/>
      <w:bookmarkStart w:id="314" w:name="_Toc184310291"/>
      <w:bookmarkEnd w:id="314"/>
      <w:bookmarkStart w:id="315" w:name="_Toc184313279"/>
      <w:bookmarkEnd w:id="315"/>
      <w:bookmarkStart w:id="316" w:name="_Toc184313257"/>
      <w:bookmarkEnd w:id="316"/>
      <w:bookmarkStart w:id="317" w:name="_Toc184312111"/>
      <w:bookmarkEnd w:id="317"/>
      <w:bookmarkStart w:id="318" w:name="_Toc184314462"/>
      <w:bookmarkEnd w:id="318"/>
      <w:bookmarkStart w:id="319" w:name="_Toc184308069"/>
      <w:bookmarkEnd w:id="319"/>
      <w:bookmarkStart w:id="320" w:name="_Toc184313270"/>
      <w:bookmarkEnd w:id="320"/>
      <w:bookmarkStart w:id="321" w:name="_Toc184308085"/>
      <w:bookmarkEnd w:id="321"/>
      <w:bookmarkStart w:id="322" w:name="_Toc184313303"/>
      <w:bookmarkEnd w:id="322"/>
      <w:bookmarkStart w:id="323" w:name="_Toc184313293"/>
      <w:bookmarkEnd w:id="323"/>
      <w:bookmarkStart w:id="324" w:name="_Toc184308095"/>
      <w:bookmarkEnd w:id="324"/>
      <w:bookmarkStart w:id="325" w:name="_Toc184310299"/>
      <w:bookmarkEnd w:id="325"/>
      <w:bookmarkStart w:id="326" w:name="_Toc184314412"/>
      <w:bookmarkEnd w:id="326"/>
      <w:bookmarkStart w:id="327" w:name="_Toc184313283"/>
      <w:bookmarkEnd w:id="327"/>
      <w:bookmarkStart w:id="328" w:name="_Toc184312081"/>
      <w:bookmarkEnd w:id="328"/>
      <w:bookmarkStart w:id="329" w:name="_Toc184314449"/>
      <w:bookmarkEnd w:id="329"/>
      <w:bookmarkStart w:id="330" w:name="_Toc184313289"/>
      <w:bookmarkEnd w:id="330"/>
      <w:bookmarkStart w:id="331" w:name="_Toc184308059"/>
      <w:bookmarkEnd w:id="331"/>
      <w:bookmarkStart w:id="332" w:name="_Toc184314451"/>
      <w:bookmarkEnd w:id="332"/>
      <w:bookmarkStart w:id="333" w:name="_Toc184312137"/>
      <w:bookmarkEnd w:id="333"/>
      <w:bookmarkStart w:id="334" w:name="_Toc184310317"/>
      <w:bookmarkEnd w:id="334"/>
      <w:bookmarkStart w:id="335" w:name="_Toc184308037"/>
      <w:bookmarkEnd w:id="335"/>
      <w:bookmarkStart w:id="336" w:name="_Toc184313267"/>
      <w:bookmarkEnd w:id="336"/>
      <w:bookmarkStart w:id="337" w:name="_Toc184313309"/>
      <w:bookmarkEnd w:id="337"/>
      <w:bookmarkStart w:id="338" w:name="_Toc184308052"/>
      <w:bookmarkEnd w:id="338"/>
      <w:bookmarkStart w:id="339" w:name="_Toc184312086"/>
      <w:bookmarkEnd w:id="339"/>
      <w:bookmarkStart w:id="340" w:name="_Toc184312132"/>
      <w:bookmarkEnd w:id="340"/>
      <w:bookmarkStart w:id="341" w:name="_Toc184308046"/>
      <w:bookmarkEnd w:id="341"/>
      <w:bookmarkStart w:id="342" w:name="_Toc184314444"/>
      <w:bookmarkEnd w:id="342"/>
      <w:bookmarkStart w:id="343" w:name="_Toc184312067"/>
      <w:bookmarkEnd w:id="343"/>
      <w:bookmarkStart w:id="344" w:name="_Toc184310290"/>
      <w:bookmarkEnd w:id="344"/>
      <w:bookmarkStart w:id="345" w:name="_Toc184308108"/>
      <w:bookmarkEnd w:id="345"/>
      <w:bookmarkStart w:id="346" w:name="_Toc184313302"/>
      <w:bookmarkEnd w:id="346"/>
      <w:bookmarkStart w:id="347" w:name="_Toc184313250"/>
      <w:bookmarkEnd w:id="347"/>
      <w:bookmarkStart w:id="348" w:name="_Toc184312125"/>
      <w:bookmarkEnd w:id="348"/>
      <w:bookmarkStart w:id="349" w:name="_Toc184313290"/>
      <w:bookmarkEnd w:id="349"/>
      <w:bookmarkStart w:id="350" w:name="_Toc184308054"/>
      <w:bookmarkEnd w:id="350"/>
      <w:bookmarkStart w:id="351" w:name="_Toc184314418"/>
      <w:bookmarkEnd w:id="351"/>
      <w:bookmarkStart w:id="352" w:name="_Toc184310272"/>
      <w:bookmarkEnd w:id="352"/>
      <w:bookmarkStart w:id="353" w:name="_Toc184308091"/>
      <w:bookmarkEnd w:id="353"/>
      <w:bookmarkStart w:id="354" w:name="_Toc184312087"/>
      <w:bookmarkEnd w:id="354"/>
      <w:bookmarkStart w:id="355" w:name="_Toc184308044"/>
      <w:bookmarkEnd w:id="355"/>
      <w:bookmarkStart w:id="356" w:name="_Toc184312080"/>
      <w:bookmarkEnd w:id="356"/>
      <w:bookmarkStart w:id="357" w:name="_Toc184308089"/>
      <w:bookmarkEnd w:id="357"/>
      <w:bookmarkStart w:id="358" w:name="_Toc184312071"/>
      <w:bookmarkEnd w:id="358"/>
      <w:bookmarkStart w:id="359" w:name="_Toc184312073"/>
      <w:bookmarkEnd w:id="359"/>
      <w:bookmarkStart w:id="360" w:name="_Toc184312098"/>
      <w:bookmarkEnd w:id="360"/>
      <w:bookmarkStart w:id="361" w:name="_Toc184313260"/>
      <w:bookmarkEnd w:id="361"/>
      <w:bookmarkStart w:id="362" w:name="_Toc184312118"/>
      <w:bookmarkEnd w:id="362"/>
      <w:bookmarkStart w:id="363" w:name="_Toc184314479"/>
      <w:bookmarkEnd w:id="363"/>
      <w:bookmarkStart w:id="364" w:name="_Toc184308104"/>
      <w:bookmarkEnd w:id="364"/>
      <w:bookmarkStart w:id="365" w:name="_Toc184312077"/>
      <w:bookmarkEnd w:id="365"/>
      <w:bookmarkStart w:id="366" w:name="_Toc184313280"/>
      <w:bookmarkEnd w:id="366"/>
      <w:bookmarkStart w:id="367" w:name="_Toc184313284"/>
      <w:bookmarkEnd w:id="367"/>
      <w:bookmarkStart w:id="368" w:name="_Toc184308041"/>
      <w:bookmarkEnd w:id="368"/>
      <w:bookmarkStart w:id="369" w:name="_Toc184314430"/>
      <w:bookmarkEnd w:id="369"/>
      <w:bookmarkStart w:id="370" w:name="_Toc184314413"/>
      <w:bookmarkEnd w:id="370"/>
      <w:bookmarkStart w:id="371" w:name="_Toc184313310"/>
      <w:bookmarkEnd w:id="371"/>
      <w:bookmarkStart w:id="372" w:name="_Toc184314422"/>
      <w:bookmarkEnd w:id="372"/>
      <w:bookmarkStart w:id="373" w:name="_Toc184310335"/>
      <w:bookmarkEnd w:id="373"/>
      <w:bookmarkStart w:id="374" w:name="_Toc184312085"/>
      <w:bookmarkEnd w:id="374"/>
      <w:bookmarkStart w:id="375" w:name="_Toc184308068"/>
      <w:bookmarkEnd w:id="375"/>
      <w:bookmarkStart w:id="376" w:name="_Toc184314448"/>
      <w:bookmarkEnd w:id="376"/>
      <w:bookmarkStart w:id="377" w:name="_Toc184314431"/>
      <w:bookmarkEnd w:id="377"/>
      <w:bookmarkStart w:id="378" w:name="_Toc184314447"/>
      <w:bookmarkEnd w:id="378"/>
      <w:bookmarkStart w:id="379" w:name="_Toc184310298"/>
      <w:bookmarkEnd w:id="379"/>
      <w:bookmarkStart w:id="380" w:name="_Toc184313288"/>
      <w:bookmarkEnd w:id="380"/>
      <w:bookmarkStart w:id="381" w:name="_Toc184308065"/>
      <w:bookmarkEnd w:id="381"/>
      <w:bookmarkStart w:id="382" w:name="_Toc184308036"/>
      <w:bookmarkEnd w:id="382"/>
      <w:bookmarkStart w:id="383" w:name="_Toc184308084"/>
      <w:bookmarkEnd w:id="383"/>
      <w:bookmarkStart w:id="384" w:name="_Toc184308102"/>
      <w:bookmarkEnd w:id="384"/>
      <w:bookmarkStart w:id="385" w:name="_Toc184312088"/>
      <w:bookmarkEnd w:id="385"/>
      <w:bookmarkStart w:id="386" w:name="_Toc184308096"/>
      <w:bookmarkEnd w:id="386"/>
      <w:bookmarkStart w:id="387" w:name="_Toc184312121"/>
      <w:bookmarkEnd w:id="387"/>
      <w:bookmarkStart w:id="388" w:name="_Toc184313307"/>
      <w:bookmarkEnd w:id="388"/>
      <w:bookmarkStart w:id="389" w:name="_Toc184308056"/>
      <w:bookmarkEnd w:id="389"/>
      <w:bookmarkStart w:id="390" w:name="_Toc184312076"/>
      <w:bookmarkEnd w:id="390"/>
      <w:bookmarkStart w:id="391" w:name="_Toc184313254"/>
      <w:bookmarkEnd w:id="391"/>
      <w:bookmarkStart w:id="392" w:name="_Toc184312082"/>
      <w:bookmarkEnd w:id="392"/>
      <w:bookmarkStart w:id="393" w:name="_Toc184308103"/>
      <w:bookmarkEnd w:id="393"/>
      <w:bookmarkStart w:id="394" w:name="_Toc184310340"/>
      <w:bookmarkEnd w:id="394"/>
      <w:bookmarkStart w:id="395" w:name="_Toc184312079"/>
      <w:bookmarkEnd w:id="395"/>
      <w:bookmarkStart w:id="396" w:name="_Toc184312069"/>
      <w:bookmarkEnd w:id="396"/>
      <w:bookmarkStart w:id="397" w:name="_Toc184310328"/>
      <w:bookmarkEnd w:id="397"/>
      <w:bookmarkStart w:id="398" w:name="_Toc184312093"/>
      <w:bookmarkEnd w:id="398"/>
      <w:bookmarkStart w:id="399" w:name="_Toc184308040"/>
      <w:bookmarkEnd w:id="399"/>
      <w:bookmarkStart w:id="400" w:name="_Toc184313273"/>
      <w:bookmarkEnd w:id="400"/>
      <w:bookmarkStart w:id="401" w:name="_Toc184312072"/>
      <w:bookmarkEnd w:id="401"/>
      <w:bookmarkStart w:id="402" w:name="_Toc184314436"/>
      <w:bookmarkEnd w:id="402"/>
      <w:bookmarkStart w:id="403" w:name="_Toc184310310"/>
      <w:bookmarkEnd w:id="403"/>
      <w:bookmarkStart w:id="404" w:name="_Toc184308090"/>
      <w:bookmarkEnd w:id="404"/>
      <w:bookmarkStart w:id="405" w:name="第四部分"/>
      <w:r>
        <w:rPr>
          <w:rFonts w:hint="eastAsia" w:ascii="仿宋_GB2312" w:hAnsi="仿宋" w:eastAsia="仿宋_GB2312"/>
          <w:b/>
          <w:color w:val="auto"/>
          <w:sz w:val="36"/>
          <w:szCs w:val="36"/>
        </w:rPr>
        <w:t>评标办法及评分标准</w:t>
      </w:r>
    </w:p>
    <w:p>
      <w:pPr>
        <w:adjustRightInd/>
        <w:spacing w:line="360" w:lineRule="auto"/>
        <w:ind w:firstLine="420" w:firstLineChars="200"/>
        <w:jc w:val="left"/>
        <w:rPr>
          <w:rFonts w:ascii="仿宋_GB2312" w:hAnsi="仿宋" w:eastAsia="仿宋_GB2312"/>
          <w:b/>
          <w:color w:val="auto"/>
        </w:rPr>
      </w:pPr>
      <w:r>
        <w:rPr>
          <w:rFonts w:hint="eastAsia" w:ascii="仿宋_GB2312" w:hAnsi="仿宋" w:eastAsia="仿宋_GB2312"/>
          <w:color w:val="auto"/>
        </w:rPr>
        <w:t>为更好地做到公开、公平、公正，结合本次招标的特点，特制定本评标办法，本项目的评标办法为综合评分法。</w:t>
      </w:r>
    </w:p>
    <w:p>
      <w:pPr>
        <w:pStyle w:val="4"/>
        <w:numPr>
          <w:ilvl w:val="0"/>
          <w:numId w:val="4"/>
        </w:numPr>
        <w:snapToGrid w:val="0"/>
        <w:spacing w:before="600" w:after="360" w:line="240" w:lineRule="auto"/>
        <w:jc w:val="center"/>
        <w:rPr>
          <w:color w:val="auto"/>
        </w:rPr>
      </w:pPr>
      <w:bookmarkStart w:id="406" w:name="_Toc329676941"/>
      <w:bookmarkStart w:id="407" w:name="_Toc14817"/>
      <w:r>
        <w:rPr>
          <w:rFonts w:hint="eastAsia"/>
          <w:color w:val="auto"/>
        </w:rPr>
        <w:t>总则</w:t>
      </w:r>
      <w:bookmarkEnd w:id="406"/>
      <w:bookmarkEnd w:id="407"/>
    </w:p>
    <w:p>
      <w:pPr>
        <w:snapToGrid w:val="0"/>
        <w:spacing w:line="360" w:lineRule="auto"/>
        <w:ind w:firstLine="422" w:firstLineChars="200"/>
        <w:rPr>
          <w:rFonts w:ascii="仿宋_GB2312" w:hAnsi="仿宋" w:eastAsia="仿宋_GB2312" w:cs="宋体"/>
          <w:b/>
          <w:color w:val="auto"/>
          <w:szCs w:val="21"/>
        </w:rPr>
      </w:pPr>
      <w:r>
        <w:rPr>
          <w:rFonts w:hint="eastAsia" w:ascii="仿宋_GB2312" w:hAnsi="仿宋" w:eastAsia="仿宋_GB2312" w:cs="宋体"/>
          <w:b/>
          <w:color w:val="auto"/>
          <w:szCs w:val="21"/>
        </w:rPr>
        <w:t>1.1评标原则</w:t>
      </w:r>
    </w:p>
    <w:p>
      <w:pPr>
        <w:snapToGrid w:val="0"/>
        <w:spacing w:line="360" w:lineRule="auto"/>
        <w:ind w:firstLine="420" w:firstLineChars="200"/>
        <w:rPr>
          <w:rFonts w:ascii="仿宋_GB2312" w:hAnsi="仿宋" w:eastAsia="仿宋_GB2312" w:cs="宋体"/>
          <w:color w:val="auto"/>
          <w:szCs w:val="21"/>
        </w:rPr>
      </w:pPr>
      <w:r>
        <w:rPr>
          <w:rFonts w:hint="eastAsia" w:ascii="仿宋_GB2312" w:hAnsi="仿宋" w:eastAsia="仿宋_GB2312" w:cs="宋体"/>
          <w:color w:val="auto"/>
          <w:szCs w:val="21"/>
        </w:rPr>
        <w:t>评标应遵循公平、公正、科学、择优的原则。</w:t>
      </w:r>
    </w:p>
    <w:p>
      <w:pPr>
        <w:snapToGrid w:val="0"/>
        <w:spacing w:line="360" w:lineRule="auto"/>
        <w:ind w:firstLine="422" w:firstLineChars="200"/>
        <w:rPr>
          <w:rFonts w:ascii="仿宋_GB2312" w:hAnsi="仿宋" w:eastAsia="仿宋_GB2312" w:cs="宋体"/>
          <w:b/>
          <w:color w:val="auto"/>
          <w:szCs w:val="21"/>
        </w:rPr>
      </w:pPr>
      <w:r>
        <w:rPr>
          <w:rFonts w:hint="eastAsia" w:ascii="仿宋_GB2312" w:hAnsi="仿宋" w:eastAsia="仿宋_GB2312" w:cs="宋体"/>
          <w:b/>
          <w:color w:val="auto"/>
          <w:szCs w:val="21"/>
        </w:rPr>
        <w:t>1.2评标委员会</w:t>
      </w:r>
    </w:p>
    <w:p>
      <w:pPr>
        <w:snapToGrid w:val="0"/>
        <w:spacing w:line="360" w:lineRule="auto"/>
        <w:ind w:firstLine="420" w:firstLineChars="200"/>
        <w:rPr>
          <w:rFonts w:ascii="仿宋_GB2312" w:hAnsi="仿宋" w:eastAsia="仿宋_GB2312" w:cs="宋体"/>
          <w:color w:val="auto"/>
          <w:szCs w:val="21"/>
        </w:rPr>
      </w:pPr>
      <w:r>
        <w:rPr>
          <w:rFonts w:hint="eastAsia" w:ascii="仿宋_GB2312" w:hAnsi="仿宋" w:eastAsia="仿宋_GB2312" w:cs="宋体"/>
          <w:color w:val="auto"/>
          <w:szCs w:val="21"/>
        </w:rPr>
        <w:t xml:space="preserve">评标工作由招标人依法组建的评标委员会负责，评标委员会成员为5人或5人以上单数 </w:t>
      </w:r>
    </w:p>
    <w:p>
      <w:pPr>
        <w:snapToGrid w:val="0"/>
        <w:spacing w:line="360" w:lineRule="auto"/>
        <w:ind w:firstLine="422" w:firstLineChars="200"/>
        <w:rPr>
          <w:rFonts w:ascii="仿宋_GB2312" w:hAnsi="仿宋" w:eastAsia="仿宋_GB2312" w:cs="宋体"/>
          <w:b/>
          <w:color w:val="auto"/>
          <w:szCs w:val="21"/>
        </w:rPr>
      </w:pPr>
      <w:r>
        <w:rPr>
          <w:rFonts w:hint="eastAsia" w:ascii="仿宋_GB2312" w:hAnsi="仿宋" w:eastAsia="仿宋_GB2312" w:cs="宋体"/>
          <w:b/>
          <w:color w:val="auto"/>
          <w:szCs w:val="21"/>
        </w:rPr>
        <w:t>1.3评标程序和内容</w:t>
      </w:r>
    </w:p>
    <w:p>
      <w:pPr>
        <w:snapToGrid w:val="0"/>
        <w:spacing w:line="360" w:lineRule="auto"/>
        <w:ind w:firstLine="422" w:firstLineChars="200"/>
        <w:rPr>
          <w:rFonts w:ascii="仿宋_GB2312" w:hAnsi="仿宋" w:eastAsia="仿宋_GB2312" w:cs="宋体"/>
          <w:b/>
          <w:bCs/>
          <w:color w:val="auto"/>
          <w:szCs w:val="21"/>
        </w:rPr>
      </w:pPr>
      <w:r>
        <w:rPr>
          <w:rFonts w:hint="eastAsia" w:ascii="仿宋_GB2312" w:hAnsi="仿宋" w:eastAsia="仿宋_GB2312" w:cs="宋体"/>
          <w:b/>
          <w:bCs/>
          <w:color w:val="auto"/>
          <w:szCs w:val="21"/>
        </w:rPr>
        <w:t>1.3.1评标的一般程序：</w:t>
      </w:r>
    </w:p>
    <w:p>
      <w:pPr>
        <w:snapToGrid w:val="0"/>
        <w:spacing w:line="360" w:lineRule="auto"/>
        <w:ind w:firstLine="420" w:firstLineChars="200"/>
        <w:rPr>
          <w:rFonts w:ascii="仿宋_GB2312" w:hAnsi="仿宋" w:eastAsia="仿宋_GB2312" w:cs="宋体"/>
          <w:color w:val="auto"/>
          <w:szCs w:val="21"/>
        </w:rPr>
      </w:pPr>
      <w:r>
        <w:rPr>
          <w:rFonts w:hint="eastAsia" w:ascii="仿宋_GB2312" w:hAnsi="仿宋" w:eastAsia="仿宋_GB2312" w:cs="宋体"/>
          <w:color w:val="auto"/>
          <w:szCs w:val="21"/>
        </w:rPr>
        <w:t>1)推选评标组长；</w:t>
      </w:r>
    </w:p>
    <w:p>
      <w:pPr>
        <w:snapToGrid w:val="0"/>
        <w:spacing w:line="360" w:lineRule="auto"/>
        <w:ind w:firstLine="420" w:firstLineChars="200"/>
        <w:rPr>
          <w:rFonts w:ascii="仿宋_GB2312" w:hAnsi="仿宋" w:eastAsia="仿宋_GB2312" w:cs="宋体"/>
          <w:b/>
          <w:color w:val="auto"/>
          <w:szCs w:val="21"/>
        </w:rPr>
      </w:pPr>
      <w:r>
        <w:rPr>
          <w:rFonts w:hint="eastAsia" w:ascii="仿宋_GB2312" w:hAnsi="仿宋" w:eastAsia="仿宋_GB2312" w:cs="宋体"/>
          <w:color w:val="auto"/>
          <w:szCs w:val="21"/>
        </w:rPr>
        <w:t>2)熟悉招标文件和评标办法；</w:t>
      </w:r>
    </w:p>
    <w:p>
      <w:pPr>
        <w:snapToGrid w:val="0"/>
        <w:spacing w:line="360" w:lineRule="auto"/>
        <w:ind w:firstLine="420" w:firstLineChars="200"/>
        <w:rPr>
          <w:rFonts w:ascii="仿宋_GB2312" w:hAnsi="仿宋" w:eastAsia="仿宋_GB2312" w:cs="宋体"/>
          <w:color w:val="auto"/>
          <w:szCs w:val="21"/>
        </w:rPr>
      </w:pPr>
      <w:r>
        <w:rPr>
          <w:rFonts w:hint="eastAsia" w:ascii="仿宋_GB2312" w:hAnsi="仿宋" w:eastAsia="仿宋_GB2312" w:cs="宋体"/>
          <w:color w:val="auto"/>
          <w:szCs w:val="21"/>
        </w:rPr>
        <w:t>3)投标人的资格审查；</w:t>
      </w:r>
    </w:p>
    <w:p>
      <w:pPr>
        <w:snapToGrid w:val="0"/>
        <w:spacing w:line="360" w:lineRule="auto"/>
        <w:ind w:firstLine="420" w:firstLineChars="200"/>
        <w:rPr>
          <w:rFonts w:ascii="仿宋_GB2312" w:hAnsi="仿宋" w:eastAsia="仿宋_GB2312" w:cs="宋体"/>
          <w:b/>
          <w:color w:val="auto"/>
          <w:szCs w:val="21"/>
        </w:rPr>
      </w:pPr>
      <w:r>
        <w:rPr>
          <w:rFonts w:hint="eastAsia" w:ascii="仿宋_GB2312" w:hAnsi="仿宋" w:eastAsia="仿宋_GB2312" w:cs="宋体"/>
          <w:color w:val="auto"/>
          <w:szCs w:val="21"/>
        </w:rPr>
        <w:t>4)投标文件的符合性审查；</w:t>
      </w:r>
    </w:p>
    <w:p>
      <w:pPr>
        <w:snapToGrid w:val="0"/>
        <w:spacing w:line="360" w:lineRule="auto"/>
        <w:ind w:firstLine="420" w:firstLineChars="200"/>
        <w:rPr>
          <w:rFonts w:ascii="仿宋_GB2312" w:hAnsi="仿宋" w:eastAsia="仿宋_GB2312" w:cs="宋体"/>
          <w:b/>
          <w:color w:val="auto"/>
          <w:szCs w:val="21"/>
        </w:rPr>
      </w:pPr>
      <w:r>
        <w:rPr>
          <w:rFonts w:hint="eastAsia" w:ascii="仿宋_GB2312" w:hAnsi="仿宋" w:eastAsia="仿宋_GB2312" w:cs="宋体"/>
          <w:color w:val="auto"/>
          <w:szCs w:val="21"/>
        </w:rPr>
        <w:t>5)投标文件的资信技术评审、评分；</w:t>
      </w:r>
    </w:p>
    <w:p>
      <w:pPr>
        <w:snapToGrid w:val="0"/>
        <w:spacing w:line="360" w:lineRule="auto"/>
        <w:ind w:firstLine="420" w:firstLineChars="200"/>
        <w:rPr>
          <w:rFonts w:ascii="仿宋_GB2312" w:hAnsi="仿宋" w:eastAsia="仿宋_GB2312" w:cs="宋体"/>
          <w:color w:val="auto"/>
          <w:szCs w:val="21"/>
        </w:rPr>
      </w:pPr>
      <w:r>
        <w:rPr>
          <w:rFonts w:hint="eastAsia" w:ascii="仿宋_GB2312" w:hAnsi="仿宋" w:eastAsia="仿宋_GB2312" w:cs="宋体"/>
          <w:color w:val="auto"/>
          <w:szCs w:val="21"/>
        </w:rPr>
        <w:t>6)投标文件的报价评审、评分；</w:t>
      </w:r>
    </w:p>
    <w:p>
      <w:pPr>
        <w:snapToGrid w:val="0"/>
        <w:spacing w:line="360" w:lineRule="auto"/>
        <w:ind w:firstLine="420" w:firstLineChars="200"/>
        <w:rPr>
          <w:rFonts w:ascii="仿宋_GB2312" w:hAnsi="仿宋" w:eastAsia="仿宋_GB2312" w:cs="宋体"/>
          <w:b/>
          <w:color w:val="auto"/>
          <w:szCs w:val="21"/>
        </w:rPr>
      </w:pPr>
      <w:r>
        <w:rPr>
          <w:rFonts w:hint="eastAsia" w:ascii="仿宋_GB2312" w:hAnsi="仿宋" w:eastAsia="仿宋_GB2312" w:cs="宋体"/>
          <w:color w:val="auto"/>
          <w:szCs w:val="21"/>
        </w:rPr>
        <w:t>7)必要时，对投标文件中的问题进行询标；</w:t>
      </w:r>
    </w:p>
    <w:p>
      <w:pPr>
        <w:snapToGrid w:val="0"/>
        <w:spacing w:line="360" w:lineRule="auto"/>
        <w:ind w:firstLine="420" w:firstLineChars="200"/>
        <w:rPr>
          <w:rFonts w:ascii="仿宋_GB2312" w:hAnsi="仿宋" w:eastAsia="仿宋_GB2312" w:cs="宋体"/>
          <w:b/>
          <w:color w:val="auto"/>
          <w:szCs w:val="21"/>
        </w:rPr>
      </w:pPr>
      <w:r>
        <w:rPr>
          <w:rFonts w:hint="eastAsia" w:ascii="仿宋_GB2312" w:hAnsi="仿宋" w:eastAsia="仿宋_GB2312" w:cs="宋体"/>
          <w:color w:val="auto"/>
          <w:szCs w:val="21"/>
        </w:rPr>
        <w:t>8)完成评标报告，推荐中标候选人。</w:t>
      </w:r>
    </w:p>
    <w:p>
      <w:pPr>
        <w:snapToGrid w:val="0"/>
        <w:spacing w:line="360" w:lineRule="auto"/>
        <w:ind w:firstLine="422" w:firstLineChars="200"/>
        <w:rPr>
          <w:rFonts w:ascii="仿宋_GB2312" w:hAnsi="仿宋" w:eastAsia="仿宋_GB2312" w:cs="宋体"/>
          <w:b/>
          <w:bCs/>
          <w:color w:val="auto"/>
          <w:szCs w:val="21"/>
        </w:rPr>
      </w:pPr>
      <w:r>
        <w:rPr>
          <w:rFonts w:hint="eastAsia" w:ascii="仿宋_GB2312" w:hAnsi="仿宋" w:eastAsia="仿宋_GB2312" w:cs="宋体"/>
          <w:b/>
          <w:bCs/>
          <w:color w:val="auto"/>
          <w:szCs w:val="21"/>
        </w:rPr>
        <w:t>1.3.2投标文件的符合性审查</w:t>
      </w:r>
    </w:p>
    <w:p>
      <w:pPr>
        <w:snapToGrid w:val="0"/>
        <w:spacing w:line="360" w:lineRule="auto"/>
        <w:ind w:firstLine="420" w:firstLineChars="200"/>
        <w:rPr>
          <w:rFonts w:ascii="仿宋_GB2312" w:hAnsi="仿宋" w:eastAsia="仿宋_GB2312" w:cs="宋体"/>
          <w:b/>
          <w:color w:val="auto"/>
          <w:szCs w:val="21"/>
        </w:rPr>
      </w:pPr>
      <w:r>
        <w:rPr>
          <w:rFonts w:hint="eastAsia" w:ascii="仿宋_GB2312" w:hAnsi="仿宋" w:eastAsia="仿宋_GB2312" w:cs="宋体"/>
          <w:color w:val="auto"/>
          <w:szCs w:val="21"/>
        </w:rPr>
        <w:t>1)评标委员会应依照招标文件的要求和规定首先对投标人的投标资格和投标文件进行符合性审查。</w:t>
      </w:r>
    </w:p>
    <w:p>
      <w:pPr>
        <w:snapToGrid w:val="0"/>
        <w:spacing w:line="360" w:lineRule="auto"/>
        <w:ind w:firstLine="420" w:firstLineChars="200"/>
        <w:rPr>
          <w:rFonts w:ascii="仿宋_GB2312" w:hAnsi="宋体" w:eastAsia="仿宋_GB2312" w:cs="宋体"/>
          <w:b/>
          <w:color w:val="auto"/>
          <w:szCs w:val="21"/>
        </w:rPr>
      </w:pPr>
      <w:r>
        <w:rPr>
          <w:rFonts w:hint="eastAsia" w:ascii="仿宋_GB2312" w:hAnsi="仿宋" w:eastAsia="仿宋_GB2312" w:cs="宋体"/>
          <w:color w:val="auto"/>
          <w:szCs w:val="21"/>
        </w:rPr>
        <w:t>2)投标人不得通过补充、修改或撤消投标文件中的内容使其成为实质性响应招标文件的投标。投标人在投标截止以后不得提交任何资料作为投标文件的补充（评标委员会要求提交的除外）。</w:t>
      </w:r>
    </w:p>
    <w:p>
      <w:pPr>
        <w:pStyle w:val="18"/>
        <w:snapToGrid w:val="0"/>
        <w:spacing w:before="0"/>
        <w:ind w:firstLine="480"/>
        <w:rPr>
          <w:rFonts w:ascii="仿宋_GB2312" w:hAnsi="仿宋" w:eastAsia="仿宋_GB2312"/>
          <w:color w:val="auto"/>
        </w:rPr>
      </w:pPr>
      <w:r>
        <w:rPr>
          <w:rFonts w:hint="eastAsia" w:ascii="仿宋_GB2312" w:hAnsi="仿宋" w:eastAsia="仿宋_GB2312"/>
          <w:color w:val="auto"/>
        </w:rPr>
        <w:t xml:space="preserve"> </w:t>
      </w:r>
    </w:p>
    <w:p>
      <w:pPr>
        <w:pStyle w:val="4"/>
        <w:numPr>
          <w:ilvl w:val="0"/>
          <w:numId w:val="4"/>
        </w:numPr>
        <w:snapToGrid w:val="0"/>
        <w:spacing w:before="600" w:after="360" w:line="240" w:lineRule="auto"/>
        <w:jc w:val="center"/>
        <w:rPr>
          <w:color w:val="auto"/>
        </w:rPr>
      </w:pPr>
      <w:bookmarkStart w:id="408" w:name="_Toc4460"/>
      <w:bookmarkStart w:id="409" w:name="_Toc329676942"/>
      <w:r>
        <w:rPr>
          <w:rFonts w:hint="eastAsia"/>
          <w:color w:val="auto"/>
        </w:rPr>
        <w:t>评标内容及标准</w:t>
      </w:r>
      <w:bookmarkEnd w:id="408"/>
      <w:bookmarkEnd w:id="409"/>
    </w:p>
    <w:p>
      <w:pPr>
        <w:autoSpaceDE w:val="0"/>
        <w:autoSpaceDN w:val="0"/>
        <w:spacing w:line="360" w:lineRule="auto"/>
        <w:ind w:firstLine="413" w:firstLineChars="196"/>
        <w:rPr>
          <w:rFonts w:ascii="仿宋" w:hAnsi="仿宋" w:eastAsia="仿宋" w:cs="宋体"/>
          <w:b/>
          <w:color w:val="auto"/>
          <w:lang w:val="zh-CN"/>
        </w:rPr>
      </w:pPr>
      <w:bookmarkStart w:id="410" w:name="_Toc29902"/>
      <w:bookmarkStart w:id="411" w:name="_Toc15895"/>
      <w:bookmarkStart w:id="412" w:name="_Toc20931"/>
      <w:r>
        <w:rPr>
          <w:rFonts w:hint="eastAsia" w:ascii="仿宋" w:hAnsi="仿宋" w:eastAsia="仿宋" w:cs="宋体"/>
          <w:b/>
          <w:color w:val="auto"/>
          <w:lang w:val="zh-CN"/>
        </w:rPr>
        <w:t>2.1本项目采用综合评分法</w:t>
      </w:r>
    </w:p>
    <w:p>
      <w:pPr>
        <w:snapToGrid w:val="0"/>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本项目总分为100分。</w:t>
      </w:r>
      <w:r>
        <w:rPr>
          <w:rFonts w:hint="eastAsia" w:ascii="仿宋" w:hAnsi="仿宋" w:eastAsia="仿宋" w:cs="宋体"/>
          <w:color w:val="auto"/>
          <w:szCs w:val="21"/>
          <w:shd w:val="clear" w:color="auto" w:fill="7E7E7E" w:themeFill="background1" w:themeFillShade="7F"/>
        </w:rPr>
        <w:t>其中技术60分、商务报价40分。合</w:t>
      </w:r>
      <w:r>
        <w:rPr>
          <w:rFonts w:hint="eastAsia" w:ascii="仿宋" w:hAnsi="仿宋" w:eastAsia="仿宋" w:cs="宋体"/>
          <w:color w:val="auto"/>
          <w:szCs w:val="21"/>
        </w:rPr>
        <w:t>格投标人的综合得分为各部分项目汇总得分，中标候选资格按综合得分由高到低顺序排列，得分相同的，按投标下浮率由高到低顺序排列；综合得分且投标下浮率相同的，按技术分的优劣顺序排列。排名第一的投标人为中标候选人，排名第二的投标人为候补中标候选人，其他投标人中标候选资格依次类推。</w:t>
      </w:r>
    </w:p>
    <w:p>
      <w:pPr>
        <w:autoSpaceDE w:val="0"/>
        <w:autoSpaceDN w:val="0"/>
        <w:spacing w:line="360" w:lineRule="auto"/>
        <w:ind w:firstLine="413" w:firstLineChars="196"/>
        <w:rPr>
          <w:rFonts w:ascii="仿宋" w:hAnsi="仿宋" w:eastAsia="仿宋" w:cs="宋体"/>
          <w:b/>
          <w:color w:val="auto"/>
          <w:lang w:val="zh-CN"/>
        </w:rPr>
      </w:pPr>
      <w:r>
        <w:rPr>
          <w:rFonts w:hint="eastAsia" w:ascii="仿宋" w:hAnsi="仿宋" w:eastAsia="仿宋" w:cs="宋体"/>
          <w:b/>
          <w:color w:val="auto"/>
          <w:lang w:val="zh-CN"/>
        </w:rPr>
        <w:t>2.2投标文件商务报价（</w:t>
      </w:r>
      <w:r>
        <w:rPr>
          <w:rFonts w:hint="eastAsia" w:ascii="仿宋" w:hAnsi="仿宋" w:eastAsia="仿宋" w:cs="宋体"/>
          <w:b/>
          <w:color w:val="auto"/>
        </w:rPr>
        <w:t>40</w:t>
      </w:r>
      <w:r>
        <w:rPr>
          <w:rFonts w:hint="eastAsia" w:ascii="仿宋" w:hAnsi="仿宋" w:eastAsia="仿宋" w:cs="宋体"/>
          <w:b/>
          <w:color w:val="auto"/>
          <w:lang w:val="zh-CN"/>
        </w:rPr>
        <w:t>分）</w:t>
      </w:r>
      <w:bookmarkEnd w:id="410"/>
      <w:bookmarkEnd w:id="411"/>
      <w:bookmarkEnd w:id="412"/>
    </w:p>
    <w:p>
      <w:pPr>
        <w:autoSpaceDE w:val="0"/>
        <w:autoSpaceDN w:val="0"/>
        <w:spacing w:line="360" w:lineRule="auto"/>
        <w:ind w:firstLine="411" w:firstLineChars="196"/>
        <w:rPr>
          <w:rFonts w:ascii="仿宋" w:hAnsi="仿宋" w:eastAsia="仿宋" w:cs="宋体"/>
          <w:color w:val="auto"/>
          <w:szCs w:val="21"/>
        </w:rPr>
      </w:pPr>
      <w:bookmarkStart w:id="413" w:name="_Toc3008"/>
      <w:bookmarkStart w:id="414" w:name="_Toc18016"/>
      <w:bookmarkStart w:id="415" w:name="_Toc1303"/>
      <w:r>
        <w:rPr>
          <w:rFonts w:hint="eastAsia" w:ascii="仿宋" w:hAnsi="仿宋" w:eastAsia="仿宋" w:cs="宋体"/>
          <w:color w:val="auto"/>
          <w:szCs w:val="21"/>
        </w:rPr>
        <w:t>基准</w:t>
      </w:r>
      <w:r>
        <w:rPr>
          <w:rFonts w:hint="eastAsia" w:ascii="仿宋" w:hAnsi="仿宋" w:eastAsia="仿宋" w:cs="宋体"/>
          <w:color w:val="auto"/>
          <w:szCs w:val="21"/>
          <w:highlight w:val="green"/>
        </w:rPr>
        <w:t>让利率</w:t>
      </w:r>
      <w:r>
        <w:rPr>
          <w:rFonts w:hint="eastAsia" w:ascii="仿宋" w:hAnsi="仿宋" w:eastAsia="仿宋" w:cs="宋体"/>
          <w:color w:val="auto"/>
          <w:szCs w:val="21"/>
        </w:rPr>
        <w:t>为所有有效投标文件中报价最高的让利率，各代理公司报价得分=(</w:t>
      </w:r>
      <w:r>
        <w:rPr>
          <w:rFonts w:hint="eastAsia" w:ascii="仿宋" w:hAnsi="仿宋" w:eastAsia="仿宋" w:cs="宋体"/>
          <w:color w:val="auto"/>
          <w:szCs w:val="21"/>
          <w:highlight w:val="green"/>
        </w:rPr>
        <w:t>报价让利率/基准让利率)</w:t>
      </w:r>
      <w:r>
        <w:rPr>
          <w:rFonts w:hint="eastAsia" w:ascii="仿宋" w:hAnsi="仿宋" w:eastAsia="仿宋" w:cs="宋体"/>
          <w:color w:val="auto"/>
          <w:szCs w:val="21"/>
        </w:rPr>
        <w:t>×</w:t>
      </w:r>
      <w:r>
        <w:rPr>
          <w:rFonts w:hint="eastAsia" w:ascii="仿宋" w:hAnsi="仿宋" w:eastAsia="仿宋" w:cs="宋体"/>
          <w:color w:val="auto"/>
          <w:szCs w:val="21"/>
          <w:highlight w:val="green"/>
        </w:rPr>
        <w:t>40</w:t>
      </w:r>
      <w:r>
        <w:rPr>
          <w:rFonts w:hint="eastAsia" w:ascii="仿宋" w:hAnsi="仿宋" w:eastAsia="仿宋" w:cs="宋体"/>
          <w:color w:val="auto"/>
          <w:szCs w:val="21"/>
        </w:rPr>
        <w:t>，四舍五入，保留两位小数</w:t>
      </w:r>
    </w:p>
    <w:p>
      <w:pPr>
        <w:autoSpaceDE w:val="0"/>
        <w:autoSpaceDN w:val="0"/>
        <w:spacing w:line="360" w:lineRule="auto"/>
        <w:ind w:firstLine="413" w:firstLineChars="196"/>
        <w:rPr>
          <w:rFonts w:ascii="仿宋_GB2312" w:eastAsia="仿宋_GB2312" w:cs="宋体"/>
          <w:b/>
          <w:color w:val="auto"/>
          <w:lang w:val="zh-CN"/>
        </w:rPr>
      </w:pPr>
      <w:r>
        <w:rPr>
          <w:rFonts w:hint="eastAsia" w:ascii="仿宋_GB2312" w:eastAsia="仿宋_GB2312" w:cs="宋体"/>
          <w:b/>
          <w:color w:val="auto"/>
          <w:lang w:val="zh-CN"/>
        </w:rPr>
        <w:t>2.3投标文件技术评审（</w:t>
      </w:r>
      <w:r>
        <w:rPr>
          <w:rFonts w:hint="eastAsia" w:ascii="仿宋_GB2312" w:eastAsia="仿宋_GB2312" w:cs="宋体"/>
          <w:b/>
          <w:color w:val="auto"/>
        </w:rPr>
        <w:t>60</w:t>
      </w:r>
      <w:r>
        <w:rPr>
          <w:rFonts w:hint="eastAsia" w:ascii="仿宋_GB2312" w:eastAsia="仿宋_GB2312" w:cs="宋体"/>
          <w:b/>
          <w:color w:val="auto"/>
          <w:lang w:val="zh-CN"/>
        </w:rPr>
        <w:t>分）</w:t>
      </w:r>
      <w:bookmarkEnd w:id="413"/>
      <w:bookmarkEnd w:id="414"/>
      <w:bookmarkEnd w:id="415"/>
    </w:p>
    <w:p>
      <w:pPr>
        <w:autoSpaceDE w:val="0"/>
        <w:autoSpaceDN w:val="0"/>
        <w:spacing w:line="360" w:lineRule="auto"/>
        <w:ind w:firstLine="415" w:firstLineChars="197"/>
        <w:rPr>
          <w:rFonts w:ascii="仿宋" w:hAnsi="仿宋" w:eastAsia="仿宋" w:cs="宋体"/>
          <w:b/>
          <w:color w:val="auto"/>
          <w:lang w:val="zh-CN"/>
        </w:rPr>
      </w:pPr>
      <w:r>
        <w:rPr>
          <w:rFonts w:hint="eastAsia" w:ascii="仿宋_GB2312" w:eastAsia="仿宋_GB2312" w:cs="宋体"/>
          <w:b/>
          <w:color w:val="auto"/>
          <w:lang w:val="zh-CN"/>
        </w:rPr>
        <w:t>2.3.1</w:t>
      </w:r>
      <w:r>
        <w:rPr>
          <w:rFonts w:hint="eastAsia" w:ascii="仿宋" w:hAnsi="仿宋" w:eastAsia="仿宋" w:cs="宋体"/>
          <w:color w:val="auto"/>
          <w:lang w:val="zh-CN"/>
        </w:rPr>
        <w:t>由评标委员会全体成员在认真审阅、分析投标文件主要内容的基础上，采用记名方式各自评分。如发现某个单项的评分超出了评分细则所规定的分值范围的，则该张评分表无效。</w:t>
      </w:r>
      <w:r>
        <w:rPr>
          <w:rFonts w:hint="eastAsia" w:ascii="仿宋" w:hAnsi="仿宋" w:eastAsia="仿宋" w:cs="宋体"/>
          <w:b/>
          <w:color w:val="auto"/>
          <w:lang w:val="zh-CN"/>
        </w:rPr>
        <w:t>此项评分为：所有有效评分的算术平均值。</w:t>
      </w:r>
    </w:p>
    <w:p>
      <w:pPr>
        <w:spacing w:line="360" w:lineRule="auto"/>
        <w:ind w:firstLine="422" w:firstLineChars="200"/>
        <w:rPr>
          <w:rFonts w:ascii="仿宋" w:hAnsi="仿宋" w:eastAsia="仿宋"/>
          <w:color w:val="auto"/>
        </w:rPr>
      </w:pPr>
      <w:r>
        <w:rPr>
          <w:rFonts w:hint="eastAsia" w:ascii="仿宋_GB2312" w:hAnsi="宋体" w:eastAsia="仿宋_GB2312"/>
          <w:b/>
          <w:color w:val="auto"/>
        </w:rPr>
        <w:t>2.3.2</w:t>
      </w:r>
      <w:r>
        <w:rPr>
          <w:rFonts w:hint="eastAsia" w:ascii="仿宋" w:hAnsi="仿宋" w:eastAsia="仿宋"/>
          <w:b/>
          <w:color w:val="auto"/>
        </w:rPr>
        <w:t>技术评分的内容和标准</w:t>
      </w:r>
      <w:r>
        <w:rPr>
          <w:rFonts w:hint="eastAsia" w:ascii="仿宋" w:hAnsi="仿宋" w:eastAsia="仿宋"/>
          <w:color w:val="auto"/>
        </w:rPr>
        <w:t>如下（以下内容评分时保留一位小数。计算算数平均值时保留二位小数）</w:t>
      </w:r>
    </w:p>
    <w:tbl>
      <w:tblPr>
        <w:tblStyle w:val="14"/>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06"/>
        <w:gridCol w:w="2460"/>
        <w:gridCol w:w="5290"/>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Merge w:val="restart"/>
            <w:vAlign w:val="center"/>
          </w:tcPr>
          <w:p>
            <w:pPr>
              <w:snapToGrid w:val="0"/>
              <w:ind w:left="113" w:right="113"/>
              <w:jc w:val="center"/>
              <w:rPr>
                <w:rFonts w:ascii="仿宋_GB2312" w:hAnsi="宋体" w:eastAsia="仿宋_GB2312" w:cs="宋体"/>
                <w:b/>
                <w:color w:val="auto"/>
                <w:szCs w:val="21"/>
              </w:rPr>
            </w:pPr>
            <w:r>
              <w:rPr>
                <w:rFonts w:hint="eastAsia" w:ascii="仿宋_GB2312" w:hAnsi="宋体" w:eastAsia="仿宋_GB2312" w:cs="宋体"/>
                <w:b/>
                <w:color w:val="auto"/>
                <w:szCs w:val="21"/>
              </w:rPr>
              <w:t>技术标评分</w:t>
            </w:r>
          </w:p>
        </w:tc>
        <w:tc>
          <w:tcPr>
            <w:tcW w:w="2966" w:type="dxa"/>
            <w:gridSpan w:val="2"/>
            <w:vAlign w:val="center"/>
          </w:tcPr>
          <w:p>
            <w:pPr>
              <w:snapToGrid w:val="0"/>
              <w:jc w:val="center"/>
              <w:rPr>
                <w:rFonts w:ascii="仿宋_GB2312" w:hAnsi="宋体" w:eastAsia="仿宋_GB2312" w:cs="宋体"/>
                <w:b/>
                <w:color w:val="auto"/>
                <w:kern w:val="0"/>
                <w:szCs w:val="21"/>
              </w:rPr>
            </w:pPr>
            <w:r>
              <w:rPr>
                <w:rFonts w:hint="eastAsia" w:ascii="仿宋_GB2312" w:hAnsi="宋体" w:eastAsia="仿宋_GB2312" w:cs="宋体"/>
                <w:b/>
                <w:color w:val="auto"/>
                <w:kern w:val="0"/>
                <w:szCs w:val="21"/>
              </w:rPr>
              <w:t>评分标准</w:t>
            </w:r>
          </w:p>
        </w:tc>
        <w:tc>
          <w:tcPr>
            <w:tcW w:w="5290" w:type="dxa"/>
            <w:vAlign w:val="center"/>
          </w:tcPr>
          <w:p>
            <w:pPr>
              <w:snapToGrid w:val="0"/>
              <w:jc w:val="center"/>
              <w:rPr>
                <w:rFonts w:ascii="仿宋_GB2312" w:hAnsi="宋体" w:eastAsia="仿宋_GB2312" w:cs="宋体"/>
                <w:b/>
                <w:color w:val="auto"/>
                <w:kern w:val="0"/>
                <w:szCs w:val="21"/>
              </w:rPr>
            </w:pPr>
          </w:p>
        </w:tc>
        <w:tc>
          <w:tcPr>
            <w:tcW w:w="1001" w:type="dxa"/>
            <w:vAlign w:val="center"/>
          </w:tcPr>
          <w:p>
            <w:pPr>
              <w:snapToGrid w:val="0"/>
              <w:jc w:val="center"/>
              <w:rPr>
                <w:rFonts w:ascii="仿宋_GB2312" w:hAnsi="宋体" w:eastAsia="仿宋_GB2312" w:cs="宋体"/>
                <w:b/>
                <w:color w:val="auto"/>
                <w:kern w:val="0"/>
                <w:szCs w:val="21"/>
              </w:rPr>
            </w:pPr>
            <w:r>
              <w:rPr>
                <w:rFonts w:hint="eastAsia" w:ascii="仿宋_GB2312" w:hAnsi="宋体" w:eastAsia="仿宋_GB2312" w:cs="宋体"/>
                <w:b/>
                <w:color w:val="auto"/>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615" w:type="dxa"/>
            <w:vMerge w:val="continue"/>
            <w:vAlign w:val="center"/>
          </w:tcPr>
          <w:p>
            <w:pPr>
              <w:snapToGrid w:val="0"/>
              <w:ind w:left="113" w:right="113"/>
              <w:jc w:val="center"/>
              <w:rPr>
                <w:rFonts w:ascii="仿宋_GB2312" w:hAnsi="宋体" w:eastAsia="仿宋_GB2312" w:cs="宋体"/>
                <w:b/>
                <w:color w:val="auto"/>
                <w:szCs w:val="21"/>
              </w:rPr>
            </w:pPr>
          </w:p>
        </w:tc>
        <w:tc>
          <w:tcPr>
            <w:tcW w:w="506" w:type="dxa"/>
            <w:vAlign w:val="center"/>
          </w:tcPr>
          <w:p>
            <w:pPr>
              <w:snapToGrid w:val="0"/>
              <w:jc w:val="center"/>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c>
          <w:tcPr>
            <w:tcW w:w="2460" w:type="dxa"/>
            <w:vAlign w:val="center"/>
          </w:tcPr>
          <w:p>
            <w:pPr>
              <w:spacing w:line="240" w:lineRule="atLeast"/>
              <w:rPr>
                <w:rFonts w:ascii="仿宋_GB2312" w:hAnsi="宋体" w:eastAsia="仿宋_GB2312"/>
                <w:color w:val="auto"/>
              </w:rPr>
            </w:pPr>
            <w:r>
              <w:rPr>
                <w:rFonts w:hint="eastAsia" w:ascii="仿宋_GB2312" w:hAnsi="宋体" w:eastAsia="仿宋_GB2312"/>
                <w:color w:val="auto"/>
              </w:rPr>
              <w:t>招标代理服务大纲内容是否完整、齐全</w:t>
            </w:r>
          </w:p>
        </w:tc>
        <w:tc>
          <w:tcPr>
            <w:tcW w:w="5290" w:type="dxa"/>
            <w:vAlign w:val="center"/>
          </w:tcPr>
          <w:p>
            <w:pPr>
              <w:spacing w:line="240" w:lineRule="atLeast"/>
              <w:rPr>
                <w:rFonts w:ascii="仿宋_GB2312" w:hAnsi="宋体" w:eastAsia="仿宋_GB2312"/>
                <w:color w:val="auto"/>
              </w:rPr>
            </w:pPr>
            <w:r>
              <w:rPr>
                <w:rFonts w:hint="eastAsia" w:ascii="仿宋_GB2312" w:hAnsi="宋体" w:eastAsia="仿宋_GB2312"/>
                <w:color w:val="auto"/>
              </w:rPr>
              <w:t>根据招投标相关政策、法规对招标全过程、流程进行描述,内容完整，条理清楚，满足国家、省、市、区现行的对招标代理机构服务的要求。</w:t>
            </w:r>
          </w:p>
        </w:tc>
        <w:tc>
          <w:tcPr>
            <w:tcW w:w="1001"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615" w:type="dxa"/>
            <w:vMerge w:val="continue"/>
            <w:vAlign w:val="center"/>
          </w:tcPr>
          <w:p>
            <w:pPr>
              <w:snapToGrid w:val="0"/>
              <w:ind w:left="113" w:right="113"/>
              <w:jc w:val="center"/>
              <w:rPr>
                <w:rFonts w:ascii="仿宋_GB2312" w:hAnsi="宋体" w:eastAsia="仿宋_GB2312" w:cs="宋体"/>
                <w:b/>
                <w:color w:val="auto"/>
                <w:szCs w:val="21"/>
              </w:rPr>
            </w:pPr>
          </w:p>
        </w:tc>
        <w:tc>
          <w:tcPr>
            <w:tcW w:w="506" w:type="dxa"/>
            <w:vAlign w:val="center"/>
          </w:tcPr>
          <w:p>
            <w:pPr>
              <w:snapToGrid w:val="0"/>
              <w:jc w:val="center"/>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c>
          <w:tcPr>
            <w:tcW w:w="2460" w:type="dxa"/>
            <w:vAlign w:val="center"/>
          </w:tcPr>
          <w:p>
            <w:pPr>
              <w:snapToGrid w:val="0"/>
              <w:jc w:val="center"/>
              <w:rPr>
                <w:rFonts w:ascii="仿宋_GB2312" w:hAnsi="宋体" w:eastAsia="仿宋_GB2312"/>
                <w:color w:val="auto"/>
              </w:rPr>
            </w:pPr>
            <w:r>
              <w:rPr>
                <w:rFonts w:hint="eastAsia" w:ascii="仿宋_GB2312" w:hAnsi="宋体" w:eastAsia="仿宋_GB2312"/>
                <w:color w:val="auto"/>
              </w:rPr>
              <w:t>业绩</w:t>
            </w:r>
          </w:p>
        </w:tc>
        <w:tc>
          <w:tcPr>
            <w:tcW w:w="5290" w:type="dxa"/>
            <w:vAlign w:val="center"/>
          </w:tcPr>
          <w:p>
            <w:pPr>
              <w:snapToGrid w:val="0"/>
              <w:jc w:val="left"/>
              <w:rPr>
                <w:rFonts w:ascii="仿宋_GB2312" w:hAnsi="仿宋" w:eastAsia="仿宋_GB2312" w:cs="宋体"/>
                <w:color w:val="auto"/>
                <w:szCs w:val="21"/>
              </w:rPr>
            </w:pPr>
            <w:r>
              <w:rPr>
                <w:rFonts w:hint="eastAsia" w:ascii="仿宋_GB2312" w:hAnsi="仿宋" w:eastAsia="仿宋_GB2312" w:cs="宋体"/>
                <w:color w:val="auto"/>
                <w:szCs w:val="21"/>
                <w:highlight w:val="yellow"/>
              </w:rPr>
              <w:t>1、2019</w:t>
            </w:r>
            <w:r>
              <w:rPr>
                <w:rFonts w:hint="eastAsia" w:ascii="仿宋_GB2312" w:hAnsi="仿宋" w:eastAsia="仿宋_GB2312" w:cs="宋体"/>
                <w:color w:val="auto"/>
                <w:szCs w:val="21"/>
              </w:rPr>
              <w:t>年1月1日以来，承担过国家或省级重点工程招标代理项目的，每提供1份代理协议的加1分，最高不超过5分；</w:t>
            </w:r>
            <w:r>
              <w:rPr>
                <w:rFonts w:hint="eastAsia" w:ascii="仿宋_GB2312" w:hAnsi="仿宋" w:eastAsia="仿宋_GB2312" w:cs="宋体"/>
                <w:color w:val="auto"/>
                <w:szCs w:val="21"/>
                <w:highlight w:val="green"/>
              </w:rPr>
              <w:t>同一业主的合同只算一个。</w:t>
            </w:r>
            <w:r>
              <w:rPr>
                <w:rFonts w:hint="eastAsia" w:ascii="仿宋_GB2312" w:hAnsi="仿宋" w:eastAsia="仿宋_GB2312" w:cs="宋体"/>
                <w:color w:val="auto"/>
                <w:szCs w:val="21"/>
              </w:rPr>
              <w:t>需提供协议复印件，原件备查。</w:t>
            </w:r>
          </w:p>
          <w:p>
            <w:pPr>
              <w:snapToGrid w:val="0"/>
              <w:jc w:val="left"/>
              <w:rPr>
                <w:rFonts w:ascii="仿宋_GB2312" w:hAnsi="仿宋" w:eastAsia="仿宋_GB2312" w:cs="宋体"/>
                <w:color w:val="auto"/>
                <w:szCs w:val="21"/>
              </w:rPr>
            </w:pPr>
            <w:r>
              <w:rPr>
                <w:rFonts w:hint="eastAsia" w:ascii="仿宋_GB2312" w:hAnsi="仿宋" w:eastAsia="仿宋_GB2312" w:cs="宋体"/>
                <w:color w:val="auto"/>
                <w:szCs w:val="21"/>
              </w:rPr>
              <w:t>2、</w:t>
            </w:r>
            <w:r>
              <w:rPr>
                <w:rFonts w:hint="eastAsia" w:ascii="仿宋_GB2312" w:hAnsi="仿宋" w:eastAsia="仿宋_GB2312" w:cs="宋体"/>
                <w:color w:val="auto"/>
                <w:szCs w:val="21"/>
                <w:highlight w:val="yellow"/>
              </w:rPr>
              <w:t>2019</w:t>
            </w:r>
            <w:r>
              <w:rPr>
                <w:rFonts w:hint="eastAsia" w:ascii="仿宋_GB2312" w:hAnsi="仿宋" w:eastAsia="仿宋_GB2312" w:cs="宋体"/>
                <w:color w:val="auto"/>
                <w:szCs w:val="21"/>
              </w:rPr>
              <w:t>年1月1日以来，承担过医疗机构项目招标代理的，每提供1分代理协议加1分，最高不超过5分。</w:t>
            </w:r>
            <w:r>
              <w:rPr>
                <w:rFonts w:hint="eastAsia" w:ascii="仿宋_GB2312" w:hAnsi="仿宋" w:eastAsia="仿宋_GB2312" w:cs="宋体"/>
                <w:color w:val="auto"/>
                <w:szCs w:val="21"/>
                <w:highlight w:val="green"/>
              </w:rPr>
              <w:t>同一业主的合同只算一个。</w:t>
            </w:r>
            <w:r>
              <w:rPr>
                <w:rFonts w:hint="eastAsia" w:ascii="仿宋_GB2312" w:hAnsi="仿宋" w:eastAsia="仿宋_GB2312" w:cs="宋体"/>
                <w:color w:val="auto"/>
                <w:szCs w:val="21"/>
              </w:rPr>
              <w:t>需提供协议复印件，原件备查。</w:t>
            </w:r>
          </w:p>
          <w:p>
            <w:pPr>
              <w:snapToGrid w:val="0"/>
              <w:jc w:val="left"/>
              <w:rPr>
                <w:rFonts w:ascii="仿宋_GB2312" w:hAnsi="宋体" w:eastAsia="仿宋_GB2312"/>
                <w:color w:val="auto"/>
              </w:rPr>
            </w:pPr>
            <w:r>
              <w:rPr>
                <w:rFonts w:hint="eastAsia" w:ascii="仿宋_GB2312" w:hAnsi="仿宋" w:eastAsia="仿宋_GB2312" w:cs="宋体"/>
                <w:color w:val="auto"/>
                <w:szCs w:val="21"/>
                <w:highlight w:val="green"/>
              </w:rPr>
              <w:t>以上两类合同业绩不得重复。</w:t>
            </w:r>
          </w:p>
        </w:tc>
        <w:tc>
          <w:tcPr>
            <w:tcW w:w="1001" w:type="dxa"/>
            <w:vAlign w:val="center"/>
          </w:tcPr>
          <w:p>
            <w:pPr>
              <w:snapToGrid w:val="0"/>
              <w:jc w:val="center"/>
              <w:rPr>
                <w:rFonts w:ascii="仿宋_GB2312" w:hAnsi="宋体" w:eastAsia="仿宋_GB2312" w:cs="宋体"/>
                <w:color w:val="auto"/>
                <w:szCs w:val="21"/>
              </w:rPr>
            </w:pPr>
            <w:r>
              <w:rPr>
                <w:rFonts w:hint="eastAsia" w:ascii="仿宋_GB2312" w:hAnsi="仿宋" w:eastAsia="仿宋_GB2312" w:cs="宋体"/>
                <w:color w:val="auto"/>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15" w:type="dxa"/>
            <w:vMerge w:val="continue"/>
            <w:vAlign w:val="center"/>
          </w:tcPr>
          <w:p>
            <w:pPr>
              <w:snapToGrid w:val="0"/>
              <w:ind w:left="113" w:right="113"/>
              <w:jc w:val="center"/>
              <w:rPr>
                <w:rFonts w:ascii="仿宋_GB2312" w:hAnsi="宋体" w:eastAsia="仿宋_GB2312" w:cs="宋体"/>
                <w:b/>
                <w:color w:val="auto"/>
                <w:szCs w:val="21"/>
              </w:rPr>
            </w:pPr>
          </w:p>
        </w:tc>
        <w:tc>
          <w:tcPr>
            <w:tcW w:w="506" w:type="dxa"/>
            <w:vAlign w:val="center"/>
          </w:tcPr>
          <w:p>
            <w:pPr>
              <w:snapToGrid w:val="0"/>
              <w:jc w:val="center"/>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c>
          <w:tcPr>
            <w:tcW w:w="2460" w:type="dxa"/>
            <w:vAlign w:val="center"/>
          </w:tcPr>
          <w:p>
            <w:pPr>
              <w:spacing w:line="240" w:lineRule="atLeast"/>
              <w:jc w:val="center"/>
              <w:rPr>
                <w:rFonts w:ascii="仿宋_GB2312" w:hAnsi="宋体" w:eastAsia="仿宋_GB2312"/>
                <w:color w:val="auto"/>
              </w:rPr>
            </w:pPr>
            <w:r>
              <w:rPr>
                <w:rFonts w:hint="eastAsia" w:ascii="仿宋_GB2312" w:hAnsi="宋体" w:eastAsia="仿宋_GB2312"/>
                <w:color w:val="auto"/>
              </w:rPr>
              <w:t>人员组织分工</w:t>
            </w:r>
          </w:p>
        </w:tc>
        <w:tc>
          <w:tcPr>
            <w:tcW w:w="5290" w:type="dxa"/>
            <w:vAlign w:val="center"/>
          </w:tcPr>
          <w:p>
            <w:pPr>
              <w:spacing w:line="240" w:lineRule="atLeast"/>
              <w:rPr>
                <w:rFonts w:ascii="仿宋_GB2312" w:hAnsi="宋体" w:eastAsia="仿宋_GB2312"/>
                <w:color w:val="auto"/>
              </w:rPr>
            </w:pPr>
            <w:r>
              <w:rPr>
                <w:rFonts w:hint="eastAsia" w:ascii="仿宋_GB2312" w:hAnsi="宋体" w:eastAsia="仿宋_GB2312"/>
                <w:color w:val="auto"/>
              </w:rPr>
              <w:t>1、根据投标文件所提供的项目班子相应人员的组织分工是否明确，专业配置情况等响应方面，进行打分。</w:t>
            </w:r>
          </w:p>
        </w:tc>
        <w:tc>
          <w:tcPr>
            <w:tcW w:w="1001"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15" w:type="dxa"/>
            <w:vMerge w:val="continue"/>
            <w:vAlign w:val="center"/>
          </w:tcPr>
          <w:p>
            <w:pPr>
              <w:snapToGrid w:val="0"/>
              <w:jc w:val="center"/>
              <w:rPr>
                <w:rFonts w:ascii="仿宋_GB2312" w:hAnsi="宋体" w:eastAsia="仿宋_GB2312" w:cs="宋体"/>
                <w:b/>
                <w:color w:val="auto"/>
                <w:szCs w:val="21"/>
              </w:rPr>
            </w:pPr>
          </w:p>
        </w:tc>
        <w:tc>
          <w:tcPr>
            <w:tcW w:w="506" w:type="dxa"/>
            <w:vAlign w:val="center"/>
          </w:tcPr>
          <w:p>
            <w:pPr>
              <w:snapToGrid w:val="0"/>
              <w:jc w:val="center"/>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3</w:t>
            </w:r>
          </w:p>
        </w:tc>
        <w:tc>
          <w:tcPr>
            <w:tcW w:w="2460" w:type="dxa"/>
            <w:vAlign w:val="center"/>
          </w:tcPr>
          <w:p>
            <w:pPr>
              <w:spacing w:line="240" w:lineRule="atLeast"/>
              <w:jc w:val="center"/>
              <w:rPr>
                <w:rFonts w:ascii="仿宋_GB2312" w:hAnsi="仿宋" w:eastAsia="仿宋_GB2312" w:cs="宋体"/>
                <w:color w:val="auto"/>
                <w:szCs w:val="21"/>
              </w:rPr>
            </w:pPr>
            <w:r>
              <w:rPr>
                <w:rFonts w:hint="eastAsia" w:ascii="仿宋_GB2312" w:hAnsi="仿宋" w:eastAsia="仿宋_GB2312" w:cs="宋体"/>
                <w:color w:val="auto"/>
                <w:szCs w:val="21"/>
              </w:rPr>
              <w:t>招标代理的质量及进度是否科学合理及保证措施是否考虑到位</w:t>
            </w:r>
          </w:p>
        </w:tc>
        <w:tc>
          <w:tcPr>
            <w:tcW w:w="5290" w:type="dxa"/>
            <w:vAlign w:val="center"/>
          </w:tcPr>
          <w:p>
            <w:pPr>
              <w:spacing w:line="240" w:lineRule="atLeast"/>
              <w:rPr>
                <w:rFonts w:ascii="仿宋_GB2312" w:hAnsi="仿宋" w:eastAsia="仿宋_GB2312" w:cs="宋体"/>
                <w:color w:val="auto"/>
                <w:szCs w:val="21"/>
              </w:rPr>
            </w:pPr>
            <w:r>
              <w:rPr>
                <w:rFonts w:hint="eastAsia" w:ascii="仿宋_GB2312" w:hAnsi="仿宋" w:eastAsia="仿宋_GB2312"/>
                <w:color w:val="auto"/>
              </w:rPr>
              <w:t>根据各投标单位服务响应能力，办公地点，服务响应时间及熟悉本地化政策等方面考虑。（8分）</w:t>
            </w:r>
          </w:p>
        </w:tc>
        <w:tc>
          <w:tcPr>
            <w:tcW w:w="1001"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15" w:type="dxa"/>
            <w:vMerge w:val="continue"/>
            <w:vAlign w:val="center"/>
          </w:tcPr>
          <w:p>
            <w:pPr>
              <w:snapToGrid w:val="0"/>
              <w:jc w:val="center"/>
              <w:rPr>
                <w:rFonts w:ascii="仿宋_GB2312" w:hAnsi="宋体" w:eastAsia="仿宋_GB2312" w:cs="宋体"/>
                <w:b/>
                <w:color w:val="auto"/>
                <w:szCs w:val="21"/>
              </w:rPr>
            </w:pPr>
          </w:p>
        </w:tc>
        <w:tc>
          <w:tcPr>
            <w:tcW w:w="506" w:type="dxa"/>
            <w:vMerge w:val="restart"/>
            <w:vAlign w:val="center"/>
          </w:tcPr>
          <w:p>
            <w:pPr>
              <w:snapToGrid w:val="0"/>
              <w:jc w:val="center"/>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4</w:t>
            </w:r>
          </w:p>
        </w:tc>
        <w:tc>
          <w:tcPr>
            <w:tcW w:w="2460" w:type="dxa"/>
            <w:vMerge w:val="restart"/>
            <w:vAlign w:val="center"/>
          </w:tcPr>
          <w:p>
            <w:pPr>
              <w:spacing w:line="240" w:lineRule="atLeast"/>
              <w:jc w:val="center"/>
              <w:rPr>
                <w:rFonts w:ascii="仿宋_GB2312" w:hAnsi="仿宋" w:eastAsia="仿宋_GB2312" w:cs="宋体"/>
                <w:color w:val="auto"/>
                <w:szCs w:val="21"/>
              </w:rPr>
            </w:pPr>
            <w:r>
              <w:rPr>
                <w:rFonts w:hint="eastAsia" w:ascii="仿宋_GB2312" w:hAnsi="仿宋" w:eastAsia="仿宋_GB2312" w:cs="宋体"/>
                <w:color w:val="auto"/>
                <w:szCs w:val="21"/>
              </w:rPr>
              <w:t>招标代理、造价咨询投入人员的资历、业绩情况</w:t>
            </w:r>
          </w:p>
        </w:tc>
        <w:tc>
          <w:tcPr>
            <w:tcW w:w="5290" w:type="dxa"/>
            <w:vAlign w:val="center"/>
          </w:tcPr>
          <w:p>
            <w:pPr>
              <w:spacing w:line="240" w:lineRule="exact"/>
              <w:rPr>
                <w:rFonts w:ascii="仿宋_GB2312" w:hAnsi="仿宋" w:eastAsia="仿宋_GB2312"/>
                <w:color w:val="auto"/>
              </w:rPr>
            </w:pPr>
            <w:r>
              <w:rPr>
                <w:rFonts w:hint="eastAsia" w:ascii="仿宋_GB2312" w:hAnsi="仿宋" w:eastAsia="仿宋_GB2312"/>
                <w:color w:val="auto"/>
              </w:rPr>
              <w:t>本项目项目负责人：（1）具备工程类高级工程师以上职称且国家一级注册造价师的得3分；</w:t>
            </w:r>
          </w:p>
        </w:tc>
        <w:tc>
          <w:tcPr>
            <w:tcW w:w="1001"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15" w:type="dxa"/>
            <w:vMerge w:val="continue"/>
            <w:vAlign w:val="center"/>
          </w:tcPr>
          <w:p>
            <w:pPr>
              <w:snapToGrid w:val="0"/>
              <w:jc w:val="center"/>
              <w:rPr>
                <w:rFonts w:ascii="仿宋_GB2312" w:hAnsi="宋体" w:eastAsia="仿宋_GB2312" w:cs="宋体"/>
                <w:b/>
                <w:color w:val="auto"/>
                <w:szCs w:val="21"/>
              </w:rPr>
            </w:pPr>
          </w:p>
        </w:tc>
        <w:tc>
          <w:tcPr>
            <w:tcW w:w="506" w:type="dxa"/>
            <w:vMerge w:val="continue"/>
            <w:vAlign w:val="center"/>
          </w:tcPr>
          <w:p>
            <w:pPr>
              <w:snapToGrid w:val="0"/>
              <w:jc w:val="center"/>
              <w:rPr>
                <w:rFonts w:ascii="仿宋_GB2312" w:hAnsi="宋体" w:eastAsia="仿宋_GB2312" w:cs="宋体"/>
                <w:bCs/>
                <w:color w:val="auto"/>
                <w:kern w:val="0"/>
                <w:szCs w:val="21"/>
              </w:rPr>
            </w:pPr>
          </w:p>
        </w:tc>
        <w:tc>
          <w:tcPr>
            <w:tcW w:w="2460" w:type="dxa"/>
            <w:vMerge w:val="continue"/>
            <w:vAlign w:val="center"/>
          </w:tcPr>
          <w:p>
            <w:pPr>
              <w:spacing w:line="240" w:lineRule="atLeast"/>
              <w:jc w:val="center"/>
              <w:rPr>
                <w:rFonts w:ascii="仿宋_GB2312" w:hAnsi="仿宋" w:eastAsia="仿宋_GB2312" w:cs="宋体"/>
                <w:color w:val="auto"/>
                <w:szCs w:val="21"/>
              </w:rPr>
            </w:pPr>
          </w:p>
        </w:tc>
        <w:tc>
          <w:tcPr>
            <w:tcW w:w="5290" w:type="dxa"/>
            <w:vAlign w:val="center"/>
          </w:tcPr>
          <w:p>
            <w:pPr>
              <w:spacing w:line="240" w:lineRule="exact"/>
              <w:rPr>
                <w:rFonts w:ascii="仿宋_GB2312" w:hAnsi="仿宋" w:eastAsia="仿宋_GB2312"/>
                <w:color w:val="auto"/>
              </w:rPr>
            </w:pPr>
            <w:r>
              <w:rPr>
                <w:rFonts w:ascii="仿宋_GB2312" w:hAnsi="仿宋" w:eastAsia="仿宋_GB2312"/>
                <w:color w:val="auto"/>
              </w:rPr>
              <w:t>除项目负责人以外的取得</w:t>
            </w:r>
            <w:r>
              <w:rPr>
                <w:rFonts w:hint="eastAsia" w:ascii="仿宋_GB2312" w:hAnsi="仿宋" w:eastAsia="仿宋_GB2312"/>
                <w:color w:val="auto"/>
              </w:rPr>
              <w:t>国家注册造价师</w:t>
            </w:r>
            <w:r>
              <w:rPr>
                <w:rFonts w:ascii="仿宋_GB2312" w:hAnsi="仿宋" w:eastAsia="仿宋_GB2312"/>
                <w:color w:val="auto"/>
              </w:rPr>
              <w:t>的，每有1名得</w:t>
            </w:r>
            <w:r>
              <w:rPr>
                <w:rFonts w:hint="eastAsia" w:ascii="仿宋_GB2312" w:hAnsi="仿宋" w:eastAsia="仿宋_GB2312"/>
                <w:color w:val="auto"/>
              </w:rPr>
              <w:t>2</w:t>
            </w:r>
            <w:r>
              <w:rPr>
                <w:rFonts w:ascii="仿宋_GB2312" w:hAnsi="仿宋" w:eastAsia="仿宋_GB2312"/>
                <w:color w:val="auto"/>
              </w:rPr>
              <w:t>分，最高得</w:t>
            </w:r>
            <w:r>
              <w:rPr>
                <w:rFonts w:hint="eastAsia" w:ascii="仿宋_GB2312" w:hAnsi="仿宋" w:eastAsia="仿宋_GB2312"/>
                <w:color w:val="auto"/>
              </w:rPr>
              <w:t>8</w:t>
            </w:r>
            <w:r>
              <w:rPr>
                <w:rFonts w:ascii="仿宋_GB2312" w:hAnsi="仿宋" w:eastAsia="仿宋_GB2312"/>
                <w:color w:val="auto"/>
              </w:rPr>
              <w:t>分；没有的不得分。（提供项目组成员清单、相关证书复印件、社保缴纳记录</w:t>
            </w:r>
            <w:r>
              <w:rPr>
                <w:rFonts w:hint="eastAsia" w:ascii="仿宋_GB2312" w:hAnsi="仿宋" w:eastAsia="仿宋_GB2312"/>
                <w:color w:val="auto"/>
              </w:rPr>
              <w:t>（</w:t>
            </w:r>
            <w:r>
              <w:rPr>
                <w:rFonts w:hint="eastAsia" w:ascii="仿宋_GB2312" w:hAnsi="仿宋" w:eastAsia="仿宋_GB2312" w:cs="宋体"/>
                <w:color w:val="auto"/>
                <w:szCs w:val="21"/>
              </w:rPr>
              <w:t>要求在本单位供职1年以上</w:t>
            </w:r>
            <w:r>
              <w:rPr>
                <w:rFonts w:hint="eastAsia" w:ascii="仿宋_GB2312" w:hAnsi="仿宋" w:eastAsia="仿宋_GB2312"/>
                <w:color w:val="auto"/>
              </w:rPr>
              <w:t>）</w:t>
            </w:r>
            <w:r>
              <w:rPr>
                <w:rFonts w:ascii="仿宋_GB2312" w:hAnsi="仿宋" w:eastAsia="仿宋_GB2312"/>
                <w:color w:val="auto"/>
              </w:rPr>
              <w:t>并加盖公章，否则不得分。）</w:t>
            </w:r>
          </w:p>
        </w:tc>
        <w:tc>
          <w:tcPr>
            <w:tcW w:w="1001"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15" w:type="dxa"/>
            <w:vMerge w:val="continue"/>
            <w:vAlign w:val="center"/>
          </w:tcPr>
          <w:p>
            <w:pPr>
              <w:jc w:val="center"/>
              <w:rPr>
                <w:color w:val="auto"/>
              </w:rPr>
            </w:pPr>
          </w:p>
        </w:tc>
        <w:tc>
          <w:tcPr>
            <w:tcW w:w="506" w:type="dxa"/>
            <w:vMerge w:val="continue"/>
            <w:vAlign w:val="center"/>
          </w:tcPr>
          <w:p>
            <w:pPr>
              <w:jc w:val="center"/>
              <w:rPr>
                <w:color w:val="auto"/>
              </w:rPr>
            </w:pPr>
          </w:p>
        </w:tc>
        <w:tc>
          <w:tcPr>
            <w:tcW w:w="2460" w:type="dxa"/>
            <w:vMerge w:val="continue"/>
            <w:vAlign w:val="center"/>
          </w:tcPr>
          <w:p>
            <w:pPr>
              <w:jc w:val="center"/>
              <w:rPr>
                <w:color w:val="auto"/>
              </w:rPr>
            </w:pPr>
          </w:p>
        </w:tc>
        <w:tc>
          <w:tcPr>
            <w:tcW w:w="5290" w:type="dxa"/>
            <w:vAlign w:val="center"/>
          </w:tcPr>
          <w:p>
            <w:pPr>
              <w:jc w:val="left"/>
              <w:rPr>
                <w:rFonts w:ascii="仿宋_GB2312" w:hAnsi="仿宋" w:eastAsia="仿宋_GB2312"/>
                <w:color w:val="auto"/>
              </w:rPr>
            </w:pPr>
            <w:r>
              <w:rPr>
                <w:rFonts w:hint="eastAsia" w:ascii="仿宋_GB2312" w:hAnsi="仿宋" w:eastAsia="仿宋_GB2312"/>
                <w:color w:val="auto"/>
              </w:rPr>
              <w:t>根据投标人提供招标代理、造价咨询人员的学历、业绩等情况，进行打分。</w:t>
            </w:r>
          </w:p>
        </w:tc>
        <w:tc>
          <w:tcPr>
            <w:tcW w:w="1001" w:type="dxa"/>
            <w:vAlign w:val="center"/>
          </w:tcPr>
          <w:p>
            <w:pPr>
              <w:jc w:val="center"/>
              <w:rPr>
                <w:rFonts w:ascii="仿宋_GB2312" w:hAnsi="仿宋" w:eastAsia="仿宋_GB2312"/>
                <w:color w:val="auto"/>
              </w:rPr>
            </w:pPr>
            <w:r>
              <w:rPr>
                <w:rFonts w:hint="eastAsia" w:ascii="仿宋_GB2312" w:hAnsi="仿宋" w:eastAsia="仿宋_GB2312"/>
                <w:color w:val="auto"/>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vAlign w:val="center"/>
          </w:tcPr>
          <w:p>
            <w:pPr>
              <w:snapToGrid w:val="0"/>
              <w:jc w:val="center"/>
              <w:rPr>
                <w:rFonts w:ascii="仿宋_GB2312" w:hAnsi="宋体" w:eastAsia="仿宋_GB2312" w:cs="宋体"/>
                <w:b/>
                <w:color w:val="auto"/>
                <w:szCs w:val="21"/>
              </w:rPr>
            </w:pPr>
          </w:p>
        </w:tc>
        <w:tc>
          <w:tcPr>
            <w:tcW w:w="506" w:type="dxa"/>
            <w:vAlign w:val="center"/>
          </w:tcPr>
          <w:p>
            <w:pPr>
              <w:snapToGrid w:val="0"/>
              <w:jc w:val="center"/>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5</w:t>
            </w:r>
          </w:p>
        </w:tc>
        <w:tc>
          <w:tcPr>
            <w:tcW w:w="2460" w:type="dxa"/>
            <w:vAlign w:val="center"/>
          </w:tcPr>
          <w:p>
            <w:pPr>
              <w:spacing w:line="240" w:lineRule="atLeast"/>
              <w:jc w:val="left"/>
              <w:rPr>
                <w:rFonts w:ascii="仿宋_GB2312" w:hAnsi="仿宋" w:eastAsia="仿宋_GB2312" w:cs="宋体"/>
                <w:color w:val="auto"/>
                <w:szCs w:val="21"/>
              </w:rPr>
            </w:pPr>
            <w:r>
              <w:rPr>
                <w:rFonts w:hint="eastAsia" w:ascii="仿宋_GB2312" w:hAnsi="仿宋" w:eastAsia="仿宋_GB2312" w:cs="宋体"/>
                <w:color w:val="auto"/>
                <w:szCs w:val="21"/>
              </w:rPr>
              <w:t>机构内部质量控制体系（内部管理制度等）</w:t>
            </w:r>
          </w:p>
        </w:tc>
        <w:tc>
          <w:tcPr>
            <w:tcW w:w="5290" w:type="dxa"/>
            <w:vAlign w:val="center"/>
          </w:tcPr>
          <w:p>
            <w:pPr>
              <w:spacing w:line="240" w:lineRule="exact"/>
              <w:rPr>
                <w:rFonts w:ascii="仿宋_GB2312" w:hAnsi="仿宋" w:eastAsia="仿宋_GB2312" w:cs="宋体"/>
                <w:color w:val="auto"/>
                <w:szCs w:val="21"/>
              </w:rPr>
            </w:pPr>
            <w:r>
              <w:rPr>
                <w:rFonts w:hint="eastAsia" w:ascii="Arial Unicode MS" w:hAnsi="Arial Unicode MS" w:eastAsia="Arial Unicode MS" w:cs="Arial Unicode MS"/>
                <w:color w:val="auto"/>
              </w:rPr>
              <w:t>①</w:t>
            </w:r>
            <w:r>
              <w:rPr>
                <w:rFonts w:hint="eastAsia" w:ascii="仿宋_GB2312" w:hAnsi="仿宋" w:eastAsia="仿宋_GB2312"/>
                <w:color w:val="auto"/>
              </w:rPr>
              <w:t>质量控制体系以机构提供机构文件、业务及分工、人事、财务、档案管理等管理制度为依据判断，若没明确制度的，但能够有一些材料证明其采取了一些质量控制措施或方法的；</w:t>
            </w:r>
          </w:p>
        </w:tc>
        <w:tc>
          <w:tcPr>
            <w:tcW w:w="1001"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vAlign w:val="center"/>
          </w:tcPr>
          <w:p>
            <w:pPr>
              <w:snapToGrid w:val="0"/>
              <w:jc w:val="center"/>
              <w:rPr>
                <w:rFonts w:ascii="仿宋_GB2312" w:hAnsi="宋体" w:eastAsia="仿宋_GB2312" w:cs="宋体"/>
                <w:b/>
                <w:color w:val="auto"/>
                <w:szCs w:val="21"/>
              </w:rPr>
            </w:pPr>
          </w:p>
        </w:tc>
        <w:tc>
          <w:tcPr>
            <w:tcW w:w="506" w:type="dxa"/>
            <w:vAlign w:val="center"/>
          </w:tcPr>
          <w:p>
            <w:pPr>
              <w:snapToGrid w:val="0"/>
              <w:jc w:val="center"/>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6</w:t>
            </w:r>
          </w:p>
        </w:tc>
        <w:tc>
          <w:tcPr>
            <w:tcW w:w="2460" w:type="dxa"/>
            <w:vAlign w:val="center"/>
          </w:tcPr>
          <w:p>
            <w:pPr>
              <w:spacing w:line="240" w:lineRule="atLeast"/>
              <w:jc w:val="left"/>
              <w:rPr>
                <w:rFonts w:ascii="仿宋_GB2312" w:hAnsi="仿宋" w:eastAsia="仿宋_GB2312" w:cs="宋体"/>
                <w:color w:val="auto"/>
                <w:szCs w:val="21"/>
              </w:rPr>
            </w:pPr>
            <w:r>
              <w:rPr>
                <w:rFonts w:hint="eastAsia" w:ascii="仿宋_GB2312" w:hAnsi="仿宋" w:eastAsia="仿宋_GB2312" w:cs="宋体"/>
                <w:color w:val="auto"/>
                <w:szCs w:val="21"/>
              </w:rPr>
              <w:t>招标代理过程与各方的沟通的保证措施，投诉处理方案</w:t>
            </w:r>
          </w:p>
        </w:tc>
        <w:tc>
          <w:tcPr>
            <w:tcW w:w="5290" w:type="dxa"/>
            <w:shd w:val="clear" w:color="auto" w:fill="auto"/>
            <w:vAlign w:val="center"/>
          </w:tcPr>
          <w:p>
            <w:pPr>
              <w:spacing w:line="240" w:lineRule="atLeast"/>
              <w:jc w:val="left"/>
              <w:rPr>
                <w:rFonts w:ascii="仿宋_GB2312" w:hAnsi="仿宋" w:eastAsia="仿宋_GB2312"/>
                <w:color w:val="auto"/>
              </w:rPr>
            </w:pPr>
            <w:r>
              <w:rPr>
                <w:rFonts w:hint="eastAsia" w:ascii="仿宋_GB2312" w:hAnsi="宋体" w:eastAsia="仿宋_GB2312"/>
                <w:color w:val="auto"/>
              </w:rPr>
              <w:t>根据投标文件响应情况，进行打分</w:t>
            </w:r>
          </w:p>
        </w:tc>
        <w:tc>
          <w:tcPr>
            <w:tcW w:w="1001" w:type="dxa"/>
            <w:shd w:val="clear" w:color="auto" w:fill="auto"/>
            <w:vAlign w:val="center"/>
          </w:tcPr>
          <w:p>
            <w:pPr>
              <w:jc w:val="center"/>
              <w:rPr>
                <w:rFonts w:ascii="仿宋_GB2312" w:hAnsi="宋体" w:eastAsia="仿宋_GB2312" w:cs="宋体"/>
                <w:color w:val="auto"/>
                <w:szCs w:val="21"/>
              </w:rPr>
            </w:pPr>
            <w:r>
              <w:rPr>
                <w:rFonts w:hint="eastAsia" w:ascii="仿宋_GB2312" w:hAnsi="仿宋" w:eastAsia="仿宋_GB2312" w:cs="宋体"/>
                <w:color w:val="auto"/>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vAlign w:val="center"/>
          </w:tcPr>
          <w:p>
            <w:pPr>
              <w:snapToGrid w:val="0"/>
              <w:jc w:val="center"/>
              <w:rPr>
                <w:rFonts w:ascii="仿宋_GB2312" w:hAnsi="宋体" w:eastAsia="仿宋_GB2312" w:cs="宋体"/>
                <w:b/>
                <w:color w:val="auto"/>
                <w:szCs w:val="21"/>
              </w:rPr>
            </w:pPr>
          </w:p>
        </w:tc>
        <w:tc>
          <w:tcPr>
            <w:tcW w:w="506" w:type="dxa"/>
            <w:vAlign w:val="center"/>
          </w:tcPr>
          <w:p>
            <w:pPr>
              <w:snapToGrid w:val="0"/>
              <w:jc w:val="center"/>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7</w:t>
            </w:r>
          </w:p>
        </w:tc>
        <w:tc>
          <w:tcPr>
            <w:tcW w:w="2460" w:type="dxa"/>
            <w:vAlign w:val="center"/>
          </w:tcPr>
          <w:p>
            <w:pPr>
              <w:spacing w:line="240" w:lineRule="atLeast"/>
              <w:jc w:val="left"/>
              <w:rPr>
                <w:rFonts w:ascii="仿宋_GB2312" w:hAnsi="仿宋" w:eastAsia="仿宋_GB2312" w:cs="宋体"/>
                <w:color w:val="auto"/>
                <w:szCs w:val="21"/>
              </w:rPr>
            </w:pPr>
            <w:r>
              <w:rPr>
                <w:rFonts w:hint="eastAsia" w:ascii="仿宋_GB2312" w:hAnsi="仿宋" w:eastAsia="仿宋_GB2312" w:cs="宋体"/>
                <w:color w:val="auto"/>
                <w:szCs w:val="21"/>
              </w:rPr>
              <w:t>确保招标代理资料的合法性、完整性与及时性保证措施</w:t>
            </w:r>
          </w:p>
        </w:tc>
        <w:tc>
          <w:tcPr>
            <w:tcW w:w="5290" w:type="dxa"/>
            <w:shd w:val="clear" w:color="auto" w:fill="auto"/>
            <w:vAlign w:val="center"/>
          </w:tcPr>
          <w:p>
            <w:pPr>
              <w:spacing w:line="240" w:lineRule="atLeast"/>
              <w:jc w:val="left"/>
              <w:rPr>
                <w:rFonts w:ascii="仿宋_GB2312" w:hAnsi="仿宋" w:eastAsia="仿宋_GB2312" w:cs="宋体"/>
                <w:color w:val="auto"/>
                <w:szCs w:val="21"/>
              </w:rPr>
            </w:pPr>
            <w:r>
              <w:rPr>
                <w:rFonts w:hint="eastAsia" w:ascii="仿宋_GB2312" w:hAnsi="宋体" w:eastAsia="仿宋_GB2312"/>
                <w:color w:val="auto"/>
              </w:rPr>
              <w:t>根据投标文件响应情况，进行打分</w:t>
            </w:r>
          </w:p>
        </w:tc>
        <w:tc>
          <w:tcPr>
            <w:tcW w:w="1001" w:type="dxa"/>
            <w:shd w:val="clear" w:color="auto" w:fill="auto"/>
            <w:vAlign w:val="center"/>
          </w:tcPr>
          <w:p>
            <w:pPr>
              <w:jc w:val="center"/>
              <w:rPr>
                <w:rFonts w:ascii="仿宋_GB2312" w:hAnsi="宋体" w:eastAsia="仿宋_GB2312" w:cs="宋体"/>
                <w:color w:val="auto"/>
                <w:szCs w:val="21"/>
              </w:rPr>
            </w:pPr>
            <w:r>
              <w:rPr>
                <w:rFonts w:hint="eastAsia" w:ascii="仿宋_GB2312" w:hAnsi="仿宋" w:eastAsia="仿宋_GB2312" w:cs="宋体"/>
                <w:color w:val="auto"/>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5" w:type="dxa"/>
            <w:vMerge w:val="continue"/>
            <w:vAlign w:val="center"/>
          </w:tcPr>
          <w:p>
            <w:pPr>
              <w:snapToGrid w:val="0"/>
              <w:jc w:val="center"/>
              <w:rPr>
                <w:rFonts w:ascii="仿宋_GB2312" w:hAnsi="宋体" w:eastAsia="仿宋_GB2312" w:cs="宋体"/>
                <w:b/>
                <w:color w:val="auto"/>
                <w:szCs w:val="21"/>
              </w:rPr>
            </w:pPr>
          </w:p>
        </w:tc>
        <w:tc>
          <w:tcPr>
            <w:tcW w:w="506" w:type="dxa"/>
            <w:vAlign w:val="center"/>
          </w:tcPr>
          <w:p>
            <w:pPr>
              <w:snapToGrid w:val="0"/>
              <w:jc w:val="center"/>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8</w:t>
            </w:r>
          </w:p>
        </w:tc>
        <w:tc>
          <w:tcPr>
            <w:tcW w:w="2460" w:type="dxa"/>
            <w:vAlign w:val="center"/>
          </w:tcPr>
          <w:p>
            <w:pPr>
              <w:spacing w:line="240" w:lineRule="atLeast"/>
              <w:jc w:val="left"/>
              <w:rPr>
                <w:rFonts w:ascii="仿宋_GB2312" w:hAnsi="仿宋" w:eastAsia="仿宋_GB2312" w:cs="宋体"/>
                <w:color w:val="auto"/>
                <w:szCs w:val="21"/>
              </w:rPr>
            </w:pPr>
            <w:r>
              <w:rPr>
                <w:rFonts w:hint="eastAsia" w:ascii="仿宋_GB2312" w:hAnsi="仿宋" w:eastAsia="仿宋_GB2312" w:cs="宋体"/>
                <w:color w:val="auto"/>
                <w:szCs w:val="21"/>
              </w:rPr>
              <w:t>确保招标代理从业人员廉政建设的保证措施</w:t>
            </w:r>
          </w:p>
        </w:tc>
        <w:tc>
          <w:tcPr>
            <w:tcW w:w="5290" w:type="dxa"/>
            <w:shd w:val="clear" w:color="auto" w:fill="auto"/>
            <w:vAlign w:val="center"/>
          </w:tcPr>
          <w:p>
            <w:pPr>
              <w:spacing w:line="240" w:lineRule="atLeast"/>
              <w:jc w:val="left"/>
              <w:rPr>
                <w:rFonts w:ascii="仿宋_GB2312" w:hAnsi="仿宋" w:eastAsia="仿宋_GB2312" w:cs="宋体"/>
                <w:color w:val="auto"/>
                <w:szCs w:val="21"/>
              </w:rPr>
            </w:pPr>
            <w:r>
              <w:rPr>
                <w:rFonts w:hint="eastAsia" w:ascii="仿宋_GB2312" w:hAnsi="宋体" w:eastAsia="仿宋_GB2312"/>
                <w:color w:val="auto"/>
              </w:rPr>
              <w:t>根据投标文件响应情况，进行打分</w:t>
            </w:r>
          </w:p>
        </w:tc>
        <w:tc>
          <w:tcPr>
            <w:tcW w:w="1001" w:type="dxa"/>
            <w:shd w:val="clear" w:color="auto" w:fill="auto"/>
            <w:vAlign w:val="center"/>
          </w:tcPr>
          <w:p>
            <w:pPr>
              <w:jc w:val="center"/>
              <w:rPr>
                <w:rFonts w:ascii="仿宋_GB2312" w:hAnsi="宋体" w:eastAsia="仿宋_GB2312" w:cs="宋体"/>
                <w:color w:val="auto"/>
                <w:szCs w:val="21"/>
              </w:rPr>
            </w:pPr>
            <w:r>
              <w:rPr>
                <w:rFonts w:hint="eastAsia" w:ascii="仿宋_GB2312" w:hAnsi="仿宋" w:eastAsia="仿宋_GB2312" w:cs="宋体"/>
                <w:color w:val="auto"/>
                <w:szCs w:val="21"/>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15" w:type="dxa"/>
            <w:vMerge w:val="continue"/>
            <w:vAlign w:val="center"/>
          </w:tcPr>
          <w:p>
            <w:pPr>
              <w:snapToGrid w:val="0"/>
              <w:jc w:val="center"/>
              <w:rPr>
                <w:rFonts w:ascii="仿宋_GB2312" w:hAnsi="宋体" w:eastAsia="仿宋_GB2312" w:cs="宋体"/>
                <w:b/>
                <w:color w:val="auto"/>
                <w:szCs w:val="21"/>
              </w:rPr>
            </w:pPr>
          </w:p>
        </w:tc>
        <w:tc>
          <w:tcPr>
            <w:tcW w:w="506" w:type="dxa"/>
            <w:vAlign w:val="center"/>
          </w:tcPr>
          <w:p>
            <w:pPr>
              <w:snapToGrid w:val="0"/>
              <w:jc w:val="center"/>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9</w:t>
            </w:r>
          </w:p>
        </w:tc>
        <w:tc>
          <w:tcPr>
            <w:tcW w:w="2460" w:type="dxa"/>
            <w:vAlign w:val="center"/>
          </w:tcPr>
          <w:p>
            <w:pPr>
              <w:spacing w:line="240" w:lineRule="atLeast"/>
              <w:jc w:val="left"/>
              <w:rPr>
                <w:rFonts w:ascii="仿宋_GB2312" w:hAnsi="仿宋" w:eastAsia="仿宋_GB2312" w:cs="宋体"/>
                <w:color w:val="auto"/>
                <w:szCs w:val="21"/>
              </w:rPr>
            </w:pPr>
            <w:r>
              <w:rPr>
                <w:rFonts w:hint="eastAsia" w:ascii="仿宋_GB2312" w:hAnsi="仿宋" w:eastAsia="仿宋_GB2312" w:cs="宋体"/>
                <w:color w:val="auto"/>
                <w:szCs w:val="21"/>
              </w:rPr>
              <w:t>投标文件编制质量（对招标要求的响应性和提交资料的完整性、规范性；）</w:t>
            </w:r>
          </w:p>
        </w:tc>
        <w:tc>
          <w:tcPr>
            <w:tcW w:w="5290" w:type="dxa"/>
            <w:shd w:val="clear" w:color="auto" w:fill="auto"/>
            <w:vAlign w:val="center"/>
          </w:tcPr>
          <w:p>
            <w:pPr>
              <w:spacing w:line="240" w:lineRule="atLeast"/>
              <w:jc w:val="left"/>
              <w:rPr>
                <w:rFonts w:ascii="仿宋_GB2312" w:hAnsi="仿宋" w:eastAsia="仿宋_GB2312" w:cs="宋体"/>
                <w:color w:val="auto"/>
                <w:szCs w:val="21"/>
              </w:rPr>
            </w:pPr>
            <w:r>
              <w:rPr>
                <w:rFonts w:hint="eastAsia" w:ascii="仿宋_GB2312" w:hAnsi="宋体" w:eastAsia="仿宋_GB2312"/>
                <w:color w:val="auto"/>
              </w:rPr>
              <w:t>根据投标文件响应情况，进行打分</w:t>
            </w:r>
          </w:p>
        </w:tc>
        <w:tc>
          <w:tcPr>
            <w:tcW w:w="1001" w:type="dxa"/>
            <w:shd w:val="clear" w:color="auto" w:fill="auto"/>
            <w:vAlign w:val="center"/>
          </w:tcPr>
          <w:p>
            <w:pPr>
              <w:jc w:val="center"/>
              <w:rPr>
                <w:rFonts w:ascii="仿宋_GB2312" w:hAnsi="宋体" w:eastAsia="仿宋_GB2312" w:cs="宋体"/>
                <w:color w:val="auto"/>
                <w:szCs w:val="21"/>
              </w:rPr>
            </w:pPr>
            <w:r>
              <w:rPr>
                <w:rFonts w:hint="eastAsia" w:ascii="仿宋_GB2312" w:hAnsi="仿宋" w:eastAsia="仿宋_GB2312" w:cs="宋体"/>
                <w:color w:val="auto"/>
                <w:szCs w:val="21"/>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15" w:type="dxa"/>
            <w:vMerge w:val="continue"/>
            <w:vAlign w:val="center"/>
          </w:tcPr>
          <w:p>
            <w:pPr>
              <w:snapToGrid w:val="0"/>
              <w:jc w:val="center"/>
              <w:rPr>
                <w:rFonts w:ascii="仿宋_GB2312" w:hAnsi="宋体" w:eastAsia="仿宋_GB2312" w:cs="宋体"/>
                <w:b/>
                <w:color w:val="auto"/>
                <w:szCs w:val="21"/>
              </w:rPr>
            </w:pPr>
          </w:p>
        </w:tc>
        <w:tc>
          <w:tcPr>
            <w:tcW w:w="506" w:type="dxa"/>
            <w:vAlign w:val="center"/>
          </w:tcPr>
          <w:p>
            <w:pPr>
              <w:snapToGrid w:val="0"/>
              <w:jc w:val="center"/>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 xml:space="preserve"> </w:t>
            </w:r>
          </w:p>
        </w:tc>
        <w:tc>
          <w:tcPr>
            <w:tcW w:w="2460" w:type="dxa"/>
            <w:vAlign w:val="center"/>
          </w:tcPr>
          <w:p>
            <w:pPr>
              <w:snapToGrid w:val="0"/>
              <w:jc w:val="center"/>
              <w:rPr>
                <w:rFonts w:ascii="仿宋_GB2312" w:hAnsi="仿宋" w:eastAsia="仿宋_GB2312" w:cs="宋体"/>
                <w:color w:val="auto"/>
                <w:szCs w:val="21"/>
              </w:rPr>
            </w:pPr>
            <w:r>
              <w:rPr>
                <w:rFonts w:hint="eastAsia" w:ascii="仿宋_GB2312" w:hAnsi="宋体" w:eastAsia="仿宋_GB2312" w:cs="宋体"/>
                <w:bCs/>
                <w:color w:val="auto"/>
                <w:kern w:val="0"/>
                <w:szCs w:val="21"/>
                <w:highlight w:val="yellow"/>
              </w:rPr>
              <w:t>60分</w:t>
            </w:r>
          </w:p>
        </w:tc>
        <w:tc>
          <w:tcPr>
            <w:tcW w:w="5290" w:type="dxa"/>
            <w:shd w:val="clear" w:color="auto" w:fill="auto"/>
            <w:vAlign w:val="center"/>
          </w:tcPr>
          <w:p>
            <w:pPr>
              <w:spacing w:line="240" w:lineRule="atLeast"/>
              <w:jc w:val="left"/>
              <w:rPr>
                <w:rFonts w:ascii="仿宋_GB2312" w:hAnsi="仿宋" w:eastAsia="仿宋_GB2312" w:cs="宋体"/>
                <w:color w:val="auto"/>
                <w:szCs w:val="21"/>
              </w:rPr>
            </w:pPr>
          </w:p>
        </w:tc>
        <w:tc>
          <w:tcPr>
            <w:tcW w:w="1001" w:type="dxa"/>
            <w:shd w:val="clear" w:color="auto" w:fill="auto"/>
            <w:vAlign w:val="center"/>
          </w:tcPr>
          <w:p>
            <w:pPr>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581" w:type="dxa"/>
            <w:gridSpan w:val="3"/>
            <w:vAlign w:val="center"/>
          </w:tcPr>
          <w:p>
            <w:pPr>
              <w:snapToGrid w:val="0"/>
              <w:jc w:val="center"/>
              <w:rPr>
                <w:rFonts w:ascii="仿宋_GB2312" w:hAnsi="宋体" w:eastAsia="仿宋_GB2312" w:cs="宋体"/>
                <w:color w:val="auto"/>
                <w:szCs w:val="21"/>
              </w:rPr>
            </w:pPr>
            <w:r>
              <w:rPr>
                <w:rFonts w:hint="eastAsia" w:ascii="仿宋_GB2312" w:hAnsi="宋体" w:eastAsia="仿宋_GB2312" w:cs="宋体"/>
                <w:color w:val="auto"/>
                <w:szCs w:val="21"/>
              </w:rPr>
              <w:t>总     计</w:t>
            </w:r>
          </w:p>
        </w:tc>
        <w:tc>
          <w:tcPr>
            <w:tcW w:w="5290" w:type="dxa"/>
            <w:vAlign w:val="center"/>
          </w:tcPr>
          <w:p>
            <w:pPr>
              <w:snapToGrid w:val="0"/>
              <w:jc w:val="center"/>
              <w:rPr>
                <w:rFonts w:ascii="仿宋_GB2312" w:hAnsi="宋体" w:eastAsia="仿宋_GB2312" w:cs="宋体"/>
                <w:bCs/>
                <w:color w:val="auto"/>
                <w:kern w:val="0"/>
                <w:szCs w:val="21"/>
              </w:rPr>
            </w:pPr>
          </w:p>
        </w:tc>
        <w:tc>
          <w:tcPr>
            <w:tcW w:w="1001" w:type="dxa"/>
            <w:vAlign w:val="center"/>
          </w:tcPr>
          <w:p>
            <w:pPr>
              <w:snapToGrid w:val="0"/>
              <w:jc w:val="center"/>
              <w:rPr>
                <w:rFonts w:ascii="仿宋_GB2312" w:hAnsi="宋体" w:eastAsia="仿宋_GB2312" w:cs="宋体"/>
                <w:bCs/>
                <w:color w:val="auto"/>
                <w:kern w:val="0"/>
                <w:szCs w:val="21"/>
              </w:rPr>
            </w:pPr>
          </w:p>
        </w:tc>
      </w:tr>
    </w:tbl>
    <w:p>
      <w:pPr>
        <w:spacing w:line="360" w:lineRule="auto"/>
        <w:rPr>
          <w:rFonts w:ascii="仿宋_GB2312" w:hAnsi="仿宋" w:eastAsia="仿宋_GB2312"/>
          <w:b/>
          <w:bCs/>
          <w:color w:val="auto"/>
          <w:sz w:val="24"/>
        </w:rPr>
      </w:pPr>
    </w:p>
    <w:p>
      <w:pPr>
        <w:snapToGrid w:val="0"/>
        <w:spacing w:line="360" w:lineRule="auto"/>
        <w:ind w:firstLine="482" w:firstLineChars="200"/>
        <w:rPr>
          <w:rFonts w:ascii="仿宋_GB2312" w:hAnsi="仿宋" w:eastAsia="仿宋_GB2312"/>
          <w:b/>
          <w:bCs/>
          <w:color w:val="auto"/>
          <w:sz w:val="24"/>
        </w:rPr>
      </w:pPr>
      <w:r>
        <w:rPr>
          <w:rFonts w:hint="eastAsia" w:ascii="仿宋_GB2312" w:hAnsi="仿宋" w:eastAsia="仿宋_GB2312"/>
          <w:b/>
          <w:bCs/>
          <w:color w:val="auto"/>
          <w:sz w:val="24"/>
        </w:rPr>
        <w:t>2.5 推荐入围候选人</w:t>
      </w:r>
    </w:p>
    <w:p>
      <w:pPr>
        <w:snapToGrid w:val="0"/>
        <w:spacing w:line="360" w:lineRule="auto"/>
        <w:ind w:firstLine="422" w:firstLineChars="200"/>
        <w:rPr>
          <w:rFonts w:ascii="仿宋_GB2312" w:hAnsi="仿宋" w:eastAsia="仿宋_GB2312" w:cs="宋体"/>
          <w:color w:val="auto"/>
          <w:szCs w:val="21"/>
        </w:rPr>
      </w:pPr>
      <w:r>
        <w:rPr>
          <w:rFonts w:hint="eastAsia" w:ascii="仿宋_GB2312" w:hAnsi="仿宋" w:eastAsia="仿宋_GB2312" w:cs="宋体"/>
          <w:b/>
          <w:color w:val="auto"/>
          <w:kern w:val="0"/>
          <w:szCs w:val="21"/>
        </w:rPr>
        <w:t>评标委员会根据综合评分由高到低对投标文件进行排序，依次推荐评分最高的服务供应商为中标人。</w:t>
      </w:r>
      <w:r>
        <w:rPr>
          <w:rFonts w:hint="eastAsia" w:ascii="仿宋_GB2312" w:hAnsi="仿宋" w:eastAsia="仿宋_GB2312" w:cs="宋体"/>
          <w:bCs/>
          <w:color w:val="auto"/>
          <w:kern w:val="0"/>
          <w:szCs w:val="21"/>
        </w:rPr>
        <w:t>评分相同时，报价分高者优先推荐。总分、报价分均相同时，技术得分高者优先，总分、报价分和技术分均相同时，由评标委员会全体成员记名投票（不得弃权）决定排序。</w:t>
      </w:r>
    </w:p>
    <w:p>
      <w:pPr>
        <w:snapToGrid w:val="0"/>
        <w:spacing w:line="360" w:lineRule="auto"/>
        <w:ind w:firstLine="482" w:firstLineChars="200"/>
        <w:rPr>
          <w:rFonts w:ascii="仿宋_GB2312" w:hAnsi="仿宋" w:eastAsia="仿宋_GB2312"/>
          <w:b/>
          <w:bCs/>
          <w:color w:val="auto"/>
          <w:sz w:val="24"/>
        </w:rPr>
      </w:pPr>
      <w:r>
        <w:rPr>
          <w:rFonts w:hint="eastAsia" w:ascii="仿宋_GB2312" w:hAnsi="仿宋" w:eastAsia="仿宋_GB2312"/>
          <w:b/>
          <w:bCs/>
          <w:color w:val="auto"/>
          <w:sz w:val="24"/>
        </w:rPr>
        <w:t>2.6评标报告</w:t>
      </w:r>
    </w:p>
    <w:p>
      <w:pPr>
        <w:snapToGrid w:val="0"/>
        <w:spacing w:line="360" w:lineRule="auto"/>
        <w:ind w:firstLine="420" w:firstLineChars="200"/>
        <w:rPr>
          <w:rFonts w:ascii="仿宋_GB2312" w:hAnsi="仿宋" w:eastAsia="仿宋_GB2312" w:cs="宋体"/>
          <w:color w:val="auto"/>
          <w:szCs w:val="21"/>
        </w:rPr>
      </w:pPr>
      <w:r>
        <w:rPr>
          <w:rFonts w:hint="eastAsia" w:ascii="仿宋_GB2312" w:hAnsi="仿宋" w:eastAsia="仿宋_GB2312" w:cs="宋体"/>
          <w:bCs/>
          <w:color w:val="auto"/>
          <w:kern w:val="0"/>
          <w:szCs w:val="21"/>
        </w:rPr>
        <w:t>2.7.1评标委员会对投标文件作出的评审结论，应当符合有关法律、法规、规章和招标文件的规定。</w:t>
      </w:r>
    </w:p>
    <w:p>
      <w:pPr>
        <w:snapToGrid w:val="0"/>
        <w:spacing w:line="360" w:lineRule="auto"/>
        <w:ind w:firstLine="420" w:firstLineChars="200"/>
        <w:rPr>
          <w:rFonts w:ascii="仿宋_GB2312" w:hAnsi="仿宋" w:eastAsia="仿宋_GB2312" w:cs="宋体"/>
          <w:color w:val="auto"/>
          <w:szCs w:val="21"/>
        </w:rPr>
      </w:pPr>
      <w:r>
        <w:rPr>
          <w:rFonts w:hint="eastAsia" w:ascii="仿宋_GB2312" w:hAnsi="仿宋" w:eastAsia="仿宋_GB2312" w:cs="宋体"/>
          <w:bCs/>
          <w:color w:val="auto"/>
          <w:kern w:val="0"/>
          <w:szCs w:val="21"/>
        </w:rPr>
        <w:t>2.7.2评标委员会应根据评标情况和结果，向招标人提交评标报告。评标报告应由评标委员会起草，经评标委员会三分之二以上的成员同意通过。评标委员会全体成员应在评标报告上签字确认，评标专家如有保留意见可以在评标报告中阐明。</w:t>
      </w:r>
    </w:p>
    <w:p>
      <w:pPr>
        <w:snapToGrid w:val="0"/>
        <w:spacing w:line="360" w:lineRule="auto"/>
        <w:ind w:firstLine="420" w:firstLineChars="200"/>
        <w:rPr>
          <w:rFonts w:ascii="仿宋_GB2312" w:hAnsi="仿宋" w:eastAsia="仿宋_GB2312" w:cs="宋体"/>
          <w:color w:val="auto"/>
          <w:szCs w:val="21"/>
        </w:rPr>
      </w:pPr>
      <w:r>
        <w:rPr>
          <w:rFonts w:hint="eastAsia" w:ascii="仿宋_GB2312" w:hAnsi="仿宋" w:eastAsia="仿宋_GB2312" w:cs="宋体"/>
          <w:bCs/>
          <w:color w:val="auto"/>
          <w:kern w:val="0"/>
          <w:szCs w:val="21"/>
        </w:rPr>
        <w:t>2.7.3评标报告应包括以下内容：</w:t>
      </w:r>
    </w:p>
    <w:p>
      <w:pPr>
        <w:snapToGrid w:val="0"/>
        <w:spacing w:line="360" w:lineRule="auto"/>
        <w:ind w:firstLine="420" w:firstLineChars="200"/>
        <w:rPr>
          <w:rFonts w:ascii="仿宋_GB2312" w:hAnsi="仿宋" w:eastAsia="仿宋_GB2312" w:cs="宋体"/>
          <w:color w:val="auto"/>
          <w:szCs w:val="21"/>
        </w:rPr>
      </w:pPr>
      <w:r>
        <w:rPr>
          <w:rFonts w:hint="eastAsia" w:ascii="仿宋_GB2312" w:hAnsi="仿宋" w:eastAsia="仿宋_GB2312" w:cs="宋体"/>
          <w:bCs/>
          <w:color w:val="auto"/>
          <w:kern w:val="0"/>
          <w:szCs w:val="21"/>
        </w:rPr>
        <w:t>（1）开标记录；</w:t>
      </w:r>
    </w:p>
    <w:p>
      <w:pPr>
        <w:snapToGrid w:val="0"/>
        <w:spacing w:line="360" w:lineRule="auto"/>
        <w:ind w:firstLine="420" w:firstLineChars="200"/>
        <w:rPr>
          <w:rFonts w:ascii="仿宋_GB2312" w:hAnsi="仿宋" w:eastAsia="仿宋_GB2312" w:cs="宋体"/>
          <w:color w:val="auto"/>
          <w:szCs w:val="21"/>
        </w:rPr>
      </w:pPr>
      <w:r>
        <w:rPr>
          <w:rFonts w:hint="eastAsia" w:ascii="仿宋_GB2312" w:hAnsi="仿宋" w:eastAsia="仿宋_GB2312" w:cs="宋体"/>
          <w:bCs/>
          <w:color w:val="auto"/>
          <w:kern w:val="0"/>
          <w:szCs w:val="21"/>
        </w:rPr>
        <w:t>（2）评标的内容、过程和结果；</w:t>
      </w:r>
    </w:p>
    <w:p>
      <w:pPr>
        <w:snapToGrid w:val="0"/>
        <w:spacing w:line="360" w:lineRule="auto"/>
        <w:ind w:firstLine="420" w:firstLineChars="200"/>
        <w:rPr>
          <w:rFonts w:ascii="仿宋_GB2312" w:hAnsi="仿宋" w:eastAsia="仿宋_GB2312" w:cs="宋体"/>
          <w:color w:val="auto"/>
          <w:szCs w:val="21"/>
        </w:rPr>
      </w:pPr>
      <w:r>
        <w:rPr>
          <w:rFonts w:hint="eastAsia" w:ascii="仿宋_GB2312" w:hAnsi="仿宋" w:eastAsia="仿宋_GB2312" w:cs="宋体"/>
          <w:bCs/>
          <w:color w:val="auto"/>
          <w:kern w:val="0"/>
          <w:szCs w:val="21"/>
        </w:rPr>
        <w:t>（3）废标情况详细说明及相关依据；</w:t>
      </w:r>
    </w:p>
    <w:p>
      <w:pPr>
        <w:snapToGrid w:val="0"/>
        <w:spacing w:line="360" w:lineRule="auto"/>
        <w:ind w:firstLine="420" w:firstLineChars="200"/>
        <w:rPr>
          <w:rFonts w:ascii="仿宋_GB2312" w:hAnsi="仿宋" w:eastAsia="仿宋_GB2312" w:cs="宋体"/>
          <w:color w:val="auto"/>
          <w:szCs w:val="21"/>
        </w:rPr>
      </w:pPr>
      <w:r>
        <w:rPr>
          <w:rFonts w:hint="eastAsia" w:ascii="仿宋_GB2312" w:hAnsi="仿宋" w:eastAsia="仿宋_GB2312" w:cs="宋体"/>
          <w:bCs/>
          <w:color w:val="auto"/>
          <w:kern w:val="0"/>
          <w:szCs w:val="21"/>
        </w:rPr>
        <w:t>（4）询标澄清纪要；</w:t>
      </w:r>
    </w:p>
    <w:p>
      <w:pPr>
        <w:snapToGrid w:val="0"/>
        <w:spacing w:line="360" w:lineRule="auto"/>
        <w:ind w:firstLine="420" w:firstLineChars="200"/>
        <w:rPr>
          <w:rFonts w:ascii="仿宋_GB2312" w:hAnsi="仿宋" w:eastAsia="仿宋_GB2312" w:cs="宋体"/>
          <w:color w:val="auto"/>
          <w:szCs w:val="21"/>
        </w:rPr>
      </w:pPr>
      <w:r>
        <w:rPr>
          <w:rFonts w:hint="eastAsia" w:ascii="仿宋_GB2312" w:hAnsi="仿宋" w:eastAsia="仿宋_GB2312" w:cs="宋体"/>
          <w:bCs/>
          <w:color w:val="auto"/>
          <w:kern w:val="0"/>
          <w:szCs w:val="21"/>
        </w:rPr>
        <w:t>（5）中标候选人的优劣对比和存在问题；</w:t>
      </w:r>
    </w:p>
    <w:p>
      <w:pPr>
        <w:snapToGrid w:val="0"/>
        <w:spacing w:line="360" w:lineRule="auto"/>
        <w:ind w:firstLine="420" w:firstLineChars="200"/>
        <w:rPr>
          <w:rFonts w:ascii="仿宋_GB2312" w:hAnsi="仿宋" w:eastAsia="仿宋_GB2312" w:cs="宋体"/>
          <w:color w:val="auto"/>
          <w:szCs w:val="21"/>
        </w:rPr>
      </w:pPr>
      <w:r>
        <w:rPr>
          <w:rFonts w:hint="eastAsia" w:ascii="仿宋_GB2312" w:hAnsi="仿宋" w:eastAsia="仿宋_GB2312" w:cs="宋体"/>
          <w:bCs/>
          <w:color w:val="auto"/>
          <w:kern w:val="0"/>
          <w:szCs w:val="21"/>
        </w:rPr>
        <w:t>（6）其他建议。</w:t>
      </w:r>
    </w:p>
    <w:p>
      <w:pPr>
        <w:snapToGrid w:val="0"/>
        <w:spacing w:line="360" w:lineRule="auto"/>
        <w:ind w:firstLine="420" w:firstLineChars="200"/>
        <w:rPr>
          <w:rFonts w:ascii="仿宋_GB2312" w:hAnsi="仿宋" w:eastAsia="仿宋_GB2312" w:cs="宋体"/>
          <w:bCs/>
          <w:color w:val="auto"/>
          <w:kern w:val="0"/>
          <w:szCs w:val="21"/>
        </w:rPr>
      </w:pPr>
      <w:r>
        <w:rPr>
          <w:rFonts w:hint="eastAsia" w:ascii="仿宋_GB2312" w:hAnsi="仿宋" w:eastAsia="仿宋_GB2312" w:cs="宋体"/>
          <w:bCs/>
          <w:color w:val="auto"/>
          <w:kern w:val="0"/>
          <w:szCs w:val="21"/>
        </w:rPr>
        <w:t>2.7.4中标候选人将在发布招标公告网站上进行公告。投标人或者其他利害关系人对依法必须进行招标的项目的评标结果有异议的，应当在规定的质疑期内提出。</w:t>
      </w:r>
    </w:p>
    <w:p>
      <w:pPr>
        <w:snapToGrid w:val="0"/>
        <w:spacing w:line="360" w:lineRule="auto"/>
        <w:ind w:firstLine="422" w:firstLineChars="200"/>
        <w:rPr>
          <w:rFonts w:ascii="仿宋_GB2312" w:hAnsi="仿宋" w:eastAsia="仿宋_GB2312" w:cs="宋体"/>
          <w:b/>
          <w:color w:val="auto"/>
          <w:szCs w:val="21"/>
        </w:rPr>
      </w:pPr>
      <w:r>
        <w:rPr>
          <w:rFonts w:hint="eastAsia" w:ascii="仿宋_GB2312" w:hAnsi="仿宋" w:eastAsia="仿宋_GB2312" w:cs="宋体"/>
          <w:b/>
          <w:bCs/>
          <w:color w:val="auto"/>
          <w:kern w:val="0"/>
          <w:szCs w:val="21"/>
        </w:rPr>
        <w:t>2.8定标</w:t>
      </w:r>
    </w:p>
    <w:p>
      <w:pPr>
        <w:snapToGrid w:val="0"/>
        <w:spacing w:line="360" w:lineRule="auto"/>
        <w:ind w:firstLine="420" w:firstLineChars="200"/>
        <w:rPr>
          <w:rFonts w:ascii="仿宋_GB2312" w:hAnsi="仿宋" w:eastAsia="仿宋_GB2312" w:cs="宋体"/>
          <w:bCs/>
          <w:color w:val="auto"/>
          <w:kern w:val="0"/>
          <w:szCs w:val="21"/>
        </w:rPr>
      </w:pPr>
      <w:r>
        <w:rPr>
          <w:rFonts w:hint="eastAsia" w:ascii="仿宋_GB2312" w:hAnsi="仿宋" w:eastAsia="仿宋_GB2312" w:cs="宋体"/>
          <w:bCs/>
          <w:color w:val="auto"/>
          <w:kern w:val="0"/>
          <w:szCs w:val="21"/>
        </w:rPr>
        <w:t>2.8.1定标由招标人负责。</w:t>
      </w:r>
    </w:p>
    <w:p>
      <w:pPr>
        <w:spacing w:line="360" w:lineRule="auto"/>
        <w:ind w:firstLine="420" w:firstLineChars="200"/>
        <w:rPr>
          <w:rFonts w:ascii="仿宋_GB2312" w:hAnsi="宋体" w:eastAsia="仿宋_GB2312"/>
          <w:b/>
          <w:color w:val="auto"/>
          <w:sz w:val="30"/>
          <w:szCs w:val="30"/>
        </w:rPr>
      </w:pPr>
      <w:r>
        <w:rPr>
          <w:rFonts w:hint="eastAsia" w:ascii="仿宋_GB2312" w:hAnsi="仿宋" w:eastAsia="仿宋_GB2312" w:cs="宋体"/>
          <w:bCs/>
          <w:color w:val="auto"/>
          <w:kern w:val="0"/>
          <w:szCs w:val="21"/>
        </w:rPr>
        <w:t>2.8.2若入围供应商违约被解除服务协议，招标人有权递补入围供应商。</w:t>
      </w:r>
      <w:r>
        <w:rPr>
          <w:rFonts w:hint="eastAsia" w:ascii="仿宋_GB2312" w:eastAsia="仿宋_GB2312"/>
          <w:b/>
          <w:color w:val="auto"/>
          <w:sz w:val="36"/>
          <w:szCs w:val="36"/>
        </w:rPr>
        <w:br w:type="page"/>
      </w:r>
      <w:r>
        <w:rPr>
          <w:rFonts w:hint="eastAsia" w:ascii="仿宋_GB2312" w:hAnsi="宋体" w:eastAsia="仿宋_GB2312"/>
          <w:b/>
          <w:color w:val="auto"/>
          <w:sz w:val="32"/>
          <w:szCs w:val="30"/>
        </w:rPr>
        <w:t>项目评分表</w:t>
      </w:r>
    </w:p>
    <w:p>
      <w:pPr>
        <w:jc w:val="left"/>
        <w:rPr>
          <w:rFonts w:ascii="仿宋_GB2312" w:hAnsi="宋体" w:eastAsia="仿宋_GB2312"/>
          <w:b/>
          <w:color w:val="auto"/>
          <w:sz w:val="24"/>
          <w:szCs w:val="30"/>
        </w:rPr>
      </w:pPr>
      <w:r>
        <w:rPr>
          <w:rFonts w:hint="eastAsia" w:ascii="仿宋_GB2312" w:hAnsi="宋体" w:eastAsia="仿宋_GB2312"/>
          <w:b/>
          <w:color w:val="auto"/>
          <w:szCs w:val="30"/>
        </w:rPr>
        <w:t xml:space="preserve">投标人名称：                          </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4138"/>
        <w:gridCol w:w="1457"/>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4605"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color w:val="auto"/>
                <w:sz w:val="24"/>
              </w:rPr>
            </w:pPr>
            <w:r>
              <w:rPr>
                <w:rFonts w:hint="eastAsia" w:ascii="仿宋_GB2312" w:eastAsia="仿宋_GB2312"/>
                <w:color w:val="auto"/>
              </w:rPr>
              <w:t>评标内容及分值</w:t>
            </w:r>
          </w:p>
        </w:tc>
        <w:tc>
          <w:tcPr>
            <w:tcW w:w="415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color w:val="auto"/>
                <w:sz w:val="24"/>
              </w:rPr>
            </w:pPr>
            <w:r>
              <w:rPr>
                <w:rFonts w:hint="eastAsia" w:ascii="仿宋_GB2312" w:eastAsia="仿宋_GB2312"/>
                <w:color w:val="auto"/>
              </w:rPr>
              <w:t>专家评定栏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trPr>
        <w:tc>
          <w:tcPr>
            <w:tcW w:w="46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auto"/>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color w:val="auto"/>
                <w:sz w:val="24"/>
              </w:rPr>
            </w:pPr>
            <w:r>
              <w:rPr>
                <w:rFonts w:hint="eastAsia" w:ascii="仿宋_GB2312" w:eastAsia="仿宋_GB2312"/>
                <w:color w:val="auto"/>
              </w:rPr>
              <w:t>专家评定分</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r>
              <w:rPr>
                <w:rFonts w:hint="eastAsia" w:ascii="仿宋_GB2312" w:eastAsia="仿宋_GB2312"/>
                <w:color w:val="auto"/>
              </w:rPr>
              <w:t>偏离</w:t>
            </w:r>
          </w:p>
          <w:p>
            <w:pPr>
              <w:spacing w:line="360" w:lineRule="auto"/>
              <w:jc w:val="center"/>
              <w:rPr>
                <w:rFonts w:ascii="仿宋_GB2312" w:eastAsia="仿宋_GB2312"/>
                <w:color w:val="auto"/>
                <w:sz w:val="24"/>
              </w:rPr>
            </w:pPr>
            <w:r>
              <w:rPr>
                <w:rFonts w:hint="eastAsia" w:ascii="仿宋_GB2312" w:eastAsia="仿宋_GB2312"/>
                <w:color w:val="auto"/>
              </w:rPr>
              <w:t>情况</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r>
              <w:rPr>
                <w:rFonts w:hint="eastAsia" w:ascii="仿宋_GB2312" w:eastAsia="仿宋_GB2312"/>
                <w:color w:val="auto"/>
              </w:rPr>
              <w:t>扣分</w:t>
            </w:r>
          </w:p>
          <w:p>
            <w:pPr>
              <w:spacing w:line="360" w:lineRule="auto"/>
              <w:jc w:val="center"/>
              <w:rPr>
                <w:rFonts w:ascii="仿宋_GB2312" w:eastAsia="仿宋_GB2312"/>
                <w:color w:val="auto"/>
                <w:sz w:val="24"/>
              </w:rPr>
            </w:pPr>
            <w:r>
              <w:rPr>
                <w:rFonts w:hint="eastAsia" w:ascii="仿宋_GB2312" w:eastAsia="仿宋_GB2312"/>
                <w:color w:val="auto"/>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6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color w:val="auto"/>
                <w:sz w:val="24"/>
              </w:rPr>
            </w:pPr>
            <w:r>
              <w:rPr>
                <w:rFonts w:hint="eastAsia" w:ascii="仿宋_GB2312" w:eastAsia="仿宋_GB2312"/>
                <w:color w:val="auto"/>
              </w:rPr>
              <w:t>价格分</w:t>
            </w:r>
          </w:p>
        </w:tc>
        <w:tc>
          <w:tcPr>
            <w:tcW w:w="1457" w:type="dxa"/>
            <w:tcBorders>
              <w:top w:val="single" w:color="auto" w:sz="4" w:space="0"/>
              <w:left w:val="single" w:color="auto" w:sz="4" w:space="0"/>
              <w:bottom w:val="single" w:color="auto" w:sz="4" w:space="0"/>
              <w:right w:val="single" w:color="auto" w:sz="4" w:space="0"/>
            </w:tcBorders>
            <w:vAlign w:val="center"/>
          </w:tcPr>
          <w:p>
            <w:pPr>
              <w:spacing w:line="360" w:lineRule="auto"/>
              <w:ind w:left="480"/>
              <w:rPr>
                <w:rFonts w:ascii="仿宋_GB2312" w:eastAsia="仿宋_GB2312"/>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ind w:left="480"/>
              <w:rPr>
                <w:rFonts w:ascii="仿宋_GB2312" w:eastAsia="仿宋_GB2312"/>
                <w:color w:val="auto"/>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ind w:left="48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color w:val="auto"/>
                <w:sz w:val="24"/>
              </w:rPr>
            </w:pPr>
            <w:r>
              <w:rPr>
                <w:rFonts w:hint="eastAsia" w:ascii="仿宋_GB2312" w:eastAsia="仿宋_GB2312"/>
                <w:color w:val="auto"/>
              </w:rPr>
              <w:t>技术分</w:t>
            </w: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auto"/>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auto"/>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auto"/>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auto"/>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auto"/>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auto"/>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auto"/>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color w:val="auto"/>
                <w:sz w:val="24"/>
              </w:rPr>
            </w:pPr>
            <w:r>
              <w:rPr>
                <w:rFonts w:hint="eastAsia" w:ascii="仿宋_GB2312" w:eastAsia="仿宋_GB2312"/>
                <w:color w:val="auto"/>
              </w:rPr>
              <w:t>商务、资信及其他分</w:t>
            </w: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auto"/>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auto"/>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auto"/>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auto"/>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auto"/>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color w:val="auto"/>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r>
              <w:rPr>
                <w:rFonts w:hint="eastAsia" w:ascii="仿宋_GB2312" w:eastAsia="仿宋_GB2312"/>
                <w:color w:val="auto"/>
              </w:rPr>
              <w:t>合计得分</w:t>
            </w:r>
          </w:p>
        </w:tc>
        <w:tc>
          <w:tcPr>
            <w:tcW w:w="25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p>
        </w:tc>
        <w:tc>
          <w:tcPr>
            <w:tcW w:w="1559" w:type="dxa"/>
            <w:tcBorders>
              <w:top w:val="single" w:color="auto" w:sz="4" w:space="0"/>
              <w:left w:val="single" w:color="auto" w:sz="4" w:space="0"/>
              <w:bottom w:val="single" w:color="auto" w:sz="4" w:space="0"/>
              <w:right w:val="single" w:color="auto" w:sz="4" w:space="0"/>
              <w:tr2bl w:val="single" w:color="auto" w:sz="4" w:space="0"/>
            </w:tcBorders>
            <w:vAlign w:val="center"/>
          </w:tcPr>
          <w:p>
            <w:pPr>
              <w:jc w:val="center"/>
              <w:rPr>
                <w:rFonts w:ascii="仿宋_GB2312" w:eastAsia="仿宋_GB2312"/>
                <w:color w:val="auto"/>
                <w:sz w:val="24"/>
              </w:rPr>
            </w:pPr>
          </w:p>
        </w:tc>
      </w:tr>
    </w:tbl>
    <w:p>
      <w:pPr>
        <w:spacing w:before="120" w:beforeLines="50" w:after="120" w:afterLines="50"/>
        <w:ind w:firstLine="482"/>
        <w:rPr>
          <w:rFonts w:ascii="仿宋_GB2312" w:hAnsi="宋体" w:eastAsia="仿宋_GB2312"/>
          <w:b/>
          <w:color w:val="auto"/>
          <w:szCs w:val="30"/>
        </w:rPr>
      </w:pPr>
      <w:r>
        <w:rPr>
          <w:rFonts w:hint="eastAsia" w:ascii="仿宋_GB2312" w:hAnsi="宋体" w:eastAsia="仿宋_GB2312"/>
          <w:b/>
          <w:color w:val="auto"/>
          <w:szCs w:val="30"/>
        </w:rPr>
        <w:t>评审专家签名：                               评标日期：</w:t>
      </w:r>
    </w:p>
    <w:p>
      <w:pPr>
        <w:ind w:firstLine="480"/>
        <w:rPr>
          <w:rFonts w:ascii="仿宋_GB2312" w:eastAsia="仿宋_GB2312"/>
          <w:color w:val="auto"/>
        </w:rPr>
      </w:pPr>
      <w:r>
        <w:rPr>
          <w:rFonts w:hint="eastAsia" w:ascii="仿宋_GB2312" w:eastAsia="仿宋_GB2312"/>
          <w:color w:val="auto"/>
        </w:rPr>
        <w:t>填写说明：投标人可自行评分，仅供评标专家参考。并务必提供得分项的响应文件的页码，以利于评标专家及时找到相关内容进行评审。</w:t>
      </w:r>
    </w:p>
    <w:p>
      <w:pPr>
        <w:spacing w:line="360" w:lineRule="auto"/>
        <w:outlineLvl w:val="0"/>
        <w:rPr>
          <w:rFonts w:ascii="仿宋_GB2312" w:eastAsia="仿宋_GB2312"/>
          <w:b/>
          <w:color w:val="auto"/>
          <w:sz w:val="36"/>
          <w:szCs w:val="36"/>
        </w:rPr>
      </w:pPr>
    </w:p>
    <w:p>
      <w:pPr>
        <w:spacing w:line="360" w:lineRule="auto"/>
        <w:jc w:val="center"/>
        <w:outlineLvl w:val="0"/>
        <w:rPr>
          <w:rFonts w:ascii="仿宋_GB2312" w:eastAsia="仿宋_GB2312"/>
          <w:b/>
          <w:color w:val="auto"/>
          <w:sz w:val="36"/>
          <w:szCs w:val="36"/>
        </w:rPr>
        <w:sectPr>
          <w:headerReference r:id="rId10" w:type="first"/>
          <w:footerReference r:id="rId13" w:type="first"/>
          <w:headerReference r:id="rId8" w:type="default"/>
          <w:footerReference r:id="rId11" w:type="default"/>
          <w:headerReference r:id="rId9" w:type="even"/>
          <w:footerReference r:id="rId12" w:type="even"/>
          <w:pgSz w:w="11906" w:h="16838"/>
          <w:pgMar w:top="1247" w:right="1418" w:bottom="1418" w:left="1418" w:header="851" w:footer="567" w:gutter="0"/>
          <w:cols w:space="720" w:num="1"/>
        </w:sectPr>
      </w:pPr>
    </w:p>
    <w:p>
      <w:pPr>
        <w:spacing w:line="360" w:lineRule="auto"/>
        <w:jc w:val="center"/>
        <w:outlineLvl w:val="0"/>
        <w:rPr>
          <w:rFonts w:ascii="仿宋_GB2312" w:eastAsia="仿宋_GB2312"/>
          <w:b/>
          <w:color w:val="auto"/>
          <w:sz w:val="36"/>
          <w:szCs w:val="36"/>
        </w:rPr>
      </w:pPr>
      <w:r>
        <w:rPr>
          <w:rFonts w:hint="eastAsia" w:ascii="仿宋_GB2312" w:eastAsia="仿宋_GB2312"/>
          <w:b/>
          <w:color w:val="auto"/>
          <w:sz w:val="36"/>
          <w:szCs w:val="36"/>
        </w:rPr>
        <w:t>第四部分 项目技术规范和服务要求</w:t>
      </w:r>
      <w:bookmarkStart w:id="416" w:name="_Toc13823"/>
      <w:bookmarkStart w:id="417" w:name="_Toc8240"/>
      <w:bookmarkStart w:id="418" w:name="_Toc302396102"/>
      <w:bookmarkStart w:id="419" w:name="_Toc30830"/>
      <w:bookmarkStart w:id="420" w:name="_Toc18363"/>
      <w:bookmarkStart w:id="421" w:name="_Toc11082"/>
    </w:p>
    <w:bookmarkEnd w:id="416"/>
    <w:bookmarkEnd w:id="417"/>
    <w:bookmarkEnd w:id="418"/>
    <w:bookmarkEnd w:id="419"/>
    <w:bookmarkEnd w:id="420"/>
    <w:bookmarkEnd w:id="421"/>
    <w:p>
      <w:pPr>
        <w:pStyle w:val="9"/>
        <w:snapToGrid w:val="0"/>
        <w:spacing w:line="360" w:lineRule="auto"/>
        <w:outlineLvl w:val="0"/>
        <w:rPr>
          <w:rFonts w:ascii="仿宋_GB2312" w:hAnsi="宋体" w:eastAsia="仿宋_GB2312"/>
          <w:color w:val="auto"/>
          <w:szCs w:val="24"/>
        </w:rPr>
      </w:pPr>
      <w:r>
        <w:rPr>
          <w:rFonts w:hint="eastAsia" w:ascii="仿宋_GB2312" w:hAnsi="宋体" w:eastAsia="仿宋_GB2312"/>
          <w:color w:val="auto"/>
          <w:szCs w:val="24"/>
        </w:rPr>
        <w:t>项目编号：</w:t>
      </w:r>
      <w:r>
        <w:rPr>
          <w:rFonts w:hint="eastAsia" w:ascii="仿宋_GB2312" w:hAnsi="宋体" w:eastAsia="仿宋_GB2312"/>
          <w:color w:val="auto"/>
        </w:rPr>
        <w:t xml:space="preserve"> </w:t>
      </w:r>
    </w:p>
    <w:p>
      <w:pPr>
        <w:pStyle w:val="9"/>
        <w:snapToGrid w:val="0"/>
        <w:spacing w:line="360" w:lineRule="auto"/>
        <w:outlineLvl w:val="0"/>
        <w:rPr>
          <w:rFonts w:ascii="仿宋_GB2312" w:hAnsi="宋体" w:eastAsia="仿宋_GB2312"/>
          <w:color w:val="auto"/>
          <w:szCs w:val="24"/>
        </w:rPr>
      </w:pPr>
      <w:r>
        <w:rPr>
          <w:rFonts w:hint="eastAsia" w:ascii="仿宋_GB2312" w:hAnsi="宋体" w:eastAsia="仿宋_GB2312"/>
          <w:color w:val="auto"/>
          <w:szCs w:val="24"/>
        </w:rPr>
        <w:t>采购单位名称：</w:t>
      </w:r>
      <w:r>
        <w:rPr>
          <w:rFonts w:hint="eastAsia" w:ascii="仿宋_GB2312" w:hAnsi="宋体" w:eastAsia="仿宋_GB2312"/>
          <w:color w:val="auto"/>
          <w:u w:val="single"/>
        </w:rPr>
        <w:t>浙江大学国际健康医学研究院2022-2023年度工程项目招标代理服务采购项目</w:t>
      </w:r>
    </w:p>
    <w:p>
      <w:pPr>
        <w:pStyle w:val="9"/>
        <w:snapToGrid w:val="0"/>
        <w:spacing w:before="120" w:line="360" w:lineRule="auto"/>
        <w:outlineLvl w:val="0"/>
        <w:rPr>
          <w:rFonts w:ascii="仿宋_GB2312" w:hAnsi="宋体" w:eastAsia="仿宋_GB2312"/>
          <w:color w:val="auto"/>
          <w:szCs w:val="24"/>
        </w:rPr>
      </w:pPr>
      <w:r>
        <w:rPr>
          <w:rFonts w:hint="eastAsia" w:ascii="仿宋_GB2312" w:hAnsi="宋体" w:eastAsia="仿宋_GB2312"/>
          <w:color w:val="auto"/>
          <w:szCs w:val="24"/>
        </w:rPr>
        <w:t>一、项目内容</w:t>
      </w:r>
    </w:p>
    <w:p>
      <w:pPr>
        <w:pStyle w:val="9"/>
        <w:snapToGrid w:val="0"/>
        <w:spacing w:line="360" w:lineRule="auto"/>
        <w:outlineLvl w:val="0"/>
        <w:rPr>
          <w:rFonts w:ascii="仿宋_GB2312" w:hAnsi="宋体" w:eastAsia="仿宋_GB2312"/>
          <w:color w:val="auto"/>
          <w:szCs w:val="24"/>
        </w:rPr>
      </w:pPr>
      <w:r>
        <w:rPr>
          <w:rFonts w:hint="eastAsia" w:ascii="仿宋_GB2312" w:hAnsi="宋体" w:eastAsia="仿宋_GB2312"/>
          <w:color w:val="auto"/>
          <w:szCs w:val="24"/>
        </w:rPr>
        <w:t xml:space="preserve">    选择协议服务单位，接受招标人的委托，对委托项目进行招标代理，内容包括工程类的招标代理。</w:t>
      </w:r>
    </w:p>
    <w:p>
      <w:pPr>
        <w:pStyle w:val="9"/>
        <w:snapToGrid w:val="0"/>
        <w:spacing w:after="120" w:line="360" w:lineRule="auto"/>
        <w:outlineLvl w:val="0"/>
        <w:rPr>
          <w:rFonts w:ascii="仿宋_GB2312" w:hAnsi="宋体" w:eastAsia="仿宋_GB2312"/>
          <w:color w:val="auto"/>
          <w:szCs w:val="24"/>
        </w:rPr>
      </w:pPr>
      <w:r>
        <w:rPr>
          <w:rFonts w:hint="eastAsia" w:ascii="仿宋_GB2312" w:hAnsi="宋体" w:eastAsia="仿宋_GB2312"/>
          <w:color w:val="auto"/>
          <w:szCs w:val="24"/>
        </w:rPr>
        <w:t>二、技术需求表</w:t>
      </w:r>
    </w:p>
    <w:tbl>
      <w:tblPr>
        <w:tblStyle w:val="14"/>
        <w:tblW w:w="970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83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384" w:type="dxa"/>
            <w:tcBorders>
              <w:top w:val="single" w:color="auto" w:sz="4" w:space="0"/>
              <w:left w:val="single" w:color="auto" w:sz="4" w:space="0"/>
              <w:bottom w:val="single" w:color="auto" w:sz="4" w:space="0"/>
              <w:right w:val="single" w:color="auto" w:sz="4" w:space="0"/>
            </w:tcBorders>
            <w:vAlign w:val="center"/>
          </w:tcPr>
          <w:p>
            <w:pPr>
              <w:pStyle w:val="9"/>
              <w:snapToGrid w:val="0"/>
              <w:spacing w:before="120" w:after="120" w:line="360" w:lineRule="auto"/>
              <w:jc w:val="center"/>
              <w:outlineLvl w:val="0"/>
              <w:rPr>
                <w:rFonts w:ascii="仿宋_GB2312" w:hAnsi="宋体" w:eastAsia="仿宋_GB2312"/>
                <w:color w:val="auto"/>
                <w:szCs w:val="24"/>
              </w:rPr>
            </w:pPr>
            <w:r>
              <w:rPr>
                <w:rFonts w:hint="eastAsia" w:ascii="仿宋_GB2312" w:hAnsi="宋体" w:eastAsia="仿宋_GB2312"/>
                <w:color w:val="auto"/>
                <w:szCs w:val="24"/>
              </w:rPr>
              <w:t>项目具体要求</w:t>
            </w:r>
          </w:p>
        </w:tc>
        <w:tc>
          <w:tcPr>
            <w:tcW w:w="8320" w:type="dxa"/>
            <w:tcBorders>
              <w:top w:val="single" w:color="auto" w:sz="4" w:space="0"/>
              <w:left w:val="single" w:color="auto" w:sz="4" w:space="0"/>
              <w:right w:val="single" w:color="auto" w:sz="4" w:space="0"/>
            </w:tcBorders>
            <w:vAlign w:val="center"/>
          </w:tcPr>
          <w:p>
            <w:pPr>
              <w:pStyle w:val="9"/>
              <w:snapToGrid w:val="0"/>
              <w:spacing w:line="360" w:lineRule="auto"/>
              <w:outlineLvl w:val="0"/>
              <w:rPr>
                <w:rFonts w:ascii="仿宋_GB2312" w:hAnsi="宋体" w:eastAsia="仿宋_GB2312"/>
                <w:color w:val="auto"/>
                <w:szCs w:val="24"/>
              </w:rPr>
            </w:pPr>
            <w:r>
              <w:rPr>
                <w:rFonts w:hint="eastAsia" w:ascii="仿宋_GB2312" w:hAnsi="宋体" w:eastAsia="仿宋_GB2312"/>
                <w:color w:val="auto"/>
                <w:szCs w:val="24"/>
              </w:rPr>
              <w:t>本项目招标代理服务费采用费率招标。投标人应根据本招标文件和采购人所提供的相关信息及招标代理范围、内容，参照费率计价表在此基础上由投标单位结合自身招标代理业务能力和力量的投入进行折扣率竞争报价；超出费率计价表作废标处理；今后结算按项目实施部分的单项施工及其他中标价为基数，按费率计价表*（投标折扣率）结算（投标人应充分考虑代理期间各类价格的风险、物价上涨因素、国家政策性调整风险和自然条件，中标折扣率一次性包干，今后不作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1384" w:type="dxa"/>
            <w:tcBorders>
              <w:top w:val="single" w:color="auto" w:sz="4" w:space="0"/>
              <w:left w:val="single" w:color="auto" w:sz="4" w:space="0"/>
              <w:bottom w:val="single" w:color="auto" w:sz="4" w:space="0"/>
              <w:right w:val="single" w:color="auto" w:sz="4" w:space="0"/>
            </w:tcBorders>
            <w:vAlign w:val="center"/>
          </w:tcPr>
          <w:p>
            <w:pPr>
              <w:pStyle w:val="9"/>
              <w:snapToGrid w:val="0"/>
              <w:spacing w:line="360" w:lineRule="auto"/>
              <w:jc w:val="center"/>
              <w:outlineLvl w:val="0"/>
              <w:rPr>
                <w:rFonts w:ascii="仿宋_GB2312" w:hAnsi="宋体" w:eastAsia="仿宋_GB2312"/>
                <w:color w:val="auto"/>
                <w:szCs w:val="24"/>
              </w:rPr>
            </w:pPr>
            <w:r>
              <w:rPr>
                <w:rFonts w:hint="eastAsia" w:ascii="仿宋_GB2312" w:hAnsi="宋体" w:eastAsia="仿宋_GB2312"/>
                <w:color w:val="auto"/>
                <w:szCs w:val="24"/>
              </w:rPr>
              <w:t>服务内容和要求</w:t>
            </w:r>
          </w:p>
        </w:tc>
        <w:tc>
          <w:tcPr>
            <w:tcW w:w="8320" w:type="dxa"/>
            <w:tcBorders>
              <w:top w:val="single" w:color="auto" w:sz="4" w:space="0"/>
              <w:left w:val="single" w:color="auto" w:sz="4" w:space="0"/>
              <w:bottom w:val="single" w:color="auto" w:sz="4" w:space="0"/>
              <w:right w:val="single" w:color="auto" w:sz="4" w:space="0"/>
            </w:tcBorders>
            <w:vAlign w:val="center"/>
          </w:tcPr>
          <w:p>
            <w:pPr>
              <w:pStyle w:val="9"/>
              <w:snapToGrid w:val="0"/>
              <w:spacing w:line="360" w:lineRule="auto"/>
              <w:outlineLvl w:val="0"/>
              <w:rPr>
                <w:rFonts w:ascii="仿宋_GB2312" w:hAnsi="宋体" w:eastAsia="仿宋_GB2312"/>
                <w:color w:val="auto"/>
                <w:szCs w:val="24"/>
              </w:rPr>
            </w:pPr>
            <w:r>
              <w:rPr>
                <w:rFonts w:hint="eastAsia" w:ascii="仿宋_GB2312" w:hAnsi="宋体" w:eastAsia="仿宋_GB2312"/>
                <w:color w:val="auto"/>
                <w:szCs w:val="24"/>
              </w:rPr>
              <w:t>具体内容如下（包括但不限于）：</w:t>
            </w:r>
          </w:p>
          <w:p>
            <w:pPr>
              <w:pStyle w:val="9"/>
              <w:snapToGrid w:val="0"/>
              <w:spacing w:line="360" w:lineRule="auto"/>
              <w:outlineLvl w:val="0"/>
              <w:rPr>
                <w:rFonts w:ascii="仿宋_GB2312" w:hAnsi="宋体" w:eastAsia="仿宋_GB2312"/>
                <w:color w:val="auto"/>
                <w:szCs w:val="24"/>
              </w:rPr>
            </w:pPr>
            <w:r>
              <w:rPr>
                <w:rFonts w:hint="eastAsia" w:ascii="仿宋_GB2312" w:hAnsi="宋体" w:eastAsia="仿宋_GB2312"/>
                <w:color w:val="auto"/>
                <w:szCs w:val="24"/>
              </w:rPr>
              <w:t>1、代拟招标方案；</w:t>
            </w:r>
          </w:p>
          <w:p>
            <w:pPr>
              <w:pStyle w:val="9"/>
              <w:snapToGrid w:val="0"/>
              <w:spacing w:line="360" w:lineRule="auto"/>
              <w:outlineLvl w:val="0"/>
              <w:rPr>
                <w:rFonts w:ascii="仿宋_GB2312" w:hAnsi="宋体" w:eastAsia="仿宋_GB2312"/>
                <w:color w:val="auto"/>
                <w:szCs w:val="24"/>
              </w:rPr>
            </w:pPr>
            <w:r>
              <w:rPr>
                <w:rFonts w:hint="eastAsia" w:ascii="仿宋_GB2312" w:hAnsi="宋体" w:eastAsia="仿宋_GB2312"/>
                <w:color w:val="auto"/>
                <w:szCs w:val="24"/>
              </w:rPr>
              <w:t>2、向招投标监督管理部门提出招标申请，发布招标公告；</w:t>
            </w:r>
          </w:p>
          <w:p>
            <w:pPr>
              <w:pStyle w:val="9"/>
              <w:snapToGrid w:val="0"/>
              <w:spacing w:line="360" w:lineRule="auto"/>
              <w:outlineLvl w:val="0"/>
              <w:rPr>
                <w:rFonts w:ascii="仿宋_GB2312" w:hAnsi="宋体" w:eastAsia="仿宋_GB2312"/>
                <w:color w:val="auto"/>
                <w:szCs w:val="24"/>
              </w:rPr>
            </w:pPr>
            <w:r>
              <w:rPr>
                <w:rFonts w:hint="eastAsia" w:ascii="仿宋_GB2312" w:hAnsi="宋体" w:eastAsia="仿宋_GB2312"/>
                <w:color w:val="auto"/>
                <w:szCs w:val="24"/>
              </w:rPr>
              <w:t>3、编制资格预审文件；</w:t>
            </w:r>
          </w:p>
          <w:p>
            <w:pPr>
              <w:pStyle w:val="9"/>
              <w:snapToGrid w:val="0"/>
              <w:spacing w:line="360" w:lineRule="auto"/>
              <w:outlineLvl w:val="0"/>
              <w:rPr>
                <w:rFonts w:ascii="仿宋_GB2312" w:hAnsi="宋体" w:eastAsia="仿宋_GB2312"/>
                <w:color w:val="auto"/>
                <w:szCs w:val="24"/>
              </w:rPr>
            </w:pPr>
            <w:r>
              <w:rPr>
                <w:rFonts w:hint="eastAsia" w:ascii="仿宋_GB2312" w:hAnsi="宋体" w:eastAsia="仿宋_GB2312"/>
                <w:color w:val="auto"/>
                <w:szCs w:val="24"/>
              </w:rPr>
              <w:t>4、组织接收投标申请人报名；</w:t>
            </w:r>
          </w:p>
          <w:p>
            <w:pPr>
              <w:pStyle w:val="9"/>
              <w:snapToGrid w:val="0"/>
              <w:spacing w:line="360" w:lineRule="auto"/>
              <w:outlineLvl w:val="0"/>
              <w:rPr>
                <w:rFonts w:ascii="仿宋_GB2312" w:hAnsi="宋体" w:eastAsia="仿宋_GB2312"/>
                <w:color w:val="auto"/>
                <w:szCs w:val="24"/>
              </w:rPr>
            </w:pPr>
            <w:r>
              <w:rPr>
                <w:rFonts w:hint="eastAsia" w:ascii="仿宋_GB2312" w:hAnsi="宋体" w:eastAsia="仿宋_GB2312"/>
                <w:color w:val="auto"/>
                <w:szCs w:val="24"/>
              </w:rPr>
              <w:t>5、审查潜在投标人资格，确定潜在投标人；</w:t>
            </w:r>
          </w:p>
          <w:p>
            <w:pPr>
              <w:pStyle w:val="9"/>
              <w:snapToGrid w:val="0"/>
              <w:spacing w:line="360" w:lineRule="auto"/>
              <w:outlineLvl w:val="0"/>
              <w:rPr>
                <w:rFonts w:ascii="仿宋_GB2312" w:hAnsi="宋体" w:eastAsia="仿宋_GB2312"/>
                <w:color w:val="auto"/>
                <w:szCs w:val="24"/>
              </w:rPr>
            </w:pPr>
            <w:r>
              <w:rPr>
                <w:rFonts w:hint="eastAsia" w:ascii="仿宋_GB2312" w:hAnsi="宋体" w:eastAsia="仿宋_GB2312"/>
                <w:color w:val="auto"/>
                <w:szCs w:val="24"/>
              </w:rPr>
              <w:t>6、编制招标文件；</w:t>
            </w:r>
          </w:p>
          <w:p>
            <w:pPr>
              <w:pStyle w:val="9"/>
              <w:snapToGrid w:val="0"/>
              <w:spacing w:line="360" w:lineRule="auto"/>
              <w:outlineLvl w:val="0"/>
              <w:rPr>
                <w:rFonts w:ascii="仿宋_GB2312" w:hAnsi="宋体" w:eastAsia="仿宋_GB2312"/>
                <w:color w:val="auto"/>
                <w:szCs w:val="24"/>
              </w:rPr>
            </w:pPr>
            <w:r>
              <w:rPr>
                <w:rFonts w:hint="eastAsia" w:ascii="仿宋_GB2312" w:hAnsi="宋体" w:eastAsia="仿宋_GB2312"/>
                <w:color w:val="auto"/>
                <w:szCs w:val="24"/>
              </w:rPr>
              <w:t>7、组织答疑；</w:t>
            </w:r>
          </w:p>
          <w:p>
            <w:pPr>
              <w:pStyle w:val="9"/>
              <w:snapToGrid w:val="0"/>
              <w:spacing w:line="360" w:lineRule="auto"/>
              <w:outlineLvl w:val="0"/>
              <w:rPr>
                <w:rFonts w:ascii="仿宋_GB2312" w:hAnsi="宋体" w:eastAsia="仿宋_GB2312"/>
                <w:color w:val="auto"/>
                <w:szCs w:val="24"/>
              </w:rPr>
            </w:pPr>
            <w:r>
              <w:rPr>
                <w:rFonts w:hint="eastAsia" w:ascii="仿宋_GB2312" w:hAnsi="宋体" w:eastAsia="仿宋_GB2312"/>
                <w:color w:val="auto"/>
                <w:szCs w:val="24"/>
              </w:rPr>
              <w:t>8、组织开标、评标；</w:t>
            </w:r>
          </w:p>
          <w:p>
            <w:pPr>
              <w:pStyle w:val="9"/>
              <w:snapToGrid w:val="0"/>
              <w:spacing w:line="360" w:lineRule="auto"/>
              <w:outlineLvl w:val="0"/>
              <w:rPr>
                <w:rFonts w:ascii="仿宋_GB2312" w:hAnsi="宋体" w:eastAsia="仿宋_GB2312"/>
                <w:color w:val="auto"/>
                <w:szCs w:val="24"/>
              </w:rPr>
            </w:pPr>
            <w:r>
              <w:rPr>
                <w:rFonts w:hint="eastAsia" w:ascii="仿宋_GB2312" w:hAnsi="宋体" w:eastAsia="仿宋_GB2312"/>
                <w:color w:val="auto"/>
                <w:szCs w:val="24"/>
              </w:rPr>
              <w:t>9、草拟合同并协助合同谈判；</w:t>
            </w:r>
          </w:p>
          <w:p>
            <w:pPr>
              <w:pStyle w:val="9"/>
              <w:snapToGrid w:val="0"/>
              <w:spacing w:line="360" w:lineRule="auto"/>
              <w:outlineLvl w:val="0"/>
              <w:rPr>
                <w:rFonts w:ascii="仿宋_GB2312" w:hAnsi="宋体" w:eastAsia="仿宋_GB2312"/>
                <w:color w:val="auto"/>
                <w:szCs w:val="24"/>
              </w:rPr>
            </w:pPr>
            <w:r>
              <w:rPr>
                <w:rFonts w:hint="eastAsia" w:ascii="仿宋_GB2312" w:hAnsi="宋体" w:eastAsia="仿宋_GB2312"/>
                <w:color w:val="auto"/>
                <w:szCs w:val="24"/>
              </w:rPr>
              <w:t>10、编制招投标情况书面报告；</w:t>
            </w:r>
          </w:p>
          <w:p>
            <w:pPr>
              <w:pStyle w:val="9"/>
              <w:snapToGrid w:val="0"/>
              <w:spacing w:line="360" w:lineRule="auto"/>
              <w:outlineLvl w:val="0"/>
              <w:rPr>
                <w:rFonts w:ascii="仿宋_GB2312" w:hAnsi="宋体" w:eastAsia="仿宋_GB2312"/>
                <w:color w:val="auto"/>
                <w:szCs w:val="24"/>
              </w:rPr>
            </w:pPr>
            <w:r>
              <w:rPr>
                <w:rFonts w:hint="eastAsia" w:ascii="仿宋_GB2312" w:hAnsi="宋体" w:eastAsia="仿宋_GB2312"/>
                <w:color w:val="auto"/>
                <w:szCs w:val="24"/>
              </w:rPr>
              <w:t>11、负责起草询标纪要，分析投标文件，负责询标会议的会务安排及有关事项的落实；</w:t>
            </w:r>
          </w:p>
          <w:p>
            <w:pPr>
              <w:pStyle w:val="9"/>
              <w:snapToGrid w:val="0"/>
              <w:spacing w:line="360" w:lineRule="auto"/>
              <w:outlineLvl w:val="0"/>
              <w:rPr>
                <w:rFonts w:ascii="仿宋_GB2312" w:hAnsi="宋体" w:eastAsia="仿宋_GB2312"/>
                <w:color w:val="auto"/>
                <w:szCs w:val="24"/>
              </w:rPr>
            </w:pPr>
            <w:r>
              <w:rPr>
                <w:rFonts w:hint="eastAsia" w:ascii="仿宋_GB2312" w:hAnsi="宋体" w:eastAsia="仿宋_GB2312"/>
                <w:color w:val="auto"/>
                <w:szCs w:val="24"/>
              </w:rPr>
              <w:t>12、工程类的招标代理服务中标单位同时承担采购人的项目清单预算编制工作，预算编制费用另行参照国家相关标准或双方达成的意见收费；</w:t>
            </w:r>
          </w:p>
          <w:p>
            <w:pPr>
              <w:pStyle w:val="9"/>
              <w:snapToGrid w:val="0"/>
              <w:spacing w:line="360" w:lineRule="auto"/>
              <w:outlineLvl w:val="0"/>
              <w:rPr>
                <w:rFonts w:ascii="仿宋_GB2312" w:hAnsi="宋体" w:eastAsia="仿宋_GB2312"/>
                <w:color w:val="auto"/>
                <w:szCs w:val="24"/>
              </w:rPr>
            </w:pPr>
            <w:r>
              <w:rPr>
                <w:rFonts w:hint="eastAsia" w:ascii="仿宋_GB2312" w:hAnsi="宋体" w:eastAsia="仿宋_GB2312"/>
                <w:color w:val="auto"/>
                <w:szCs w:val="24"/>
              </w:rPr>
              <w:t>13、与招标采购有关的其它事宜。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1384" w:type="dxa"/>
            <w:tcBorders>
              <w:top w:val="single" w:color="auto" w:sz="4" w:space="0"/>
              <w:left w:val="single" w:color="auto" w:sz="4" w:space="0"/>
              <w:bottom w:val="single" w:color="auto" w:sz="4" w:space="0"/>
              <w:right w:val="single" w:color="auto" w:sz="4" w:space="0"/>
            </w:tcBorders>
            <w:vAlign w:val="center"/>
          </w:tcPr>
          <w:p>
            <w:pPr>
              <w:pStyle w:val="9"/>
              <w:snapToGrid w:val="0"/>
              <w:spacing w:line="360" w:lineRule="auto"/>
              <w:jc w:val="center"/>
              <w:outlineLvl w:val="0"/>
              <w:rPr>
                <w:rFonts w:ascii="仿宋_GB2312" w:hAnsi="宋体" w:eastAsia="仿宋_GB2312"/>
                <w:color w:val="auto"/>
                <w:szCs w:val="24"/>
              </w:rPr>
            </w:pPr>
            <w:r>
              <w:rPr>
                <w:rFonts w:hint="eastAsia" w:ascii="仿宋_GB2312" w:hAnsi="宋体" w:eastAsia="仿宋_GB2312"/>
                <w:color w:val="auto"/>
                <w:szCs w:val="24"/>
              </w:rPr>
              <w:t>招标类型</w:t>
            </w:r>
          </w:p>
        </w:tc>
        <w:tc>
          <w:tcPr>
            <w:tcW w:w="8320" w:type="dxa"/>
            <w:tcBorders>
              <w:top w:val="single" w:color="auto" w:sz="4" w:space="0"/>
              <w:left w:val="single" w:color="auto" w:sz="4" w:space="0"/>
              <w:bottom w:val="single" w:color="auto" w:sz="4" w:space="0"/>
              <w:right w:val="single" w:color="auto" w:sz="4" w:space="0"/>
            </w:tcBorders>
            <w:vAlign w:val="center"/>
          </w:tcPr>
          <w:p>
            <w:pPr>
              <w:pStyle w:val="9"/>
              <w:snapToGrid w:val="0"/>
              <w:spacing w:line="360" w:lineRule="auto"/>
              <w:outlineLvl w:val="0"/>
              <w:rPr>
                <w:rFonts w:ascii="仿宋_GB2312" w:hAnsi="宋体" w:eastAsia="仿宋_GB2312"/>
                <w:color w:val="auto"/>
                <w:szCs w:val="24"/>
              </w:rPr>
            </w:pPr>
            <w:r>
              <w:rPr>
                <w:rFonts w:hint="eastAsia" w:ascii="仿宋_GB2312" w:hAnsi="宋体" w:eastAsia="仿宋_GB2312"/>
                <w:color w:val="auto"/>
                <w:szCs w:val="24"/>
              </w:rPr>
              <w:t>包括工程类的招标代理（不含纳入基建及政府集中采购项目的招标代理）</w:t>
            </w:r>
          </w:p>
        </w:tc>
      </w:tr>
    </w:tbl>
    <w:p>
      <w:pPr>
        <w:rPr>
          <w:rFonts w:ascii="仿宋_GB2312" w:hAnsi="宋体" w:eastAsia="仿宋_GB2312"/>
          <w:color w:val="auto"/>
        </w:rPr>
      </w:pPr>
      <w:r>
        <w:rPr>
          <w:rFonts w:hint="eastAsia" w:ascii="仿宋_GB2312" w:hAnsi="宋体" w:eastAsia="仿宋_GB2312"/>
          <w:color w:val="auto"/>
        </w:rPr>
        <w:br w:type="page"/>
      </w:r>
    </w:p>
    <w:p>
      <w:pPr>
        <w:pStyle w:val="9"/>
        <w:snapToGrid w:val="0"/>
        <w:spacing w:after="120" w:line="360" w:lineRule="auto"/>
        <w:outlineLvl w:val="0"/>
        <w:rPr>
          <w:rFonts w:ascii="仿宋_GB2312" w:hAnsi="宋体" w:eastAsia="仿宋_GB2312"/>
          <w:color w:val="auto"/>
          <w:szCs w:val="24"/>
        </w:rPr>
      </w:pPr>
    </w:p>
    <w:p>
      <w:pPr>
        <w:pStyle w:val="9"/>
        <w:snapToGrid w:val="0"/>
        <w:spacing w:after="120" w:line="360" w:lineRule="auto"/>
        <w:outlineLvl w:val="0"/>
        <w:rPr>
          <w:rFonts w:ascii="仿宋_GB2312" w:hAnsi="宋体" w:eastAsia="仿宋_GB2312"/>
          <w:color w:val="auto"/>
          <w:szCs w:val="24"/>
        </w:rPr>
      </w:pPr>
      <w:r>
        <w:rPr>
          <w:rFonts w:hint="eastAsia" w:ascii="仿宋_GB2312" w:hAnsi="宋体" w:eastAsia="仿宋_GB2312"/>
          <w:color w:val="auto"/>
          <w:szCs w:val="24"/>
        </w:rPr>
        <w:t>三、商务要求表</w:t>
      </w:r>
    </w:p>
    <w:tbl>
      <w:tblPr>
        <w:tblStyle w:val="14"/>
        <w:tblW w:w="971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0"/>
        <w:gridCol w:w="7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9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宋体" w:eastAsia="仿宋_GB2312"/>
                <w:color w:val="auto"/>
              </w:rPr>
            </w:pPr>
            <w:r>
              <w:rPr>
                <w:rFonts w:hint="eastAsia" w:ascii="仿宋_GB2312" w:hAnsi="宋体" w:eastAsia="仿宋_GB2312"/>
                <w:color w:val="auto"/>
              </w:rPr>
              <w:t>服务期</w:t>
            </w:r>
          </w:p>
        </w:tc>
        <w:tc>
          <w:tcPr>
            <w:tcW w:w="7813" w:type="dxa"/>
            <w:tcBorders>
              <w:top w:val="single" w:color="auto" w:sz="4" w:space="0"/>
              <w:left w:val="single" w:color="auto" w:sz="4" w:space="0"/>
              <w:bottom w:val="single" w:color="auto" w:sz="4" w:space="0"/>
              <w:right w:val="single" w:color="auto" w:sz="4" w:space="0"/>
            </w:tcBorders>
            <w:vAlign w:val="center"/>
          </w:tcPr>
          <w:p>
            <w:pPr>
              <w:pStyle w:val="20"/>
              <w:rPr>
                <w:rFonts w:ascii="仿宋_GB2312"/>
                <w:color w:val="auto"/>
                <w:sz w:val="21"/>
              </w:rPr>
            </w:pPr>
            <w:r>
              <w:rPr>
                <w:rFonts w:hint="eastAsia" w:ascii="仿宋_GB2312" w:hAnsi="宋体"/>
                <w:color w:val="auto"/>
                <w:sz w:val="21"/>
                <w:shd w:val="clear" w:color="auto" w:fill="7E7E7E" w:themeFill="background1" w:themeFillShade="7F"/>
              </w:rPr>
              <w:t>壹</w:t>
            </w:r>
            <w:r>
              <w:rPr>
                <w:rFonts w:hint="eastAsia" w:ascii="仿宋_GB2312" w:hAnsi="宋体"/>
                <w:color w:val="auto"/>
                <w:sz w:val="21"/>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900" w:type="dxa"/>
            <w:tcBorders>
              <w:top w:val="single" w:color="auto" w:sz="4" w:space="0"/>
              <w:left w:val="single" w:color="auto" w:sz="4" w:space="0"/>
              <w:right w:val="single" w:color="auto" w:sz="4" w:space="0"/>
            </w:tcBorders>
            <w:vAlign w:val="center"/>
          </w:tcPr>
          <w:p>
            <w:pPr>
              <w:snapToGrid w:val="0"/>
              <w:spacing w:line="360" w:lineRule="auto"/>
              <w:jc w:val="center"/>
              <w:rPr>
                <w:rFonts w:ascii="仿宋_GB2312" w:hAnsi="宋体" w:eastAsia="仿宋_GB2312"/>
                <w:color w:val="auto"/>
              </w:rPr>
            </w:pPr>
            <w:r>
              <w:rPr>
                <w:rFonts w:hint="eastAsia" w:ascii="仿宋_GB2312" w:hAnsi="宋体" w:eastAsia="仿宋_GB2312"/>
                <w:color w:val="auto"/>
              </w:rPr>
              <w:t>采购人对项目的特殊要求及说明</w:t>
            </w:r>
          </w:p>
        </w:tc>
        <w:tc>
          <w:tcPr>
            <w:tcW w:w="7813" w:type="dxa"/>
            <w:tcBorders>
              <w:top w:val="single" w:color="auto" w:sz="4" w:space="0"/>
              <w:left w:val="single" w:color="auto" w:sz="4" w:space="0"/>
              <w:right w:val="single" w:color="auto" w:sz="4" w:space="0"/>
            </w:tcBorders>
            <w:vAlign w:val="center"/>
          </w:tcPr>
          <w:p>
            <w:pPr>
              <w:pStyle w:val="9"/>
              <w:snapToGrid w:val="0"/>
              <w:spacing w:line="360" w:lineRule="auto"/>
              <w:outlineLvl w:val="0"/>
              <w:rPr>
                <w:rFonts w:ascii="仿宋_GB2312" w:hAnsi="宋体" w:eastAsia="仿宋_GB2312"/>
                <w:bCs/>
                <w:color w:val="auto"/>
                <w:szCs w:val="24"/>
              </w:rPr>
            </w:pPr>
            <w:r>
              <w:rPr>
                <w:rFonts w:hint="eastAsia" w:ascii="仿宋_GB2312" w:hAnsi="宋体" w:eastAsia="仿宋_GB2312"/>
                <w:color w:val="auto"/>
                <w:szCs w:val="24"/>
              </w:rPr>
              <w:t>所有资信业绩材料复印件必须和原件一致，若未提供原件或与原件不一致，则不进入评分。</w:t>
            </w:r>
          </w:p>
        </w:tc>
      </w:tr>
    </w:tbl>
    <w:p>
      <w:pPr>
        <w:widowControl/>
        <w:tabs>
          <w:tab w:val="left" w:pos="272"/>
          <w:tab w:val="right" w:pos="14173"/>
        </w:tabs>
        <w:spacing w:line="360" w:lineRule="auto"/>
        <w:jc w:val="left"/>
        <w:rPr>
          <w:rFonts w:ascii="仿宋_GB2312" w:hAnsi="宋体" w:eastAsia="仿宋_GB2312" w:cs="宋体"/>
          <w:color w:val="auto"/>
          <w:kern w:val="0"/>
          <w:sz w:val="24"/>
        </w:rPr>
      </w:pPr>
    </w:p>
    <w:p>
      <w:pPr>
        <w:widowControl/>
        <w:tabs>
          <w:tab w:val="left" w:pos="272"/>
          <w:tab w:val="right" w:pos="14173"/>
        </w:tabs>
        <w:spacing w:line="360" w:lineRule="auto"/>
        <w:jc w:val="left"/>
        <w:rPr>
          <w:rFonts w:ascii="仿宋_GB2312" w:hAnsi="宋体" w:eastAsia="仿宋_GB2312" w:cs="宋体"/>
          <w:color w:val="auto"/>
          <w:kern w:val="0"/>
          <w:sz w:val="24"/>
        </w:rPr>
      </w:pPr>
    </w:p>
    <w:p>
      <w:pPr>
        <w:widowControl/>
        <w:tabs>
          <w:tab w:val="left" w:pos="272"/>
          <w:tab w:val="right" w:pos="14173"/>
        </w:tabs>
        <w:spacing w:line="360" w:lineRule="auto"/>
        <w:jc w:val="left"/>
        <w:rPr>
          <w:rFonts w:ascii="仿宋_GB2312" w:hAnsi="宋体" w:eastAsia="仿宋_GB2312" w:cs="宋体"/>
          <w:color w:val="auto"/>
          <w:kern w:val="0"/>
          <w:sz w:val="24"/>
        </w:rPr>
      </w:pPr>
    </w:p>
    <w:p>
      <w:pPr>
        <w:widowControl/>
        <w:tabs>
          <w:tab w:val="left" w:pos="272"/>
          <w:tab w:val="right" w:pos="14173"/>
        </w:tabs>
        <w:spacing w:line="360" w:lineRule="auto"/>
        <w:jc w:val="left"/>
        <w:rPr>
          <w:rFonts w:ascii="仿宋_GB2312" w:hAnsi="宋体" w:eastAsia="仿宋_GB2312" w:cs="宋体"/>
          <w:color w:val="auto"/>
          <w:kern w:val="0"/>
          <w:sz w:val="24"/>
        </w:rPr>
      </w:pPr>
    </w:p>
    <w:p>
      <w:pPr>
        <w:widowControl/>
        <w:tabs>
          <w:tab w:val="left" w:pos="272"/>
          <w:tab w:val="right" w:pos="14173"/>
        </w:tabs>
        <w:spacing w:line="360" w:lineRule="auto"/>
        <w:jc w:val="left"/>
        <w:rPr>
          <w:rFonts w:ascii="仿宋_GB2312" w:hAnsi="宋体" w:eastAsia="仿宋_GB2312" w:cs="宋体"/>
          <w:color w:val="auto"/>
          <w:kern w:val="0"/>
          <w:sz w:val="24"/>
        </w:rPr>
      </w:pPr>
    </w:p>
    <w:p>
      <w:pPr>
        <w:widowControl/>
        <w:tabs>
          <w:tab w:val="left" w:pos="272"/>
          <w:tab w:val="right" w:pos="14173"/>
        </w:tabs>
        <w:spacing w:line="360" w:lineRule="auto"/>
        <w:jc w:val="left"/>
        <w:rPr>
          <w:rFonts w:ascii="仿宋_GB2312" w:hAnsi="宋体" w:eastAsia="仿宋_GB2312" w:cs="宋体"/>
          <w:color w:val="auto"/>
          <w:kern w:val="0"/>
          <w:sz w:val="24"/>
        </w:rPr>
      </w:pPr>
      <w:r>
        <w:rPr>
          <w:rFonts w:hint="eastAsia" w:ascii="仿宋_GB2312" w:hAnsi="宋体" w:eastAsia="仿宋_GB2312"/>
          <w:color w:val="auto"/>
          <w:sz w:val="24"/>
        </w:rPr>
        <w:t>费率计价表</w:t>
      </w:r>
    </w:p>
    <w:p>
      <w:pPr>
        <w:tabs>
          <w:tab w:val="left" w:pos="4125"/>
        </w:tabs>
        <w:spacing w:line="360" w:lineRule="auto"/>
        <w:jc w:val="center"/>
        <w:rPr>
          <w:color w:val="auto"/>
          <w:spacing w:val="20"/>
          <w:sz w:val="32"/>
        </w:rPr>
      </w:pPr>
      <w:r>
        <w:rPr>
          <w:color w:val="auto"/>
          <w:spacing w:val="20"/>
          <w:sz w:val="32"/>
        </w:rPr>
        <w:t>招标代理服务收费标准</w:t>
      </w:r>
      <w:r>
        <w:rPr>
          <w:rFonts w:hint="eastAsia"/>
          <w:color w:val="auto"/>
          <w:spacing w:val="20"/>
          <w:sz w:val="32"/>
        </w:rPr>
        <w:t xml:space="preserve"> </w:t>
      </w:r>
    </w:p>
    <w:p>
      <w:pPr>
        <w:tabs>
          <w:tab w:val="left" w:pos="0"/>
        </w:tabs>
        <w:spacing w:line="360" w:lineRule="auto"/>
        <w:ind w:firstLine="2240" w:firstLineChars="800"/>
        <w:rPr>
          <w:color w:val="auto"/>
          <w:spacing w:val="20"/>
          <w:sz w:val="24"/>
        </w:rPr>
      </w:pPr>
    </w:p>
    <w:tbl>
      <w:tblPr>
        <w:tblStyle w:val="14"/>
        <w:tblW w:w="946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28"/>
        <w:gridCol w:w="2340"/>
        <w:gridCol w:w="2160"/>
        <w:gridCol w:w="234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0" w:hRule="atLeast"/>
        </w:trPr>
        <w:tc>
          <w:tcPr>
            <w:tcW w:w="2628" w:type="dxa"/>
            <w:vMerge w:val="restart"/>
            <w:vAlign w:val="center"/>
          </w:tcPr>
          <w:p>
            <w:pPr>
              <w:tabs>
                <w:tab w:val="left" w:pos="0"/>
              </w:tabs>
              <w:spacing w:line="360" w:lineRule="auto"/>
              <w:jc w:val="center"/>
              <w:rPr>
                <w:caps/>
                <w:color w:val="auto"/>
                <w:spacing w:val="20"/>
                <w:sz w:val="24"/>
              </w:rPr>
            </w:pPr>
            <w:r>
              <w:rPr>
                <w:rFonts w:hint="eastAsia"/>
                <w:color w:val="auto"/>
                <w:spacing w:val="20"/>
                <w:sz w:val="24"/>
              </w:rPr>
              <w:t>中标金额（万元）</w:t>
            </w:r>
          </w:p>
        </w:tc>
        <w:tc>
          <w:tcPr>
            <w:tcW w:w="6840" w:type="dxa"/>
            <w:gridSpan w:val="3"/>
            <w:tcBorders>
              <w:bottom w:val="single" w:color="auto" w:sz="4" w:space="0"/>
            </w:tcBorders>
            <w:vAlign w:val="center"/>
          </w:tcPr>
          <w:p>
            <w:pPr>
              <w:tabs>
                <w:tab w:val="left" w:pos="0"/>
              </w:tabs>
              <w:spacing w:line="360" w:lineRule="auto"/>
              <w:jc w:val="center"/>
              <w:rPr>
                <w:caps/>
                <w:color w:val="auto"/>
                <w:spacing w:val="20"/>
                <w:sz w:val="24"/>
              </w:rPr>
            </w:pPr>
            <w:r>
              <w:rPr>
                <w:rFonts w:hint="eastAsia"/>
                <w:color w:val="auto"/>
                <w:spacing w:val="20"/>
                <w:sz w:val="24"/>
              </w:rPr>
              <w:t>服务类型</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trPr>
        <w:tc>
          <w:tcPr>
            <w:tcW w:w="2628" w:type="dxa"/>
            <w:vMerge w:val="continue"/>
            <w:vAlign w:val="center"/>
          </w:tcPr>
          <w:p>
            <w:pPr>
              <w:tabs>
                <w:tab w:val="left" w:pos="0"/>
              </w:tabs>
              <w:spacing w:line="360" w:lineRule="auto"/>
              <w:jc w:val="center"/>
              <w:rPr>
                <w:color w:val="auto"/>
                <w:spacing w:val="20"/>
                <w:sz w:val="24"/>
              </w:rPr>
            </w:pPr>
          </w:p>
        </w:tc>
        <w:tc>
          <w:tcPr>
            <w:tcW w:w="2340" w:type="dxa"/>
            <w:tcBorders>
              <w:top w:val="single" w:color="auto" w:sz="4" w:space="0"/>
              <w:bottom w:val="single" w:color="auto" w:sz="4" w:space="0"/>
            </w:tcBorders>
            <w:vAlign w:val="center"/>
          </w:tcPr>
          <w:p>
            <w:pPr>
              <w:tabs>
                <w:tab w:val="left" w:pos="0"/>
              </w:tabs>
              <w:spacing w:line="360" w:lineRule="auto"/>
              <w:jc w:val="center"/>
              <w:rPr>
                <w:caps/>
                <w:color w:val="auto"/>
                <w:spacing w:val="20"/>
                <w:sz w:val="24"/>
              </w:rPr>
            </w:pPr>
            <w:r>
              <w:rPr>
                <w:rFonts w:hint="eastAsia"/>
                <w:color w:val="auto"/>
                <w:spacing w:val="20"/>
                <w:sz w:val="24"/>
              </w:rPr>
              <w:t>货物招标</w:t>
            </w:r>
          </w:p>
        </w:tc>
        <w:tc>
          <w:tcPr>
            <w:tcW w:w="2160" w:type="dxa"/>
            <w:tcBorders>
              <w:top w:val="single" w:color="auto" w:sz="4" w:space="0"/>
              <w:bottom w:val="single" w:color="auto" w:sz="4" w:space="0"/>
            </w:tcBorders>
            <w:vAlign w:val="center"/>
          </w:tcPr>
          <w:p>
            <w:pPr>
              <w:tabs>
                <w:tab w:val="left" w:pos="0"/>
              </w:tabs>
              <w:spacing w:line="360" w:lineRule="auto"/>
              <w:jc w:val="center"/>
              <w:rPr>
                <w:caps/>
                <w:color w:val="auto"/>
                <w:spacing w:val="20"/>
                <w:sz w:val="24"/>
              </w:rPr>
            </w:pPr>
            <w:r>
              <w:rPr>
                <w:rFonts w:hint="eastAsia"/>
                <w:color w:val="auto"/>
                <w:spacing w:val="20"/>
                <w:sz w:val="24"/>
              </w:rPr>
              <w:t>服务招标</w:t>
            </w:r>
          </w:p>
        </w:tc>
        <w:tc>
          <w:tcPr>
            <w:tcW w:w="2340" w:type="dxa"/>
            <w:tcBorders>
              <w:top w:val="single" w:color="auto" w:sz="4" w:space="0"/>
              <w:bottom w:val="single" w:color="auto" w:sz="4" w:space="0"/>
            </w:tcBorders>
            <w:vAlign w:val="center"/>
          </w:tcPr>
          <w:p>
            <w:pPr>
              <w:tabs>
                <w:tab w:val="left" w:pos="0"/>
              </w:tabs>
              <w:spacing w:line="360" w:lineRule="auto"/>
              <w:jc w:val="center"/>
              <w:rPr>
                <w:caps/>
                <w:color w:val="auto"/>
                <w:spacing w:val="20"/>
                <w:sz w:val="24"/>
              </w:rPr>
            </w:pPr>
            <w:r>
              <w:rPr>
                <w:rFonts w:hint="eastAsia"/>
                <w:color w:val="auto"/>
                <w:spacing w:val="20"/>
                <w:sz w:val="24"/>
              </w:rPr>
              <w:t>工程招标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0" w:hRule="atLeast"/>
        </w:trPr>
        <w:tc>
          <w:tcPr>
            <w:tcW w:w="2628" w:type="dxa"/>
            <w:vMerge w:val="continue"/>
            <w:vAlign w:val="center"/>
          </w:tcPr>
          <w:p>
            <w:pPr>
              <w:tabs>
                <w:tab w:val="left" w:pos="0"/>
              </w:tabs>
              <w:spacing w:line="360" w:lineRule="auto"/>
              <w:jc w:val="center"/>
              <w:rPr>
                <w:color w:val="auto"/>
                <w:spacing w:val="20"/>
                <w:sz w:val="24"/>
              </w:rPr>
            </w:pPr>
          </w:p>
        </w:tc>
        <w:tc>
          <w:tcPr>
            <w:tcW w:w="6840" w:type="dxa"/>
            <w:gridSpan w:val="3"/>
            <w:tcBorders>
              <w:top w:val="single" w:color="auto" w:sz="4" w:space="0"/>
            </w:tcBorders>
            <w:vAlign w:val="center"/>
          </w:tcPr>
          <w:p>
            <w:pPr>
              <w:tabs>
                <w:tab w:val="left" w:pos="0"/>
              </w:tabs>
              <w:spacing w:line="360" w:lineRule="auto"/>
              <w:jc w:val="center"/>
              <w:rPr>
                <w:color w:val="auto"/>
                <w:spacing w:val="20"/>
                <w:sz w:val="24"/>
              </w:rPr>
            </w:pPr>
            <w:r>
              <w:rPr>
                <w:rFonts w:hint="eastAsia"/>
                <w:color w:val="auto"/>
                <w:spacing w:val="20"/>
                <w:sz w:val="24"/>
              </w:rPr>
              <w:t>费率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vAlign w:val="center"/>
          </w:tcPr>
          <w:p>
            <w:pPr>
              <w:tabs>
                <w:tab w:val="left" w:pos="0"/>
              </w:tabs>
              <w:spacing w:line="360" w:lineRule="auto"/>
              <w:jc w:val="center"/>
              <w:rPr>
                <w:color w:val="auto"/>
                <w:spacing w:val="20"/>
                <w:sz w:val="24"/>
              </w:rPr>
            </w:pPr>
            <w:r>
              <w:rPr>
                <w:rFonts w:hint="eastAsia"/>
                <w:color w:val="auto"/>
                <w:spacing w:val="20"/>
                <w:sz w:val="24"/>
              </w:rPr>
              <w:t>100以下</w:t>
            </w:r>
          </w:p>
        </w:tc>
        <w:tc>
          <w:tcPr>
            <w:tcW w:w="2340" w:type="dxa"/>
            <w:vAlign w:val="center"/>
          </w:tcPr>
          <w:p>
            <w:pPr>
              <w:tabs>
                <w:tab w:val="left" w:pos="0"/>
              </w:tabs>
              <w:spacing w:line="360" w:lineRule="auto"/>
              <w:jc w:val="center"/>
              <w:rPr>
                <w:color w:val="auto"/>
                <w:spacing w:val="20"/>
                <w:sz w:val="24"/>
              </w:rPr>
            </w:pPr>
            <w:r>
              <w:rPr>
                <w:rFonts w:hint="eastAsia"/>
                <w:color w:val="auto"/>
                <w:spacing w:val="20"/>
                <w:sz w:val="24"/>
              </w:rPr>
              <w:t>1.5%</w:t>
            </w:r>
          </w:p>
        </w:tc>
        <w:tc>
          <w:tcPr>
            <w:tcW w:w="2160" w:type="dxa"/>
            <w:vAlign w:val="center"/>
          </w:tcPr>
          <w:p>
            <w:pPr>
              <w:tabs>
                <w:tab w:val="left" w:pos="0"/>
              </w:tabs>
              <w:spacing w:line="360" w:lineRule="auto"/>
              <w:jc w:val="center"/>
              <w:rPr>
                <w:color w:val="auto"/>
                <w:spacing w:val="20"/>
                <w:sz w:val="24"/>
              </w:rPr>
            </w:pPr>
            <w:r>
              <w:rPr>
                <w:rFonts w:hint="eastAsia"/>
                <w:color w:val="auto"/>
                <w:spacing w:val="20"/>
                <w:sz w:val="24"/>
              </w:rPr>
              <w:t>1.5%</w:t>
            </w:r>
          </w:p>
        </w:tc>
        <w:tc>
          <w:tcPr>
            <w:tcW w:w="2340" w:type="dxa"/>
            <w:vAlign w:val="center"/>
          </w:tcPr>
          <w:p>
            <w:pPr>
              <w:tabs>
                <w:tab w:val="left" w:pos="0"/>
              </w:tabs>
              <w:spacing w:line="360" w:lineRule="auto"/>
              <w:jc w:val="center"/>
              <w:rPr>
                <w:color w:val="auto"/>
                <w:spacing w:val="20"/>
                <w:sz w:val="24"/>
              </w:rPr>
            </w:pPr>
            <w:r>
              <w:rPr>
                <w:rFonts w:hint="eastAsia"/>
                <w:color w:val="auto"/>
                <w:spacing w:val="20"/>
                <w:sz w:val="24"/>
              </w:rPr>
              <w:t>1.0%</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vAlign w:val="center"/>
          </w:tcPr>
          <w:p>
            <w:pPr>
              <w:tabs>
                <w:tab w:val="left" w:pos="0"/>
              </w:tabs>
              <w:spacing w:line="360" w:lineRule="auto"/>
              <w:jc w:val="center"/>
              <w:rPr>
                <w:color w:val="auto"/>
                <w:spacing w:val="20"/>
                <w:sz w:val="24"/>
              </w:rPr>
            </w:pPr>
            <w:r>
              <w:rPr>
                <w:rFonts w:hint="eastAsia"/>
                <w:color w:val="auto"/>
                <w:spacing w:val="20"/>
                <w:sz w:val="24"/>
              </w:rPr>
              <w:t>100-500</w:t>
            </w:r>
          </w:p>
        </w:tc>
        <w:tc>
          <w:tcPr>
            <w:tcW w:w="2340" w:type="dxa"/>
            <w:vAlign w:val="center"/>
          </w:tcPr>
          <w:p>
            <w:pPr>
              <w:tabs>
                <w:tab w:val="left" w:pos="0"/>
              </w:tabs>
              <w:spacing w:line="360" w:lineRule="auto"/>
              <w:jc w:val="center"/>
              <w:rPr>
                <w:color w:val="auto"/>
                <w:spacing w:val="20"/>
                <w:sz w:val="24"/>
              </w:rPr>
            </w:pPr>
            <w:r>
              <w:rPr>
                <w:rFonts w:hint="eastAsia"/>
                <w:color w:val="auto"/>
                <w:spacing w:val="20"/>
                <w:sz w:val="24"/>
              </w:rPr>
              <w:t>1.1%</w:t>
            </w:r>
          </w:p>
        </w:tc>
        <w:tc>
          <w:tcPr>
            <w:tcW w:w="2160" w:type="dxa"/>
            <w:vAlign w:val="center"/>
          </w:tcPr>
          <w:p>
            <w:pPr>
              <w:tabs>
                <w:tab w:val="left" w:pos="0"/>
              </w:tabs>
              <w:spacing w:line="360" w:lineRule="auto"/>
              <w:jc w:val="center"/>
              <w:rPr>
                <w:color w:val="auto"/>
                <w:spacing w:val="20"/>
                <w:sz w:val="24"/>
              </w:rPr>
            </w:pPr>
            <w:r>
              <w:rPr>
                <w:rFonts w:hint="eastAsia"/>
                <w:color w:val="auto"/>
                <w:spacing w:val="20"/>
                <w:sz w:val="24"/>
              </w:rPr>
              <w:t>0.8%</w:t>
            </w:r>
          </w:p>
        </w:tc>
        <w:tc>
          <w:tcPr>
            <w:tcW w:w="2340" w:type="dxa"/>
            <w:vAlign w:val="center"/>
          </w:tcPr>
          <w:p>
            <w:pPr>
              <w:tabs>
                <w:tab w:val="left" w:pos="0"/>
              </w:tabs>
              <w:spacing w:line="360" w:lineRule="auto"/>
              <w:jc w:val="center"/>
              <w:rPr>
                <w:color w:val="auto"/>
                <w:spacing w:val="20"/>
                <w:sz w:val="24"/>
              </w:rPr>
            </w:pPr>
            <w:r>
              <w:rPr>
                <w:rFonts w:hint="eastAsia"/>
                <w:color w:val="auto"/>
                <w:spacing w:val="20"/>
                <w:sz w:val="24"/>
              </w:rPr>
              <w:t>0.7%</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vAlign w:val="center"/>
          </w:tcPr>
          <w:p>
            <w:pPr>
              <w:tabs>
                <w:tab w:val="left" w:pos="0"/>
              </w:tabs>
              <w:spacing w:line="360" w:lineRule="auto"/>
              <w:jc w:val="center"/>
              <w:rPr>
                <w:color w:val="auto"/>
                <w:spacing w:val="20"/>
                <w:sz w:val="24"/>
              </w:rPr>
            </w:pPr>
            <w:r>
              <w:rPr>
                <w:rFonts w:hint="eastAsia"/>
                <w:color w:val="auto"/>
                <w:spacing w:val="20"/>
                <w:sz w:val="24"/>
              </w:rPr>
              <w:t>500-1000</w:t>
            </w:r>
          </w:p>
        </w:tc>
        <w:tc>
          <w:tcPr>
            <w:tcW w:w="2340" w:type="dxa"/>
            <w:vAlign w:val="center"/>
          </w:tcPr>
          <w:p>
            <w:pPr>
              <w:tabs>
                <w:tab w:val="left" w:pos="0"/>
              </w:tabs>
              <w:spacing w:line="360" w:lineRule="auto"/>
              <w:jc w:val="center"/>
              <w:rPr>
                <w:color w:val="auto"/>
                <w:spacing w:val="20"/>
                <w:sz w:val="24"/>
              </w:rPr>
            </w:pPr>
            <w:r>
              <w:rPr>
                <w:rFonts w:hint="eastAsia"/>
                <w:color w:val="auto"/>
                <w:spacing w:val="20"/>
                <w:sz w:val="24"/>
              </w:rPr>
              <w:t>0.8%</w:t>
            </w:r>
          </w:p>
        </w:tc>
        <w:tc>
          <w:tcPr>
            <w:tcW w:w="2160" w:type="dxa"/>
            <w:vAlign w:val="center"/>
          </w:tcPr>
          <w:p>
            <w:pPr>
              <w:tabs>
                <w:tab w:val="left" w:pos="0"/>
              </w:tabs>
              <w:spacing w:line="360" w:lineRule="auto"/>
              <w:jc w:val="center"/>
              <w:rPr>
                <w:color w:val="auto"/>
                <w:spacing w:val="20"/>
                <w:sz w:val="24"/>
              </w:rPr>
            </w:pPr>
            <w:r>
              <w:rPr>
                <w:rFonts w:hint="eastAsia"/>
                <w:color w:val="auto"/>
                <w:spacing w:val="20"/>
                <w:sz w:val="24"/>
              </w:rPr>
              <w:t>0.45%</w:t>
            </w:r>
          </w:p>
        </w:tc>
        <w:tc>
          <w:tcPr>
            <w:tcW w:w="2340" w:type="dxa"/>
            <w:vAlign w:val="center"/>
          </w:tcPr>
          <w:p>
            <w:pPr>
              <w:tabs>
                <w:tab w:val="left" w:pos="0"/>
              </w:tabs>
              <w:spacing w:line="360" w:lineRule="auto"/>
              <w:jc w:val="center"/>
              <w:rPr>
                <w:color w:val="auto"/>
                <w:spacing w:val="20"/>
                <w:sz w:val="24"/>
              </w:rPr>
            </w:pPr>
            <w:r>
              <w:rPr>
                <w:rFonts w:hint="eastAsia"/>
                <w:color w:val="auto"/>
                <w:spacing w:val="20"/>
                <w:sz w:val="24"/>
              </w:rPr>
              <w:t>0.55%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vAlign w:val="center"/>
          </w:tcPr>
          <w:p>
            <w:pPr>
              <w:tabs>
                <w:tab w:val="left" w:pos="0"/>
              </w:tabs>
              <w:spacing w:line="360" w:lineRule="auto"/>
              <w:jc w:val="center"/>
              <w:rPr>
                <w:color w:val="auto"/>
                <w:spacing w:val="20"/>
                <w:sz w:val="24"/>
              </w:rPr>
            </w:pPr>
            <w:r>
              <w:rPr>
                <w:rFonts w:hint="eastAsia"/>
                <w:color w:val="auto"/>
                <w:spacing w:val="20"/>
                <w:sz w:val="24"/>
              </w:rPr>
              <w:t>1000-5000</w:t>
            </w:r>
          </w:p>
        </w:tc>
        <w:tc>
          <w:tcPr>
            <w:tcW w:w="2340" w:type="dxa"/>
            <w:vAlign w:val="center"/>
          </w:tcPr>
          <w:p>
            <w:pPr>
              <w:tabs>
                <w:tab w:val="left" w:pos="0"/>
              </w:tabs>
              <w:spacing w:line="360" w:lineRule="auto"/>
              <w:jc w:val="center"/>
              <w:rPr>
                <w:color w:val="auto"/>
                <w:spacing w:val="20"/>
                <w:sz w:val="24"/>
              </w:rPr>
            </w:pPr>
            <w:r>
              <w:rPr>
                <w:rFonts w:hint="eastAsia"/>
                <w:color w:val="auto"/>
                <w:spacing w:val="20"/>
                <w:sz w:val="24"/>
              </w:rPr>
              <w:t>0.5%</w:t>
            </w:r>
          </w:p>
        </w:tc>
        <w:tc>
          <w:tcPr>
            <w:tcW w:w="2160" w:type="dxa"/>
            <w:vAlign w:val="center"/>
          </w:tcPr>
          <w:p>
            <w:pPr>
              <w:tabs>
                <w:tab w:val="left" w:pos="0"/>
              </w:tabs>
              <w:spacing w:line="360" w:lineRule="auto"/>
              <w:jc w:val="center"/>
              <w:rPr>
                <w:color w:val="auto"/>
                <w:spacing w:val="20"/>
                <w:sz w:val="24"/>
              </w:rPr>
            </w:pPr>
            <w:r>
              <w:rPr>
                <w:rFonts w:hint="eastAsia"/>
                <w:color w:val="auto"/>
                <w:spacing w:val="20"/>
                <w:sz w:val="24"/>
              </w:rPr>
              <w:t>0.25%</w:t>
            </w:r>
          </w:p>
        </w:tc>
        <w:tc>
          <w:tcPr>
            <w:tcW w:w="2340" w:type="dxa"/>
            <w:vAlign w:val="center"/>
          </w:tcPr>
          <w:p>
            <w:pPr>
              <w:tabs>
                <w:tab w:val="left" w:pos="0"/>
              </w:tabs>
              <w:spacing w:line="360" w:lineRule="auto"/>
              <w:jc w:val="center"/>
              <w:rPr>
                <w:color w:val="auto"/>
                <w:spacing w:val="20"/>
                <w:sz w:val="24"/>
              </w:rPr>
            </w:pPr>
            <w:r>
              <w:rPr>
                <w:rFonts w:hint="eastAsia"/>
                <w:color w:val="auto"/>
                <w:spacing w:val="20"/>
                <w:sz w:val="24"/>
              </w:rPr>
              <w:t>0.35%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vAlign w:val="center"/>
          </w:tcPr>
          <w:p>
            <w:pPr>
              <w:tabs>
                <w:tab w:val="left" w:pos="0"/>
              </w:tabs>
              <w:spacing w:line="360" w:lineRule="auto"/>
              <w:jc w:val="center"/>
              <w:rPr>
                <w:color w:val="auto"/>
                <w:spacing w:val="20"/>
                <w:sz w:val="24"/>
              </w:rPr>
            </w:pPr>
            <w:r>
              <w:rPr>
                <w:rFonts w:hint="eastAsia"/>
                <w:color w:val="auto"/>
                <w:spacing w:val="20"/>
                <w:sz w:val="24"/>
              </w:rPr>
              <w:t>5000-10000</w:t>
            </w:r>
          </w:p>
        </w:tc>
        <w:tc>
          <w:tcPr>
            <w:tcW w:w="2340" w:type="dxa"/>
            <w:vAlign w:val="center"/>
          </w:tcPr>
          <w:p>
            <w:pPr>
              <w:tabs>
                <w:tab w:val="left" w:pos="0"/>
              </w:tabs>
              <w:spacing w:line="360" w:lineRule="auto"/>
              <w:jc w:val="center"/>
              <w:rPr>
                <w:color w:val="auto"/>
                <w:spacing w:val="20"/>
                <w:sz w:val="24"/>
              </w:rPr>
            </w:pPr>
            <w:r>
              <w:rPr>
                <w:rFonts w:hint="eastAsia"/>
                <w:color w:val="auto"/>
                <w:spacing w:val="20"/>
                <w:sz w:val="24"/>
              </w:rPr>
              <w:t>0.25%</w:t>
            </w:r>
          </w:p>
        </w:tc>
        <w:tc>
          <w:tcPr>
            <w:tcW w:w="2160" w:type="dxa"/>
            <w:vAlign w:val="center"/>
          </w:tcPr>
          <w:p>
            <w:pPr>
              <w:tabs>
                <w:tab w:val="left" w:pos="0"/>
              </w:tabs>
              <w:spacing w:line="360" w:lineRule="auto"/>
              <w:jc w:val="center"/>
              <w:rPr>
                <w:color w:val="auto"/>
                <w:spacing w:val="20"/>
                <w:sz w:val="24"/>
              </w:rPr>
            </w:pPr>
            <w:r>
              <w:rPr>
                <w:rFonts w:hint="eastAsia"/>
                <w:color w:val="auto"/>
                <w:spacing w:val="20"/>
                <w:sz w:val="24"/>
              </w:rPr>
              <w:t>0.1%</w:t>
            </w:r>
          </w:p>
        </w:tc>
        <w:tc>
          <w:tcPr>
            <w:tcW w:w="2340" w:type="dxa"/>
            <w:vAlign w:val="center"/>
          </w:tcPr>
          <w:p>
            <w:pPr>
              <w:tabs>
                <w:tab w:val="left" w:pos="0"/>
              </w:tabs>
              <w:spacing w:line="360" w:lineRule="auto"/>
              <w:jc w:val="center"/>
              <w:rPr>
                <w:color w:val="auto"/>
                <w:spacing w:val="20"/>
                <w:sz w:val="24"/>
              </w:rPr>
            </w:pPr>
            <w:r>
              <w:rPr>
                <w:rFonts w:hint="eastAsia"/>
                <w:color w:val="auto"/>
                <w:spacing w:val="20"/>
                <w:sz w:val="24"/>
              </w:rPr>
              <w:t>0.2%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vAlign w:val="center"/>
          </w:tcPr>
          <w:p>
            <w:pPr>
              <w:tabs>
                <w:tab w:val="left" w:pos="0"/>
              </w:tabs>
              <w:spacing w:line="360" w:lineRule="auto"/>
              <w:jc w:val="center"/>
              <w:rPr>
                <w:color w:val="auto"/>
                <w:spacing w:val="20"/>
                <w:sz w:val="24"/>
              </w:rPr>
            </w:pPr>
            <w:r>
              <w:rPr>
                <w:rFonts w:hint="eastAsia"/>
                <w:color w:val="auto"/>
                <w:spacing w:val="20"/>
                <w:sz w:val="24"/>
              </w:rPr>
              <w:t>10000-100000</w:t>
            </w:r>
          </w:p>
        </w:tc>
        <w:tc>
          <w:tcPr>
            <w:tcW w:w="2340" w:type="dxa"/>
            <w:vAlign w:val="center"/>
          </w:tcPr>
          <w:p>
            <w:pPr>
              <w:tabs>
                <w:tab w:val="left" w:pos="0"/>
              </w:tabs>
              <w:spacing w:line="360" w:lineRule="auto"/>
              <w:jc w:val="center"/>
              <w:rPr>
                <w:color w:val="auto"/>
                <w:spacing w:val="20"/>
                <w:sz w:val="24"/>
              </w:rPr>
            </w:pPr>
            <w:r>
              <w:rPr>
                <w:rFonts w:hint="eastAsia"/>
                <w:color w:val="auto"/>
                <w:spacing w:val="20"/>
                <w:sz w:val="24"/>
              </w:rPr>
              <w:t>0.05%</w:t>
            </w:r>
          </w:p>
        </w:tc>
        <w:tc>
          <w:tcPr>
            <w:tcW w:w="2160" w:type="dxa"/>
            <w:vAlign w:val="center"/>
          </w:tcPr>
          <w:p>
            <w:pPr>
              <w:tabs>
                <w:tab w:val="left" w:pos="0"/>
              </w:tabs>
              <w:spacing w:line="360" w:lineRule="auto"/>
              <w:jc w:val="center"/>
              <w:rPr>
                <w:color w:val="auto"/>
                <w:spacing w:val="20"/>
                <w:sz w:val="24"/>
              </w:rPr>
            </w:pPr>
            <w:r>
              <w:rPr>
                <w:rFonts w:hint="eastAsia"/>
                <w:color w:val="auto"/>
                <w:spacing w:val="20"/>
                <w:sz w:val="24"/>
              </w:rPr>
              <w:t>0.05%</w:t>
            </w:r>
          </w:p>
        </w:tc>
        <w:tc>
          <w:tcPr>
            <w:tcW w:w="2340" w:type="dxa"/>
            <w:vAlign w:val="center"/>
          </w:tcPr>
          <w:p>
            <w:pPr>
              <w:tabs>
                <w:tab w:val="left" w:pos="0"/>
              </w:tabs>
              <w:spacing w:line="360" w:lineRule="auto"/>
              <w:jc w:val="center"/>
              <w:rPr>
                <w:color w:val="auto"/>
                <w:spacing w:val="20"/>
                <w:sz w:val="24"/>
              </w:rPr>
            </w:pPr>
            <w:r>
              <w:rPr>
                <w:rFonts w:hint="eastAsia"/>
                <w:color w:val="auto"/>
                <w:spacing w:val="20"/>
                <w:sz w:val="24"/>
              </w:rPr>
              <w:t>0.05%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vAlign w:val="center"/>
          </w:tcPr>
          <w:p>
            <w:pPr>
              <w:tabs>
                <w:tab w:val="left" w:pos="0"/>
              </w:tabs>
              <w:spacing w:line="360" w:lineRule="auto"/>
              <w:jc w:val="center"/>
              <w:rPr>
                <w:color w:val="auto"/>
                <w:spacing w:val="20"/>
                <w:sz w:val="24"/>
              </w:rPr>
            </w:pPr>
            <w:r>
              <w:rPr>
                <w:rFonts w:hint="eastAsia"/>
                <w:color w:val="auto"/>
                <w:spacing w:val="20"/>
                <w:sz w:val="24"/>
              </w:rPr>
              <w:t>1000000以上</w:t>
            </w:r>
          </w:p>
        </w:tc>
        <w:tc>
          <w:tcPr>
            <w:tcW w:w="2340" w:type="dxa"/>
            <w:vAlign w:val="center"/>
          </w:tcPr>
          <w:p>
            <w:pPr>
              <w:tabs>
                <w:tab w:val="left" w:pos="0"/>
              </w:tabs>
              <w:spacing w:line="360" w:lineRule="auto"/>
              <w:jc w:val="center"/>
              <w:rPr>
                <w:color w:val="auto"/>
                <w:spacing w:val="20"/>
                <w:sz w:val="24"/>
              </w:rPr>
            </w:pPr>
            <w:r>
              <w:rPr>
                <w:rFonts w:hint="eastAsia"/>
                <w:color w:val="auto"/>
                <w:spacing w:val="20"/>
                <w:sz w:val="24"/>
              </w:rPr>
              <w:t>0.01%</w:t>
            </w:r>
          </w:p>
        </w:tc>
        <w:tc>
          <w:tcPr>
            <w:tcW w:w="2160" w:type="dxa"/>
            <w:vAlign w:val="center"/>
          </w:tcPr>
          <w:p>
            <w:pPr>
              <w:tabs>
                <w:tab w:val="left" w:pos="0"/>
              </w:tabs>
              <w:spacing w:line="360" w:lineRule="auto"/>
              <w:jc w:val="center"/>
              <w:rPr>
                <w:color w:val="auto"/>
                <w:spacing w:val="20"/>
                <w:sz w:val="24"/>
              </w:rPr>
            </w:pPr>
            <w:r>
              <w:rPr>
                <w:rFonts w:hint="eastAsia"/>
                <w:color w:val="auto"/>
                <w:spacing w:val="20"/>
                <w:sz w:val="24"/>
              </w:rPr>
              <w:t>0.01%</w:t>
            </w:r>
          </w:p>
        </w:tc>
        <w:tc>
          <w:tcPr>
            <w:tcW w:w="2340" w:type="dxa"/>
            <w:vAlign w:val="center"/>
          </w:tcPr>
          <w:p>
            <w:pPr>
              <w:tabs>
                <w:tab w:val="left" w:pos="0"/>
              </w:tabs>
              <w:spacing w:line="360" w:lineRule="auto"/>
              <w:jc w:val="center"/>
              <w:rPr>
                <w:color w:val="auto"/>
                <w:spacing w:val="20"/>
                <w:sz w:val="24"/>
              </w:rPr>
            </w:pPr>
            <w:r>
              <w:rPr>
                <w:rFonts w:hint="eastAsia"/>
                <w:color w:val="auto"/>
                <w:spacing w:val="20"/>
                <w:sz w:val="24"/>
              </w:rPr>
              <w:t>0.01%</w:t>
            </w:r>
          </w:p>
        </w:tc>
      </w:tr>
    </w:tbl>
    <w:p>
      <w:pPr>
        <w:widowControl/>
        <w:tabs>
          <w:tab w:val="left" w:pos="272"/>
          <w:tab w:val="right" w:pos="14173"/>
        </w:tabs>
        <w:spacing w:line="360" w:lineRule="auto"/>
        <w:jc w:val="left"/>
        <w:rPr>
          <w:rFonts w:ascii="仿宋_GB2312" w:hAnsi="宋体" w:eastAsia="仿宋_GB2312" w:cs="宋体"/>
          <w:color w:val="auto"/>
          <w:kern w:val="0"/>
          <w:sz w:val="24"/>
        </w:rPr>
      </w:pPr>
    </w:p>
    <w:p>
      <w:pPr>
        <w:tabs>
          <w:tab w:val="left" w:pos="4125"/>
        </w:tabs>
        <w:spacing w:line="360" w:lineRule="auto"/>
        <w:jc w:val="center"/>
        <w:rPr>
          <w:color w:val="auto"/>
          <w:spacing w:val="20"/>
          <w:sz w:val="32"/>
        </w:rPr>
      </w:pPr>
    </w:p>
    <w:p>
      <w:pPr>
        <w:rPr>
          <w:color w:val="auto"/>
          <w:spacing w:val="20"/>
          <w:sz w:val="32"/>
        </w:rPr>
      </w:pPr>
      <w:r>
        <w:rPr>
          <w:rFonts w:hint="eastAsia"/>
          <w:color w:val="auto"/>
          <w:spacing w:val="20"/>
          <w:sz w:val="32"/>
        </w:rPr>
        <w:br w:type="page"/>
      </w:r>
    </w:p>
    <w:p>
      <w:pPr>
        <w:tabs>
          <w:tab w:val="left" w:pos="4125"/>
        </w:tabs>
        <w:spacing w:line="360" w:lineRule="auto"/>
        <w:jc w:val="center"/>
        <w:rPr>
          <w:color w:val="auto"/>
          <w:spacing w:val="20"/>
          <w:sz w:val="32"/>
        </w:rPr>
      </w:pPr>
      <w:r>
        <w:rPr>
          <w:rFonts w:hint="eastAsia"/>
          <w:color w:val="auto"/>
          <w:spacing w:val="20"/>
          <w:sz w:val="32"/>
        </w:rPr>
        <w:t>造价咨询服务收费标准</w:t>
      </w:r>
    </w:p>
    <w:p>
      <w:pPr>
        <w:widowControl/>
        <w:spacing w:line="340" w:lineRule="exact"/>
        <w:jc w:val="center"/>
        <w:rPr>
          <w:rFonts w:ascii="宋体" w:hAnsi="宋体" w:cs="宋体"/>
          <w:color w:val="auto"/>
          <w:kern w:val="0"/>
          <w:szCs w:val="21"/>
        </w:rPr>
      </w:pPr>
      <w:r>
        <w:rPr>
          <w:rFonts w:hint="eastAsia" w:ascii="黑体" w:hAnsi="宋体" w:eastAsia="黑体" w:cs="宋体"/>
          <w:color w:val="auto"/>
          <w:kern w:val="0"/>
          <w:sz w:val="24"/>
        </w:rPr>
        <w:t>浙价服〔2009〕84号</w:t>
      </w:r>
    </w:p>
    <w:p>
      <w:pPr>
        <w:widowControl/>
        <w:spacing w:line="340" w:lineRule="exact"/>
        <w:jc w:val="left"/>
        <w:rPr>
          <w:rFonts w:ascii="宋体" w:hAnsi="宋体" w:cs="宋体"/>
          <w:color w:val="auto"/>
          <w:kern w:val="0"/>
          <w:szCs w:val="21"/>
        </w:rPr>
      </w:pPr>
      <w:r>
        <w:rPr>
          <w:rFonts w:ascii="宋体" w:hAnsi="宋体" w:cs="宋体"/>
          <w:color w:val="auto"/>
          <w:kern w:val="0"/>
          <w:szCs w:val="21"/>
        </w:rPr>
        <w:t xml:space="preserve">浙江省建设工程造价咨询服务基准收费标准 </w:t>
      </w:r>
    </w:p>
    <w:p>
      <w:pPr>
        <w:widowControl/>
        <w:spacing w:line="340" w:lineRule="exact"/>
        <w:jc w:val="left"/>
        <w:rPr>
          <w:rFonts w:ascii="宋体" w:hAnsi="宋体" w:cs="宋体"/>
          <w:color w:val="auto"/>
          <w:kern w:val="0"/>
          <w:szCs w:val="21"/>
        </w:rPr>
      </w:pPr>
      <w:r>
        <w:rPr>
          <w:rFonts w:hint="eastAsia" w:ascii="宋体" w:hAnsi="宋体" w:cs="宋体"/>
          <w:color w:val="auto"/>
          <w:kern w:val="0"/>
          <w:szCs w:val="21"/>
        </w:rPr>
        <w:t xml:space="preserve">  </w:t>
      </w:r>
      <w:r>
        <w:rPr>
          <w:rFonts w:ascii="宋体" w:hAnsi="宋体" w:cs="宋体"/>
          <w:color w:val="auto"/>
          <w:kern w:val="0"/>
          <w:szCs w:val="21"/>
        </w:rPr>
        <w:t xml:space="preserve">费率：‰ </w:t>
      </w:r>
    </w:p>
    <w:tbl>
      <w:tblPr>
        <w:tblStyle w:val="14"/>
        <w:tblW w:w="0" w:type="auto"/>
        <w:jc w:val="center"/>
        <w:tblCellSpacing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360"/>
        <w:gridCol w:w="386"/>
        <w:gridCol w:w="1101"/>
        <w:gridCol w:w="951"/>
        <w:gridCol w:w="537"/>
        <w:gridCol w:w="840"/>
        <w:gridCol w:w="992"/>
        <w:gridCol w:w="1080"/>
        <w:gridCol w:w="1080"/>
        <w:gridCol w:w="1080"/>
        <w:gridCol w:w="69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b/>
                <w:bCs/>
                <w:color w:val="auto"/>
                <w:kern w:val="0"/>
                <w:szCs w:val="21"/>
              </w:rPr>
            </w:pPr>
          </w:p>
          <w:p>
            <w:pPr>
              <w:widowControl/>
              <w:spacing w:line="340" w:lineRule="exact"/>
              <w:jc w:val="left"/>
              <w:rPr>
                <w:rFonts w:ascii="宋体" w:hAnsi="宋体" w:cs="宋体"/>
                <w:color w:val="auto"/>
                <w:kern w:val="0"/>
                <w:szCs w:val="21"/>
              </w:rPr>
            </w:pPr>
            <w:r>
              <w:rPr>
                <w:rFonts w:hint="eastAsia" w:ascii="宋体" w:hAnsi="宋体" w:cs="宋体"/>
                <w:b/>
                <w:bCs/>
                <w:color w:val="auto"/>
                <w:kern w:val="0"/>
                <w:szCs w:val="21"/>
              </w:rPr>
              <w:t>序号</w:t>
            </w:r>
            <w:r>
              <w:rPr>
                <w:rFonts w:hint="eastAsia" w:ascii="宋体" w:hAnsi="宋体" w:cs="宋体"/>
                <w:color w:val="auto"/>
                <w:kern w:val="0"/>
                <w:szCs w:val="21"/>
              </w:rPr>
              <w:t xml:space="preserve"> </w:t>
            </w:r>
          </w:p>
        </w:tc>
        <w:tc>
          <w:tcPr>
            <w:tcW w:w="2224" w:type="dxa"/>
            <w:gridSpan w:val="2"/>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b/>
                <w:bCs/>
                <w:color w:val="auto"/>
                <w:kern w:val="0"/>
                <w:szCs w:val="21"/>
              </w:rPr>
              <w:t>咨询项目</w:t>
            </w:r>
            <w:r>
              <w:rPr>
                <w:rFonts w:hint="eastAsia" w:ascii="宋体" w:hAnsi="宋体" w:cs="宋体"/>
                <w:color w:val="auto"/>
                <w:kern w:val="0"/>
                <w:szCs w:val="21"/>
              </w:rPr>
              <w:t xml:space="preserve"> </w:t>
            </w:r>
          </w:p>
        </w:tc>
        <w:tc>
          <w:tcPr>
            <w:tcW w:w="1414"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b/>
                <w:bCs/>
                <w:color w:val="auto"/>
                <w:kern w:val="0"/>
                <w:szCs w:val="21"/>
              </w:rPr>
              <w:t>收费基数</w:t>
            </w:r>
            <w:r>
              <w:rPr>
                <w:rFonts w:hint="eastAsia" w:ascii="宋体" w:hAnsi="宋体" w:cs="宋体"/>
                <w:color w:val="auto"/>
                <w:kern w:val="0"/>
                <w:szCs w:val="21"/>
              </w:rPr>
              <w:t xml:space="preserve"> </w:t>
            </w:r>
          </w:p>
        </w:tc>
        <w:tc>
          <w:tcPr>
            <w:tcW w:w="6691" w:type="dxa"/>
            <w:gridSpan w:val="7"/>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b/>
                <w:bCs/>
                <w:color w:val="auto"/>
                <w:kern w:val="0"/>
                <w:szCs w:val="21"/>
              </w:rPr>
              <w:t>分档累进计费标准</w:t>
            </w:r>
            <w:r>
              <w:rPr>
                <w:rFonts w:hint="eastAsia" w:ascii="宋体" w:hAnsi="宋体" w:cs="宋体"/>
                <w:color w:val="auto"/>
                <w:kern w:val="0"/>
                <w:szCs w:val="21"/>
              </w:rPr>
              <w:t xml:space="preserve">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color w:val="auto"/>
                <w:kern w:val="0"/>
                <w:szCs w:val="21"/>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color w:val="auto"/>
                <w:kern w:val="0"/>
                <w:szCs w:val="21"/>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color w:val="auto"/>
                <w:kern w:val="0"/>
                <w:szCs w:val="21"/>
              </w:rPr>
            </w:pP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100万元 以内 </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101-500万元 </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501—1000万元 </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1001—2000万元 </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2001—5000万元 </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5001-10000万元 </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10000万元以上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1 </w:t>
            </w:r>
          </w:p>
        </w:tc>
        <w:tc>
          <w:tcPr>
            <w:tcW w:w="2224"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投资估算编制或审核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估算价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1.3</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1.1</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0.9</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0.7</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0.6</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0.5</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0.4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2 </w:t>
            </w:r>
          </w:p>
        </w:tc>
        <w:tc>
          <w:tcPr>
            <w:tcW w:w="2224"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设计概算编制或审核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概算价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1.7</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1.5</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1.3</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1.1</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1.0</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0.9</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0.8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3 </w:t>
            </w:r>
          </w:p>
        </w:tc>
        <w:tc>
          <w:tcPr>
            <w:tcW w:w="521"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清单 </w:t>
            </w:r>
          </w:p>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计价 </w:t>
            </w:r>
          </w:p>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法 </w:t>
            </w:r>
          </w:p>
        </w:tc>
        <w:tc>
          <w:tcPr>
            <w:tcW w:w="170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工程量清单单独编制或审核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2.9</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2.7</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2.5</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2.3</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2.1</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1.9</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4 </w:t>
            </w: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color w:val="auto"/>
                <w:kern w:val="0"/>
                <w:szCs w:val="21"/>
              </w:rPr>
            </w:pPr>
          </w:p>
        </w:tc>
        <w:tc>
          <w:tcPr>
            <w:tcW w:w="170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投标报价编制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1.4</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1.2</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1.0</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0.8</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0.6</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0.5</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0.4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5</w:t>
            </w: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color w:val="auto"/>
                <w:kern w:val="0"/>
                <w:szCs w:val="21"/>
              </w:rPr>
            </w:pPr>
          </w:p>
        </w:tc>
        <w:tc>
          <w:tcPr>
            <w:tcW w:w="170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工程量清单及预算、招标控制价的编制或审核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3.6</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3.3</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3.0</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2.7</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2.4</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2.1</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6 </w:t>
            </w:r>
          </w:p>
        </w:tc>
        <w:tc>
          <w:tcPr>
            <w:tcW w:w="521"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定额计价法 </w:t>
            </w:r>
          </w:p>
        </w:tc>
        <w:tc>
          <w:tcPr>
            <w:tcW w:w="170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预算、招标控制价、投标报价的编制或审核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3.0</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2.5</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2.3</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2.1</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1.9</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1.7</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7</w:t>
            </w:r>
          </w:p>
        </w:tc>
        <w:tc>
          <w:tcPr>
            <w:tcW w:w="2224"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工程结算编制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2.5</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2.2</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1.9</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1.6</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1.3</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1.0</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0.70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8 </w:t>
            </w:r>
          </w:p>
        </w:tc>
        <w:tc>
          <w:tcPr>
            <w:tcW w:w="521"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工程结算审核 </w:t>
            </w:r>
          </w:p>
        </w:tc>
        <w:tc>
          <w:tcPr>
            <w:tcW w:w="170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基本收费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送审工程造价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2.8 </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2.5</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2.2</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1.9</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1.6</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1.3</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color w:val="auto"/>
                <w:kern w:val="0"/>
                <w:szCs w:val="21"/>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color w:val="auto"/>
                <w:kern w:val="0"/>
                <w:szCs w:val="21"/>
              </w:rPr>
            </w:pPr>
          </w:p>
        </w:tc>
        <w:tc>
          <w:tcPr>
            <w:tcW w:w="170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追加费用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超过5%以外的核减额、核增额 </w:t>
            </w:r>
          </w:p>
        </w:tc>
        <w:tc>
          <w:tcPr>
            <w:tcW w:w="6691" w:type="dxa"/>
            <w:gridSpan w:val="7"/>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5%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b/>
                <w:bCs/>
                <w:color w:val="auto"/>
                <w:kern w:val="0"/>
                <w:szCs w:val="21"/>
              </w:rPr>
              <w:t>序号</w:t>
            </w:r>
            <w:r>
              <w:rPr>
                <w:rFonts w:hint="eastAsia" w:ascii="宋体" w:hAnsi="宋体" w:cs="宋体"/>
                <w:color w:val="auto"/>
                <w:kern w:val="0"/>
                <w:szCs w:val="21"/>
              </w:rPr>
              <w:t xml:space="preserve"> </w:t>
            </w:r>
          </w:p>
        </w:tc>
        <w:tc>
          <w:tcPr>
            <w:tcW w:w="2224" w:type="dxa"/>
            <w:gridSpan w:val="2"/>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b/>
                <w:bCs/>
                <w:color w:val="auto"/>
                <w:kern w:val="0"/>
                <w:szCs w:val="21"/>
              </w:rPr>
              <w:t>咨询项目</w:t>
            </w:r>
            <w:r>
              <w:rPr>
                <w:rFonts w:hint="eastAsia" w:ascii="宋体" w:hAnsi="宋体" w:cs="宋体"/>
                <w:color w:val="auto"/>
                <w:kern w:val="0"/>
                <w:szCs w:val="21"/>
              </w:rPr>
              <w:t xml:space="preserve"> </w:t>
            </w:r>
          </w:p>
        </w:tc>
        <w:tc>
          <w:tcPr>
            <w:tcW w:w="1414"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b/>
                <w:bCs/>
                <w:color w:val="auto"/>
                <w:kern w:val="0"/>
                <w:szCs w:val="21"/>
              </w:rPr>
              <w:t>收费基数</w:t>
            </w:r>
            <w:r>
              <w:rPr>
                <w:rFonts w:hint="eastAsia" w:ascii="宋体" w:hAnsi="宋体" w:cs="宋体"/>
                <w:color w:val="auto"/>
                <w:kern w:val="0"/>
                <w:szCs w:val="21"/>
              </w:rPr>
              <w:t xml:space="preserve"> </w:t>
            </w:r>
          </w:p>
        </w:tc>
        <w:tc>
          <w:tcPr>
            <w:tcW w:w="6691" w:type="dxa"/>
            <w:gridSpan w:val="7"/>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b/>
                <w:bCs/>
                <w:color w:val="auto"/>
                <w:kern w:val="0"/>
                <w:szCs w:val="21"/>
              </w:rPr>
              <w:t>分档累进计费标准</w:t>
            </w:r>
            <w:r>
              <w:rPr>
                <w:rFonts w:hint="eastAsia" w:ascii="宋体" w:hAnsi="宋体" w:cs="宋体"/>
                <w:color w:val="auto"/>
                <w:kern w:val="0"/>
                <w:szCs w:val="21"/>
              </w:rPr>
              <w:t xml:space="preserve">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color w:val="auto"/>
                <w:kern w:val="0"/>
                <w:szCs w:val="21"/>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color w:val="auto"/>
                <w:kern w:val="0"/>
                <w:szCs w:val="21"/>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color w:val="auto"/>
                <w:kern w:val="0"/>
                <w:szCs w:val="21"/>
              </w:rPr>
            </w:pP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100万元 以内 </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101-500万元 </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501—1000万元 </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1001—2000万元 </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2001—5000万元 </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5001-10000万元 </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10000万元以上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9</w:t>
            </w:r>
          </w:p>
        </w:tc>
        <w:tc>
          <w:tcPr>
            <w:tcW w:w="2224"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竣工决算编制或审核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建设项目总费用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2.0</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1.6</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1.2</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0.8</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0.5</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0.3</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0.1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10 </w:t>
            </w:r>
          </w:p>
        </w:tc>
        <w:tc>
          <w:tcPr>
            <w:tcW w:w="2224"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施工阶段全过程工程造价控制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12</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11</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10</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9</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7</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6</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5</w:t>
            </w:r>
          </w:p>
        </w:tc>
      </w:tr>
    </w:tbl>
    <w:p>
      <w:pPr>
        <w:widowControl/>
        <w:spacing w:line="340" w:lineRule="exact"/>
        <w:jc w:val="left"/>
        <w:rPr>
          <w:rFonts w:ascii="宋体" w:hAnsi="宋体" w:cs="宋体"/>
          <w:color w:val="auto"/>
          <w:kern w:val="0"/>
          <w:szCs w:val="21"/>
        </w:rPr>
      </w:pPr>
      <w:r>
        <w:rPr>
          <w:rFonts w:ascii="宋体" w:hAnsi="宋体" w:cs="宋体"/>
          <w:color w:val="auto"/>
          <w:kern w:val="0"/>
          <w:szCs w:val="21"/>
        </w:rPr>
        <w:t xml:space="preserve">说明： </w:t>
      </w:r>
    </w:p>
    <w:p>
      <w:pPr>
        <w:widowControl/>
        <w:spacing w:line="340" w:lineRule="exact"/>
        <w:jc w:val="left"/>
        <w:rPr>
          <w:rFonts w:ascii="宋体" w:hAnsi="宋体" w:cs="宋体"/>
          <w:color w:val="auto"/>
          <w:kern w:val="0"/>
          <w:szCs w:val="21"/>
        </w:rPr>
      </w:pPr>
      <w:r>
        <w:rPr>
          <w:rFonts w:ascii="宋体" w:hAnsi="宋体" w:cs="宋体"/>
          <w:color w:val="auto"/>
          <w:kern w:val="0"/>
          <w:szCs w:val="21"/>
        </w:rPr>
        <w:t>1、每件咨询服务合同按上表计算不足2000元的，按2000元收费；</w:t>
      </w:r>
    </w:p>
    <w:p>
      <w:pPr>
        <w:widowControl/>
        <w:spacing w:line="340" w:lineRule="exact"/>
        <w:jc w:val="left"/>
        <w:rPr>
          <w:rFonts w:ascii="宋体" w:hAnsi="宋体" w:cs="宋体"/>
          <w:color w:val="auto"/>
          <w:kern w:val="0"/>
          <w:szCs w:val="21"/>
        </w:rPr>
      </w:pPr>
      <w:r>
        <w:rPr>
          <w:rFonts w:ascii="宋体" w:hAnsi="宋体" w:cs="宋体"/>
          <w:color w:val="auto"/>
          <w:kern w:val="0"/>
          <w:szCs w:val="21"/>
        </w:rPr>
        <w:t>2、单独委托的装饰、安装、园林绿化及仿古建筑工程的基本费率可在上述基准收费标准的基础上上浮20%；</w:t>
      </w:r>
    </w:p>
    <w:p>
      <w:pPr>
        <w:widowControl/>
        <w:spacing w:line="340" w:lineRule="exact"/>
        <w:jc w:val="left"/>
        <w:rPr>
          <w:rFonts w:ascii="宋体" w:hAnsi="宋体" w:cs="宋体"/>
          <w:color w:val="auto"/>
          <w:kern w:val="0"/>
          <w:szCs w:val="21"/>
        </w:rPr>
      </w:pPr>
      <w:r>
        <w:rPr>
          <w:rFonts w:ascii="宋体" w:hAnsi="宋体" w:cs="宋体"/>
          <w:color w:val="auto"/>
          <w:kern w:val="0"/>
          <w:szCs w:val="21"/>
        </w:rPr>
        <w:t>3、核减（增）额的定义说明如下：如清单漏项、工程量计算错误，小数点错误或合价计算错误等可计入核减（增）额；由于定额错套引起的价格变动的差价，应计入核减（增）额的收费基数，不得以定额错套的合价分别计算核减和核增。</w:t>
      </w:r>
    </w:p>
    <w:p>
      <w:pPr>
        <w:widowControl/>
        <w:spacing w:line="340" w:lineRule="exact"/>
        <w:jc w:val="left"/>
        <w:rPr>
          <w:rFonts w:ascii="宋体" w:hAnsi="宋体" w:cs="宋体"/>
          <w:color w:val="auto"/>
          <w:kern w:val="0"/>
          <w:szCs w:val="21"/>
        </w:rPr>
      </w:pPr>
      <w:r>
        <w:rPr>
          <w:rFonts w:ascii="宋体" w:hAnsi="宋体" w:cs="宋体"/>
          <w:color w:val="auto"/>
          <w:kern w:val="0"/>
          <w:szCs w:val="21"/>
        </w:rPr>
        <w:t>4、施工阶段全过程造价控制，不包含各类招标代理和结算审核费用。</w:t>
      </w:r>
    </w:p>
    <w:p>
      <w:pPr>
        <w:widowControl/>
        <w:spacing w:line="340" w:lineRule="exact"/>
        <w:jc w:val="left"/>
        <w:rPr>
          <w:rFonts w:ascii="宋体" w:hAnsi="宋体" w:cs="宋体"/>
          <w:color w:val="auto"/>
          <w:kern w:val="0"/>
          <w:szCs w:val="21"/>
        </w:rPr>
      </w:pPr>
      <w:r>
        <w:rPr>
          <w:rFonts w:ascii="宋体" w:hAnsi="宋体" w:cs="宋体"/>
          <w:color w:val="auto"/>
          <w:kern w:val="0"/>
          <w:szCs w:val="21"/>
        </w:rPr>
        <w:t xml:space="preserve">5、本标准所列的工作内容不含钢筋及预埋件的单独计算，如需按施工图纸、设计标准和施工操作规程计算钢筋及预埋件重量，并提供完整和规范的钢筋翻样及预埋件重量计算书、汇总表的，按5元/吨标准收费。 </w:t>
      </w:r>
    </w:p>
    <w:p>
      <w:pPr>
        <w:pStyle w:val="2"/>
        <w:ind w:firstLine="360"/>
        <w:rPr>
          <w:color w:val="auto"/>
          <w:spacing w:val="20"/>
          <w:sz w:val="32"/>
          <w:lang w:val="en-US"/>
        </w:rPr>
        <w:sectPr>
          <w:pgSz w:w="11906" w:h="16838"/>
          <w:pgMar w:top="1418" w:right="1418" w:bottom="1247" w:left="1418" w:header="851" w:footer="567" w:gutter="0"/>
          <w:cols w:space="720" w:num="1"/>
          <w:docGrid w:linePitch="286" w:charSpace="0"/>
        </w:sectPr>
      </w:pPr>
    </w:p>
    <w:bookmarkEnd w:id="405"/>
    <w:p>
      <w:pPr>
        <w:pStyle w:val="5"/>
        <w:numPr>
          <w:ilvl w:val="2"/>
          <w:numId w:val="0"/>
        </w:numPr>
        <w:tabs>
          <w:tab w:val="clear" w:pos="900"/>
        </w:tabs>
        <w:spacing w:before="120" w:beforeLines="50" w:after="120" w:afterLines="50"/>
        <w:ind w:left="180"/>
        <w:jc w:val="center"/>
        <w:rPr>
          <w:rFonts w:ascii="仿宋_GB2312" w:eastAsia="仿宋_GB2312"/>
          <w:color w:val="auto"/>
        </w:rPr>
      </w:pPr>
      <w:bookmarkStart w:id="422" w:name="第五部分"/>
      <w:bookmarkStart w:id="423" w:name="_Toc86217003"/>
      <w:r>
        <w:rPr>
          <w:rFonts w:hint="eastAsia" w:ascii="仿宋_GB2312" w:eastAsia="仿宋_GB2312"/>
          <w:color w:val="auto"/>
        </w:rPr>
        <w:t>工程建设项目招标代理协议书</w:t>
      </w:r>
    </w:p>
    <w:p>
      <w:pPr>
        <w:spacing w:line="540" w:lineRule="exact"/>
        <w:ind w:firstLine="539" w:firstLineChars="257"/>
        <w:rPr>
          <w:rFonts w:ascii="仿宋_GB2312" w:hAnsi="仿宋" w:eastAsia="仿宋_GB2312"/>
          <w:color w:val="auto"/>
          <w:u w:val="single"/>
          <w:vertAlign w:val="subscript"/>
        </w:rPr>
      </w:pPr>
      <w:r>
        <w:rPr>
          <w:rFonts w:hint="eastAsia" w:ascii="仿宋_GB2312" w:hAnsi="仿宋" w:eastAsia="仿宋_GB2312"/>
          <w:color w:val="auto"/>
        </w:rPr>
        <w:t>委托人：</w:t>
      </w:r>
      <w:r>
        <w:rPr>
          <w:rFonts w:hint="eastAsia" w:ascii="仿宋_GB2312" w:hAnsi="仿宋" w:eastAsia="仿宋_GB2312"/>
          <w:color w:val="auto"/>
          <w:u w:val="single"/>
        </w:rPr>
        <w:t xml:space="preserve">浙江大学国际健康医学研究院             </w:t>
      </w:r>
    </w:p>
    <w:p>
      <w:pPr>
        <w:spacing w:line="540" w:lineRule="exact"/>
        <w:ind w:firstLine="539" w:firstLineChars="257"/>
        <w:rPr>
          <w:rFonts w:ascii="仿宋_GB2312" w:hAnsi="仿宋" w:eastAsia="仿宋_GB2312"/>
          <w:color w:val="auto"/>
          <w:u w:val="single"/>
        </w:rPr>
      </w:pPr>
      <w:r>
        <w:rPr>
          <w:rFonts w:hint="eastAsia" w:ascii="仿宋_GB2312" w:hAnsi="仿宋" w:eastAsia="仿宋_GB2312"/>
          <w:color w:val="auto"/>
        </w:rPr>
        <w:t>受托人：</w:t>
      </w:r>
      <w:r>
        <w:rPr>
          <w:rFonts w:hint="eastAsia" w:ascii="仿宋_GB2312" w:hAnsi="仿宋" w:eastAsia="仿宋_GB2312"/>
          <w:color w:val="auto"/>
          <w:u w:val="single"/>
        </w:rPr>
        <w:t xml:space="preserve">                                       </w:t>
      </w:r>
    </w:p>
    <w:p>
      <w:pPr>
        <w:spacing w:line="540" w:lineRule="exact"/>
        <w:rPr>
          <w:rFonts w:ascii="仿宋_GB2312" w:hAnsi="仿宋" w:eastAsia="仿宋_GB2312"/>
          <w:color w:val="auto"/>
        </w:rPr>
      </w:pPr>
      <w:r>
        <w:rPr>
          <w:rFonts w:hint="eastAsia" w:ascii="仿宋_GB2312" w:hAnsi="仿宋" w:eastAsia="仿宋_GB2312"/>
          <w:color w:val="auto"/>
        </w:rPr>
        <w:t xml:space="preserve">    依照《中华人民共和国民法典》、 《中华人民共和国招标投标法》及国家的有关法律、行政法规规定，遵循平等、 自愿、公平和诚实信用的原则，双方就</w:t>
      </w:r>
      <w:r>
        <w:rPr>
          <w:rFonts w:hint="eastAsia" w:ascii="仿宋_GB2312" w:hAnsi="仿宋" w:eastAsia="仿宋_GB2312"/>
          <w:color w:val="auto"/>
          <w:u w:val="single"/>
        </w:rPr>
        <w:t xml:space="preserve"> 浙江大学国际健康医学研究院2022-2023年度工程项目招标代理服务采购项目 </w:t>
      </w:r>
      <w:r>
        <w:rPr>
          <w:rFonts w:hint="eastAsia" w:ascii="仿宋_GB2312" w:hAnsi="仿宋" w:eastAsia="仿宋_GB2312"/>
          <w:color w:val="auto"/>
        </w:rPr>
        <w:t>招标代理</w:t>
      </w:r>
      <w:r>
        <w:rPr>
          <w:rFonts w:hint="eastAsia" w:ascii="仿宋_GB2312" w:hAnsi="仿宋" w:eastAsia="仿宋_GB2312"/>
          <w:color w:val="auto"/>
          <w:szCs w:val="21"/>
        </w:rPr>
        <w:t>事项协商一致，订立</w:t>
      </w:r>
      <w:r>
        <w:rPr>
          <w:rFonts w:hint="eastAsia" w:ascii="仿宋_GB2312" w:hAnsi="仿宋" w:eastAsia="仿宋_GB2312"/>
          <w:color w:val="auto"/>
        </w:rPr>
        <w:t>本合同。</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一、工程概况</w:t>
      </w:r>
    </w:p>
    <w:p>
      <w:pPr>
        <w:ind w:firstLine="420" w:firstLineChars="200"/>
        <w:rPr>
          <w:rFonts w:ascii="仿宋_GB2312" w:hAnsi="仿宋" w:eastAsia="仿宋_GB2312"/>
          <w:color w:val="auto"/>
          <w:u w:val="single"/>
        </w:rPr>
      </w:pPr>
      <w:r>
        <w:rPr>
          <w:rFonts w:hint="eastAsia" w:ascii="仿宋_GB2312" w:hAnsi="仿宋" w:eastAsia="仿宋_GB2312"/>
          <w:color w:val="auto"/>
        </w:rPr>
        <w:t>工程名称：</w:t>
      </w:r>
      <w:r>
        <w:rPr>
          <w:rFonts w:hint="eastAsia" w:ascii="仿宋_GB2312" w:hAnsi="仿宋" w:eastAsia="仿宋_GB2312"/>
          <w:color w:val="auto"/>
          <w:u w:val="single"/>
        </w:rPr>
        <w:t xml:space="preserve"> 浙江大学国际健康医学研究院2022-2023年度工程项目招标代理服务采购项目  </w:t>
      </w:r>
    </w:p>
    <w:p>
      <w:pPr>
        <w:spacing w:line="540" w:lineRule="exact"/>
        <w:ind w:firstLine="420" w:firstLineChars="200"/>
        <w:rPr>
          <w:rFonts w:ascii="仿宋_GB2312" w:hAnsi="仿宋" w:eastAsia="仿宋_GB2312"/>
          <w:color w:val="auto"/>
          <w:u w:val="single"/>
        </w:rPr>
      </w:pPr>
      <w:r>
        <w:rPr>
          <w:rFonts w:hint="eastAsia" w:ascii="仿宋_GB2312" w:hAnsi="仿宋" w:eastAsia="仿宋_GB2312"/>
          <w:color w:val="auto"/>
        </w:rPr>
        <w:t>地    点：</w:t>
      </w:r>
      <w:r>
        <w:rPr>
          <w:rFonts w:hint="eastAsia" w:ascii="仿宋_GB2312" w:hAnsi="仿宋" w:eastAsia="仿宋_GB2312"/>
          <w:color w:val="auto"/>
          <w:u w:val="single"/>
        </w:rPr>
        <w:t xml:space="preserve">                    </w:t>
      </w:r>
    </w:p>
    <w:p>
      <w:pPr>
        <w:spacing w:line="540" w:lineRule="exact"/>
        <w:ind w:firstLine="420" w:firstLineChars="200"/>
        <w:rPr>
          <w:rFonts w:ascii="仿宋_GB2312" w:hAnsi="仿宋" w:eastAsia="仿宋_GB2312"/>
          <w:color w:val="auto"/>
          <w:u w:val="single"/>
        </w:rPr>
      </w:pPr>
      <w:r>
        <w:rPr>
          <w:rFonts w:hint="eastAsia" w:ascii="仿宋_GB2312" w:hAnsi="仿宋" w:eastAsia="仿宋_GB2312"/>
          <w:color w:val="auto"/>
        </w:rPr>
        <w:t xml:space="preserve">招标范围： </w:t>
      </w:r>
      <w:r>
        <w:rPr>
          <w:rFonts w:hint="eastAsia" w:ascii="仿宋_GB2312" w:hAnsi="仿宋" w:eastAsia="仿宋_GB2312"/>
          <w:color w:val="auto"/>
          <w:u w:val="single"/>
        </w:rPr>
        <w:t xml:space="preserve">                                        </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合同期限：</w:t>
      </w:r>
      <w:r>
        <w:rPr>
          <w:rFonts w:hint="eastAsia" w:ascii="仿宋_GB2312" w:hAnsi="仿宋" w:eastAsia="仿宋_GB2312"/>
          <w:color w:val="auto"/>
          <w:u w:val="single"/>
        </w:rPr>
        <w:t xml:space="preserve">                    </w:t>
      </w:r>
    </w:p>
    <w:p>
      <w:pPr>
        <w:spacing w:line="540" w:lineRule="exact"/>
        <w:ind w:left="105" w:leftChars="50" w:firstLine="315" w:firstLineChars="150"/>
        <w:rPr>
          <w:rFonts w:ascii="仿宋_GB2312" w:hAnsi="仿宋" w:eastAsia="仿宋_GB2312"/>
          <w:color w:val="auto"/>
        </w:rPr>
      </w:pPr>
      <w:r>
        <w:rPr>
          <w:rFonts w:hint="eastAsia" w:ascii="仿宋_GB2312" w:hAnsi="仿宋" w:eastAsia="仿宋_GB2312"/>
          <w:color w:val="auto"/>
        </w:rPr>
        <w:t>二、委托人委托受托人为本工程建设项目的招标代理机构，承担本工程的施工招标备案至施工合同备案全过程招标代理工作。</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1、接收图纸，编制造价咨询报告</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2、代拟招标方案；</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3、向招投标监督管理部门提出招标申请，发布招标公告；</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4、编制资格预审文件；</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5、组织接收投标申请人报名；</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6、审查潜在投标人资格，确定潜在投标人；</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7、编制招标文件；</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8、组织答疑；</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9、组织开标、评标；</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10、草拟合同并协助合同谈判；</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11、编制招投标情况书面报告；</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12、负责起草询标纪要，分析投标文件，负责询标会议的会务安排及有关事项的落实；</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13、工程类的招标代理服务中标单位同时承担采购人的项目清单预算编制工作，预算编制费用另行参照国家相关标准或双方达成的意见收费；</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14、与招标采购有关的其它事宜。</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三、合同价款</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1、代理服务费=招标代理服务费+工程造价咨询服务费</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招标代理服务费中标让利率：</w:t>
      </w:r>
      <w:r>
        <w:rPr>
          <w:rFonts w:hint="eastAsia" w:ascii="仿宋_GB2312" w:hAnsi="仿宋" w:eastAsia="仿宋_GB2312"/>
          <w:color w:val="auto"/>
          <w:u w:val="single"/>
        </w:rPr>
        <w:t xml:space="preserve">          %</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造价咨询服务费中标让利率:</w:t>
      </w:r>
      <w:r>
        <w:rPr>
          <w:rFonts w:hint="eastAsia" w:ascii="仿宋_GB2312" w:hAnsi="仿宋" w:eastAsia="仿宋_GB2312"/>
          <w:color w:val="auto"/>
          <w:u w:val="single"/>
        </w:rPr>
        <w:t xml:space="preserve">          %</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招标代理服务费参照国家计委计价格（2002）1980号《招标代理服务收费管理暂行办法》及国家发改委发改价格（2011）534号文件规定计算，工程造价咨询服务费参照浙价服（2009）84号文件规定计算（招标代理服务费以施工、货物等招标的中标价作为计费依据，若单次招标代理的项目由多个标段组成，分别以每个标段的中标金额为计费基数分别计算招标代理服务费；工程造价咨询服务费以施工图预算价作为计费依据，若单次招标代理的项目由多个标段组成，分别以每个标段的预算价为计费基数分别计算造价咨询服务费）。</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注：单个项目招标代理服务费按标准计算并让利后不足3000元的，按3000元/项收费；工程造价咨询服务费按标准计算并让利后不足2000元的，按2000元/项收费。</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2、招标涉及的其他费用</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专家评审费（含招标文件评审费，若有）、招标公告费、场租费由受托人承担。</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四、甲方的权利和义务</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1.甲方有权根据实际需要及乙方在投标文件和其他书面文件的承诺，确定最终招标代理及造价咨询服务项目、数量、服务期限等内容。</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2.甲方有权按照本项目的招投标文件、本协议等文件对乙方履约行为进行监督和检查。如发现乙方违反招投标文件、本框架协议的有关规定或其他承诺，甲方有权解除本协议并追究乙方的违约责任，同时有权通过媒体公告或其他形式披露乙方的违约行为。</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3.每个单项招标代理服务委托时，待甲方审定确认，发布采购公告等采购信息，组织采购活动（包括组建评标委员会、开标、评标、推荐中标供应商候选人、发布中标通知书、向甲方提交评标报告及相关采购活动工作资料（装订成册），及时将有关采购文件和采购合同等报相关部门备案），期间发生的费用由乙方承担。</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4.当甲方实际使用部门投诉乙方服务存在质量问题时，乙方承诺按照本协议及招投标文件和其他相关约定及时处理；若乙方对投诉有异议或对服务是否存在服务问题不能与甲方达成一致书面意见的，甲方可向财政部门或有关建设部门投诉。</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五、乙方的权利和义务</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1.乙方为甲方所需的工程类招标项目提供招标代理服务和造价咨询服务。</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2.乙方提供的服务均须符合国家标准和合同约定，乙方保证依据合同承诺，及时向甲方各部门提供高质量的服务，且不在本协议之外提出任何附加条款；若实际存在任何附加或额外条款，无论签署的情形如何，均应当被视为无效。</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3.乙方违反本协议以及其他书面承诺，均应依法承担违约责任。</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4.乙方在委托采购代理的范围内按法律法规处理一切事务，对甲方提出的采购内容及技术需求等，有依法审查的义务，并对其招标采购代理事项的合法性负责。</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5.乙方应按规定的程序和要求独立组织采购活动，接受甲方和有关部门的监督，自觉执行回避制度，遵守廉政规定和采购纪律，并承担保密责任。</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6.乙方保证严格遵守甲方的采购程序等相关规定，保证不会将协议及其中的权利、义务转让，保证不会转包、分包，否则甲方有权解除本协议并上报上级采购监管部门。</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 xml:space="preserve">7.接受甲方、甲方主管部门和其他有关部门的监督管理，履行法律、法规、规章之规定，确保招标项目合法、合规，并承担全部责任。 </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六、违约处理</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乙方不履行或逾期履行本合同规定的义务，甲方有权视情节予以催告、督促履行、停付或拒付价款，暂停其招标采购代理资格或解除本协议，同时有权要求乙方支付违约金或赔偿甲方因乙方违约行为造成的实际经济损失。</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七、双方共同责任</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1.在招标采购活动进行过程中和招标采购活动完成后，甲乙双方均有责任对应当保密的事项保密。</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2.非甲乙双方原因造成招标采购项目失败的，甲乙方双方有责任共同继续完成本次招标采购项目。</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八、组成本合同的文件：</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1、本合同履行过程中双方以书面形式签署的补充和修正文件；</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2、本合同协议书；</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3、本合同专用条款；</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4、本合同通用条款。</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九、本协议书中的有关词语定义与本合同第二部分《通用条款》中分别赋予它们的定义相同。</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十、受托人向委托人承诺，按照本合同的约定，承担本合同专用条款中约定范围内的代理业务。</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十一、委托人向受托人承诺，按照本合同的约定，确保代理报酬的支付。</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十二、合同订立</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合同订立时间：</w:t>
      </w:r>
      <w:r>
        <w:rPr>
          <w:rFonts w:hint="eastAsia" w:ascii="仿宋_GB2312" w:hAnsi="仿宋" w:eastAsia="仿宋_GB2312"/>
          <w:color w:val="auto"/>
          <w:u w:val="single"/>
        </w:rPr>
        <w:t xml:space="preserve">      </w:t>
      </w:r>
      <w:r>
        <w:rPr>
          <w:rFonts w:hint="eastAsia" w:ascii="仿宋_GB2312" w:hAnsi="仿宋" w:eastAsia="仿宋_GB2312"/>
          <w:color w:val="auto"/>
        </w:rPr>
        <w:t xml:space="preserve">年 </w:t>
      </w:r>
      <w:r>
        <w:rPr>
          <w:rFonts w:hint="eastAsia" w:ascii="仿宋_GB2312" w:hAnsi="仿宋" w:eastAsia="仿宋_GB2312"/>
          <w:color w:val="auto"/>
          <w:u w:val="single"/>
        </w:rPr>
        <w:t xml:space="preserve">     </w:t>
      </w:r>
      <w:r>
        <w:rPr>
          <w:rFonts w:hint="eastAsia" w:ascii="仿宋_GB2312" w:hAnsi="仿宋" w:eastAsia="仿宋_GB2312"/>
          <w:color w:val="auto"/>
        </w:rPr>
        <w:t xml:space="preserve"> 月 </w:t>
      </w:r>
      <w:r>
        <w:rPr>
          <w:rFonts w:hint="eastAsia" w:ascii="仿宋_GB2312" w:hAnsi="仿宋" w:eastAsia="仿宋_GB2312"/>
          <w:color w:val="auto"/>
          <w:u w:val="single"/>
        </w:rPr>
        <w:t xml:space="preserve">     </w:t>
      </w:r>
      <w:r>
        <w:rPr>
          <w:rFonts w:hint="eastAsia" w:ascii="仿宋_GB2312" w:hAnsi="仿宋" w:eastAsia="仿宋_GB2312"/>
          <w:color w:val="auto"/>
        </w:rPr>
        <w:t>日</w:t>
      </w:r>
    </w:p>
    <w:p>
      <w:pPr>
        <w:spacing w:line="540" w:lineRule="exact"/>
        <w:ind w:firstLine="420" w:firstLineChars="200"/>
        <w:rPr>
          <w:rFonts w:ascii="仿宋_GB2312" w:hAnsi="仿宋" w:eastAsia="仿宋_GB2312"/>
          <w:color w:val="auto"/>
          <w:u w:val="single"/>
        </w:rPr>
      </w:pPr>
      <w:r>
        <w:rPr>
          <w:rFonts w:hint="eastAsia" w:ascii="仿宋_GB2312" w:hAnsi="仿宋" w:eastAsia="仿宋_GB2312"/>
          <w:color w:val="auto"/>
        </w:rPr>
        <w:t>合同订立地点：</w:t>
      </w:r>
      <w:r>
        <w:rPr>
          <w:rFonts w:hint="eastAsia" w:ascii="仿宋_GB2312" w:hAnsi="仿宋" w:eastAsia="仿宋_GB2312"/>
          <w:color w:val="auto"/>
          <w:u w:val="single"/>
        </w:rPr>
        <w:t xml:space="preserve">    浙江义乌                        </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十三、合同生效：本合同双方约定</w:t>
      </w:r>
      <w:r>
        <w:rPr>
          <w:rFonts w:hint="eastAsia" w:ascii="仿宋_GB2312" w:hAnsi="仿宋" w:eastAsia="仿宋_GB2312"/>
          <w:color w:val="auto"/>
          <w:u w:val="single"/>
        </w:rPr>
        <w:t xml:space="preserve">     签字， 盖章    </w:t>
      </w:r>
      <w:r>
        <w:rPr>
          <w:rFonts w:hint="eastAsia" w:ascii="仿宋_GB2312" w:hAnsi="仿宋" w:eastAsia="仿宋_GB2312"/>
          <w:color w:val="auto"/>
        </w:rPr>
        <w:t>后生效</w:t>
      </w:r>
    </w:p>
    <w:p>
      <w:pPr>
        <w:spacing w:line="540" w:lineRule="exact"/>
        <w:ind w:firstLine="420" w:firstLineChars="200"/>
        <w:rPr>
          <w:rFonts w:ascii="仿宋_GB2312" w:hAnsi="仿宋" w:eastAsia="仿宋_GB2312"/>
          <w:color w:val="auto"/>
        </w:rPr>
      </w:pPr>
      <w:r>
        <w:rPr>
          <w:rFonts w:hint="eastAsia" w:ascii="仿宋_GB2312" w:hAnsi="仿宋" w:eastAsia="仿宋_GB2312"/>
          <w:color w:val="auto"/>
        </w:rPr>
        <w:t>十四、合同双方确认，本合同及本合同约定的其它文件组成部分中的各项约定都是通过法定招标过程形成的成果，不存在与招标文件和中标文件实质性内容部一致的条款。如果存在任何此类不一致的条款，也不是合同双方真实意思的表示，对合同双方不构成任何合同或法律约束力。合同双方也不存在且也不会签订任何背离合同实质性内容的其他协议或合同。如果存在或签订背离合同实质性内容的其他协议或合同，也不是合同双方真实意思的表达，对合同双方不构成任何合同或法律约束力。</w:t>
      </w:r>
    </w:p>
    <w:p>
      <w:pPr>
        <w:spacing w:line="540" w:lineRule="exact"/>
        <w:rPr>
          <w:rFonts w:ascii="仿宋_GB2312" w:hAnsi="仿宋" w:eastAsia="仿宋_GB2312"/>
          <w:color w:val="auto"/>
        </w:rPr>
      </w:pPr>
    </w:p>
    <w:p>
      <w:pPr>
        <w:spacing w:line="540" w:lineRule="exact"/>
        <w:rPr>
          <w:rFonts w:ascii="仿宋_GB2312" w:hAnsi="仿宋" w:eastAsia="仿宋_GB2312"/>
          <w:color w:val="auto"/>
        </w:rPr>
      </w:pPr>
      <w:r>
        <w:rPr>
          <w:rFonts w:hint="eastAsia" w:ascii="仿宋_GB2312" w:hAnsi="仿宋" w:eastAsia="仿宋_GB2312"/>
          <w:color w:val="auto"/>
        </w:rPr>
        <w:t>委托人（盖章）：                             受托人（盖章）：</w:t>
      </w:r>
    </w:p>
    <w:p>
      <w:pPr>
        <w:spacing w:line="540" w:lineRule="exact"/>
        <w:rPr>
          <w:rFonts w:ascii="仿宋_GB2312" w:hAnsi="仿宋" w:eastAsia="仿宋_GB2312"/>
          <w:color w:val="auto"/>
        </w:rPr>
      </w:pPr>
      <w:r>
        <w:rPr>
          <w:rFonts w:hint="eastAsia" w:ascii="仿宋_GB2312" w:hAnsi="仿宋" w:eastAsia="仿宋_GB2312"/>
          <w:color w:val="auto"/>
        </w:rPr>
        <w:t xml:space="preserve">法定代表人或授权                           法定代表人或授权 </w:t>
      </w:r>
    </w:p>
    <w:p>
      <w:pPr>
        <w:spacing w:line="540" w:lineRule="exact"/>
        <w:rPr>
          <w:rFonts w:ascii="仿宋_GB2312" w:hAnsi="仿宋" w:eastAsia="仿宋_GB2312"/>
          <w:color w:val="auto"/>
          <w:u w:val="single"/>
        </w:rPr>
      </w:pPr>
      <w:r>
        <w:rPr>
          <w:rFonts w:hint="eastAsia" w:ascii="仿宋_GB2312" w:hAnsi="仿宋" w:eastAsia="仿宋_GB2312"/>
          <w:color w:val="auto"/>
        </w:rPr>
        <w:t>代理人（签字或盖章）：</w:t>
      </w:r>
      <w:r>
        <w:rPr>
          <w:rFonts w:hint="eastAsia" w:ascii="仿宋_GB2312" w:hAnsi="仿宋" w:eastAsia="仿宋_GB2312"/>
          <w:color w:val="auto"/>
          <w:u w:val="single"/>
        </w:rPr>
        <w:t xml:space="preserve">              </w:t>
      </w:r>
      <w:r>
        <w:rPr>
          <w:rFonts w:hint="eastAsia" w:ascii="仿宋_GB2312" w:hAnsi="仿宋" w:eastAsia="仿宋_GB2312"/>
          <w:color w:val="auto"/>
        </w:rPr>
        <w:t xml:space="preserve">        代理人（签字或盖章）：</w:t>
      </w:r>
      <w:r>
        <w:rPr>
          <w:rFonts w:hint="eastAsia" w:ascii="仿宋_GB2312" w:hAnsi="仿宋" w:eastAsia="仿宋_GB2312"/>
          <w:color w:val="auto"/>
          <w:u w:val="single"/>
        </w:rPr>
        <w:t xml:space="preserve">              </w:t>
      </w:r>
    </w:p>
    <w:p>
      <w:pPr>
        <w:spacing w:line="540" w:lineRule="exact"/>
        <w:rPr>
          <w:rFonts w:ascii="仿宋_GB2312" w:hAnsi="仿宋" w:eastAsia="仿宋_GB2312"/>
          <w:color w:val="auto"/>
        </w:rPr>
      </w:pPr>
      <w:r>
        <w:rPr>
          <w:rFonts w:hint="eastAsia" w:ascii="仿宋_GB2312" w:hAnsi="仿宋" w:eastAsia="仿宋_GB2312"/>
          <w:color w:val="auto"/>
        </w:rPr>
        <w:t>单位地址：义乌市商城大道N1号              单位地址：</w:t>
      </w:r>
    </w:p>
    <w:p>
      <w:pPr>
        <w:spacing w:line="540" w:lineRule="exact"/>
        <w:rPr>
          <w:rFonts w:ascii="仿宋_GB2312" w:hAnsi="仿宋" w:eastAsia="仿宋_GB2312"/>
          <w:color w:val="auto"/>
        </w:rPr>
      </w:pPr>
      <w:r>
        <w:rPr>
          <w:rFonts w:hint="eastAsia" w:ascii="仿宋_GB2312" w:hAnsi="仿宋" w:eastAsia="仿宋_GB2312"/>
          <w:color w:val="auto"/>
        </w:rPr>
        <w:t xml:space="preserve">联系电话：0579-89935102                    联系电话： </w:t>
      </w:r>
    </w:p>
    <w:p>
      <w:pPr>
        <w:spacing w:line="540" w:lineRule="exact"/>
        <w:rPr>
          <w:rFonts w:ascii="仿宋_GB2312" w:hAnsi="仿宋" w:eastAsia="仿宋_GB2312"/>
          <w:color w:val="auto"/>
        </w:rPr>
      </w:pPr>
      <w:r>
        <w:rPr>
          <w:rFonts w:hint="eastAsia" w:ascii="仿宋_GB2312" w:hAnsi="仿宋" w:eastAsia="仿宋_GB2312"/>
          <w:color w:val="auto"/>
        </w:rPr>
        <w:t xml:space="preserve">开户银行：                                 开户银行：                                                      </w:t>
      </w:r>
    </w:p>
    <w:p>
      <w:pPr>
        <w:spacing w:line="540" w:lineRule="exact"/>
        <w:rPr>
          <w:rFonts w:ascii="仿宋_GB2312" w:hAnsi="仿宋" w:eastAsia="仿宋_GB2312"/>
          <w:color w:val="auto"/>
        </w:rPr>
      </w:pPr>
      <w:r>
        <w:rPr>
          <w:rFonts w:hint="eastAsia" w:ascii="仿宋_GB2312" w:hAnsi="仿宋" w:eastAsia="仿宋_GB2312"/>
          <w:color w:val="auto"/>
        </w:rPr>
        <w:t xml:space="preserve">账    号：1208020009888091287              账   号： </w:t>
      </w:r>
    </w:p>
    <w:p>
      <w:pPr>
        <w:autoSpaceDE w:val="0"/>
        <w:autoSpaceDN w:val="0"/>
        <w:spacing w:line="540" w:lineRule="exact"/>
        <w:jc w:val="center"/>
        <w:rPr>
          <w:rFonts w:ascii="仿宋_GB2312" w:hAnsi="仿宋" w:eastAsia="仿宋_GB2312"/>
          <w:b/>
          <w:bCs/>
          <w:color w:val="auto"/>
          <w:sz w:val="44"/>
          <w:szCs w:val="30"/>
          <w:lang w:val="zh-CN"/>
        </w:rPr>
      </w:pPr>
    </w:p>
    <w:p>
      <w:pPr>
        <w:autoSpaceDE w:val="0"/>
        <w:autoSpaceDN w:val="0"/>
        <w:spacing w:line="540" w:lineRule="exact"/>
        <w:jc w:val="center"/>
        <w:rPr>
          <w:rFonts w:ascii="仿宋_GB2312" w:hAnsi="仿宋" w:eastAsia="仿宋_GB2312"/>
          <w:b/>
          <w:bCs/>
          <w:color w:val="auto"/>
          <w:sz w:val="44"/>
          <w:szCs w:val="30"/>
          <w:lang w:val="zh-CN"/>
        </w:rPr>
      </w:pPr>
    </w:p>
    <w:p>
      <w:pPr>
        <w:pStyle w:val="5"/>
        <w:numPr>
          <w:ilvl w:val="2"/>
          <w:numId w:val="0"/>
        </w:numPr>
        <w:tabs>
          <w:tab w:val="clear" w:pos="900"/>
        </w:tabs>
        <w:spacing w:before="120" w:beforeLines="50" w:after="120" w:afterLines="50"/>
        <w:ind w:left="180"/>
        <w:jc w:val="center"/>
        <w:rPr>
          <w:rFonts w:ascii="仿宋_GB2312" w:hAnsi="仿宋" w:eastAsia="仿宋_GB2312"/>
          <w:color w:val="auto"/>
        </w:rPr>
      </w:pPr>
      <w:r>
        <w:rPr>
          <w:rFonts w:hint="eastAsia" w:ascii="仿宋_GB2312" w:hAnsi="仿宋" w:eastAsia="仿宋_GB2312"/>
          <w:color w:val="auto"/>
        </w:rPr>
        <w:t>第二部分  通用条款</w:t>
      </w:r>
    </w:p>
    <w:p>
      <w:pPr>
        <w:pStyle w:val="3"/>
        <w:spacing w:line="500" w:lineRule="exact"/>
        <w:jc w:val="center"/>
        <w:rPr>
          <w:rFonts w:ascii="仿宋_GB2312" w:hAnsi="仿宋" w:eastAsia="仿宋_GB2312"/>
          <w:color w:val="auto"/>
        </w:rPr>
      </w:pPr>
      <w:r>
        <w:rPr>
          <w:rFonts w:hint="eastAsia" w:ascii="仿宋_GB2312" w:hAnsi="仿宋" w:eastAsia="仿宋_GB2312"/>
          <w:color w:val="auto"/>
        </w:rPr>
        <w:t>（参照国家示范文本）</w:t>
      </w:r>
    </w:p>
    <w:p>
      <w:pPr>
        <w:pStyle w:val="5"/>
        <w:numPr>
          <w:ilvl w:val="2"/>
          <w:numId w:val="0"/>
        </w:numPr>
        <w:tabs>
          <w:tab w:val="clear" w:pos="900"/>
        </w:tabs>
        <w:spacing w:before="120" w:beforeLines="50" w:after="120" w:afterLines="50"/>
        <w:ind w:left="180"/>
        <w:jc w:val="center"/>
        <w:rPr>
          <w:rFonts w:ascii="仿宋_GB2312" w:hAnsi="仿宋" w:eastAsia="仿宋_GB2312"/>
          <w:b w:val="0"/>
          <w:bCs w:val="0"/>
          <w:color w:val="auto"/>
          <w:sz w:val="44"/>
          <w:szCs w:val="30"/>
          <w:lang w:val="zh-CN"/>
        </w:rPr>
      </w:pPr>
      <w:r>
        <w:rPr>
          <w:rFonts w:hint="eastAsia" w:ascii="仿宋_GB2312" w:hAnsi="仿宋" w:eastAsia="仿宋_GB2312"/>
          <w:color w:val="auto"/>
          <w:lang w:val="zh-CN"/>
        </w:rPr>
        <w:t>第三部分</w:t>
      </w:r>
      <w:r>
        <w:rPr>
          <w:rFonts w:hint="eastAsia" w:ascii="仿宋_GB2312" w:hAnsi="仿宋" w:eastAsia="仿宋_GB2312"/>
          <w:color w:val="auto"/>
        </w:rPr>
        <w:t xml:space="preserve">  </w:t>
      </w:r>
      <w:r>
        <w:rPr>
          <w:rFonts w:hint="eastAsia" w:ascii="仿宋_GB2312" w:hAnsi="仿宋" w:eastAsia="仿宋_GB2312"/>
          <w:color w:val="auto"/>
          <w:lang w:val="zh-CN"/>
        </w:rPr>
        <w:t>专用条款</w:t>
      </w:r>
    </w:p>
    <w:p>
      <w:pPr>
        <w:autoSpaceDE w:val="0"/>
        <w:autoSpaceDN w:val="0"/>
        <w:spacing w:line="540" w:lineRule="exact"/>
        <w:ind w:firstLine="540"/>
        <w:rPr>
          <w:rFonts w:ascii="仿宋_GB2312" w:hAnsi="仿宋" w:eastAsia="仿宋_GB2312"/>
          <w:b/>
          <w:bCs/>
          <w:color w:val="auto"/>
          <w:szCs w:val="21"/>
          <w:lang w:val="zh-CN"/>
        </w:rPr>
      </w:pPr>
      <w:r>
        <w:rPr>
          <w:rFonts w:hint="eastAsia" w:ascii="仿宋_GB2312" w:hAnsi="仿宋" w:eastAsia="仿宋_GB2312"/>
          <w:b/>
          <w:bCs/>
          <w:color w:val="auto"/>
          <w:szCs w:val="21"/>
          <w:lang w:val="zh-CN"/>
        </w:rPr>
        <w:t>一、词语定义和适用法律</w:t>
      </w:r>
    </w:p>
    <w:p>
      <w:pPr>
        <w:autoSpaceDE w:val="0"/>
        <w:autoSpaceDN w:val="0"/>
        <w:spacing w:line="540" w:lineRule="exact"/>
        <w:ind w:firstLine="540"/>
        <w:rPr>
          <w:rFonts w:ascii="仿宋_GB2312" w:hAnsi="仿宋" w:eastAsia="仿宋_GB2312"/>
          <w:color w:val="auto"/>
          <w:szCs w:val="21"/>
          <w:lang w:val="zh-CN"/>
        </w:rPr>
      </w:pPr>
      <w:r>
        <w:rPr>
          <w:rFonts w:hint="eastAsia" w:ascii="仿宋_GB2312" w:hAnsi="仿宋" w:eastAsia="仿宋_GB2312"/>
          <w:color w:val="auto"/>
          <w:szCs w:val="21"/>
          <w:lang w:val="zh-CN"/>
        </w:rPr>
        <w:t>2、合同文件及解释顺序</w:t>
      </w:r>
    </w:p>
    <w:p>
      <w:pPr>
        <w:autoSpaceDE w:val="0"/>
        <w:autoSpaceDN w:val="0"/>
        <w:spacing w:line="540" w:lineRule="exact"/>
        <w:ind w:firstLine="540"/>
        <w:rPr>
          <w:rFonts w:ascii="仿宋_GB2312" w:hAnsi="仿宋" w:eastAsia="仿宋_GB2312"/>
          <w:color w:val="auto"/>
          <w:szCs w:val="21"/>
          <w:lang w:val="zh-CN"/>
        </w:rPr>
      </w:pPr>
      <w:r>
        <w:rPr>
          <w:rFonts w:hint="eastAsia" w:ascii="仿宋_GB2312" w:hAnsi="仿宋" w:eastAsia="仿宋_GB2312"/>
          <w:color w:val="auto"/>
          <w:szCs w:val="21"/>
          <w:lang w:val="zh-CN"/>
        </w:rPr>
        <w:t xml:space="preserve">2.1 合同文件及解释顺序：协议书、专用条款、通用条款 、补充文件等                         </w:t>
      </w:r>
    </w:p>
    <w:p>
      <w:pPr>
        <w:autoSpaceDE w:val="0"/>
        <w:autoSpaceDN w:val="0"/>
        <w:spacing w:line="540" w:lineRule="exact"/>
        <w:rPr>
          <w:rFonts w:ascii="仿宋_GB2312" w:hAnsi="仿宋" w:eastAsia="仿宋_GB2312"/>
          <w:color w:val="auto"/>
          <w:szCs w:val="21"/>
          <w:lang w:val="zh-CN"/>
        </w:rPr>
      </w:pPr>
      <w:r>
        <w:rPr>
          <w:rFonts w:hint="eastAsia" w:ascii="仿宋_GB2312" w:hAnsi="仿宋" w:eastAsia="仿宋_GB2312"/>
          <w:color w:val="auto"/>
          <w:szCs w:val="21"/>
          <w:lang w:val="zh-CN"/>
        </w:rPr>
        <w:t xml:space="preserve">     3、语言文字和适用法律</w:t>
      </w:r>
    </w:p>
    <w:p>
      <w:pPr>
        <w:autoSpaceDE w:val="0"/>
        <w:autoSpaceDN w:val="0"/>
        <w:spacing w:line="540" w:lineRule="exact"/>
        <w:ind w:firstLine="540"/>
        <w:rPr>
          <w:rFonts w:ascii="仿宋_GB2312" w:hAnsi="仿宋" w:eastAsia="仿宋_GB2312"/>
          <w:color w:val="auto"/>
          <w:szCs w:val="21"/>
          <w:lang w:val="zh-CN"/>
        </w:rPr>
      </w:pPr>
      <w:r>
        <w:rPr>
          <w:rFonts w:hint="eastAsia" w:ascii="仿宋_GB2312" w:hAnsi="仿宋" w:eastAsia="仿宋_GB2312"/>
          <w:color w:val="auto"/>
          <w:szCs w:val="21"/>
          <w:lang w:val="zh-CN"/>
        </w:rPr>
        <w:t>3.1 语言文字</w:t>
      </w:r>
    </w:p>
    <w:p>
      <w:pPr>
        <w:autoSpaceDE w:val="0"/>
        <w:autoSpaceDN w:val="0"/>
        <w:spacing w:line="540" w:lineRule="exact"/>
        <w:ind w:firstLine="630" w:firstLineChars="300"/>
        <w:rPr>
          <w:rFonts w:ascii="仿宋_GB2312" w:hAnsi="仿宋" w:eastAsia="仿宋_GB2312"/>
          <w:color w:val="auto"/>
          <w:szCs w:val="21"/>
          <w:lang w:val="zh-CN"/>
        </w:rPr>
      </w:pPr>
      <w:r>
        <w:rPr>
          <w:rFonts w:hint="eastAsia" w:ascii="仿宋_GB2312" w:hAnsi="仿宋" w:eastAsia="仿宋_GB2312"/>
          <w:color w:val="auto"/>
          <w:szCs w:val="21"/>
          <w:lang w:val="zh-CN"/>
        </w:rPr>
        <w:t xml:space="preserve">本合同采用的文字为：汉语 。                                                    </w:t>
      </w:r>
    </w:p>
    <w:p>
      <w:pPr>
        <w:autoSpaceDE w:val="0"/>
        <w:autoSpaceDN w:val="0"/>
        <w:spacing w:line="540" w:lineRule="exact"/>
        <w:ind w:firstLine="630" w:firstLineChars="300"/>
        <w:rPr>
          <w:rFonts w:ascii="仿宋_GB2312" w:hAnsi="仿宋" w:eastAsia="仿宋_GB2312"/>
          <w:color w:val="auto"/>
          <w:szCs w:val="21"/>
          <w:lang w:val="zh-CN"/>
        </w:rPr>
      </w:pPr>
      <w:r>
        <w:rPr>
          <w:rFonts w:hint="eastAsia" w:ascii="仿宋_GB2312" w:hAnsi="仿宋" w:eastAsia="仿宋_GB2312"/>
          <w:color w:val="auto"/>
          <w:szCs w:val="21"/>
          <w:lang w:val="zh-CN"/>
        </w:rPr>
        <w:t>3.2 本合同需要明示的法律、行政法规：《合同法》、《招标投标法》、义乌相关招投标管理规定。</w:t>
      </w:r>
    </w:p>
    <w:p>
      <w:pPr>
        <w:autoSpaceDE w:val="0"/>
        <w:autoSpaceDN w:val="0"/>
        <w:spacing w:line="540" w:lineRule="exact"/>
        <w:ind w:firstLine="540"/>
        <w:rPr>
          <w:rFonts w:ascii="仿宋_GB2312" w:hAnsi="仿宋" w:eastAsia="仿宋_GB2312"/>
          <w:b/>
          <w:bCs/>
          <w:color w:val="auto"/>
          <w:szCs w:val="21"/>
          <w:lang w:val="zh-CN"/>
        </w:rPr>
      </w:pPr>
      <w:r>
        <w:rPr>
          <w:rFonts w:hint="eastAsia" w:ascii="仿宋_GB2312" w:hAnsi="仿宋" w:eastAsia="仿宋_GB2312"/>
          <w:b/>
          <w:bCs/>
          <w:color w:val="auto"/>
          <w:szCs w:val="21"/>
          <w:lang w:val="zh-CN"/>
        </w:rPr>
        <w:t>二、双方一般权利和义务</w:t>
      </w:r>
    </w:p>
    <w:p>
      <w:pPr>
        <w:autoSpaceDE w:val="0"/>
        <w:autoSpaceDN w:val="0"/>
        <w:spacing w:line="540" w:lineRule="exact"/>
        <w:ind w:firstLine="540"/>
        <w:rPr>
          <w:rFonts w:ascii="仿宋_GB2312" w:hAnsi="仿宋" w:eastAsia="仿宋_GB2312"/>
          <w:color w:val="auto"/>
          <w:szCs w:val="21"/>
          <w:lang w:val="zh-CN"/>
        </w:rPr>
      </w:pPr>
      <w:r>
        <w:rPr>
          <w:rFonts w:hint="eastAsia" w:ascii="仿宋_GB2312" w:hAnsi="仿宋" w:eastAsia="仿宋_GB2312"/>
          <w:color w:val="auto"/>
          <w:szCs w:val="21"/>
          <w:lang w:val="zh-CN"/>
        </w:rPr>
        <w:t>4、委托人的义务</w:t>
      </w:r>
    </w:p>
    <w:p>
      <w:pPr>
        <w:pStyle w:val="3"/>
        <w:spacing w:line="400" w:lineRule="exact"/>
        <w:ind w:firstLine="420" w:firstLineChars="200"/>
        <w:rPr>
          <w:rFonts w:ascii="仿宋_GB2312" w:hAnsi="仿宋" w:eastAsia="仿宋_GB2312"/>
          <w:color w:val="auto"/>
          <w:sz w:val="21"/>
        </w:rPr>
      </w:pPr>
      <w:r>
        <w:rPr>
          <w:rFonts w:hint="eastAsia" w:ascii="仿宋_GB2312" w:hAnsi="仿宋" w:eastAsia="仿宋_GB2312"/>
          <w:color w:val="auto"/>
          <w:sz w:val="21"/>
        </w:rPr>
        <w:t>4.1委托招标代理工作的具体范围和内容：</w:t>
      </w:r>
      <w:r>
        <w:rPr>
          <w:rFonts w:hint="eastAsia" w:ascii="仿宋_GB2312" w:hAnsi="仿宋" w:eastAsia="仿宋_GB2312"/>
          <w:color w:val="auto"/>
          <w:sz w:val="21"/>
          <w:u w:val="single"/>
        </w:rPr>
        <w:t xml:space="preserve">按照招标文件要求 </w:t>
      </w:r>
      <w:r>
        <w:rPr>
          <w:rFonts w:hint="eastAsia" w:ascii="仿宋_GB2312" w:hAnsi="仿宋" w:eastAsia="仿宋_GB2312"/>
          <w:color w:val="auto"/>
          <w:sz w:val="21"/>
        </w:rPr>
        <w:t>。</w:t>
      </w:r>
    </w:p>
    <w:p>
      <w:pPr>
        <w:pStyle w:val="3"/>
        <w:spacing w:line="400" w:lineRule="exact"/>
        <w:ind w:firstLine="420" w:firstLineChars="200"/>
        <w:rPr>
          <w:rFonts w:ascii="仿宋_GB2312" w:hAnsi="仿宋" w:eastAsia="仿宋_GB2312"/>
          <w:color w:val="auto"/>
          <w:sz w:val="21"/>
        </w:rPr>
      </w:pPr>
      <w:r>
        <w:rPr>
          <w:rFonts w:hint="eastAsia" w:ascii="仿宋_GB2312" w:hAnsi="仿宋" w:eastAsia="仿宋_GB2312"/>
          <w:color w:val="auto"/>
          <w:sz w:val="21"/>
        </w:rPr>
        <w:t>4.2委托人应按约定的时间和要求完成下列工作：</w:t>
      </w:r>
    </w:p>
    <w:p>
      <w:pPr>
        <w:pStyle w:val="3"/>
        <w:spacing w:line="400" w:lineRule="exact"/>
        <w:ind w:firstLine="420" w:firstLineChars="200"/>
        <w:rPr>
          <w:rFonts w:ascii="仿宋_GB2312" w:hAnsi="仿宋" w:eastAsia="仿宋_GB2312"/>
          <w:color w:val="auto"/>
          <w:sz w:val="21"/>
        </w:rPr>
      </w:pPr>
      <w:r>
        <w:rPr>
          <w:rFonts w:hint="eastAsia" w:ascii="仿宋_GB2312" w:hAnsi="仿宋" w:eastAsia="仿宋_GB2312"/>
          <w:color w:val="auto"/>
          <w:sz w:val="21"/>
        </w:rPr>
        <w:t>（1）向受托人提供本工程招标代理业务应具备的相关工程前期资料（如立项批准手续、规划许可、报建证等）及资金落实情况资料的时间：</w:t>
      </w:r>
      <w:r>
        <w:rPr>
          <w:rFonts w:hint="eastAsia" w:ascii="仿宋_GB2312" w:hAnsi="仿宋" w:eastAsia="仿宋_GB2312"/>
          <w:color w:val="auto"/>
          <w:sz w:val="21"/>
          <w:u w:val="single"/>
        </w:rPr>
        <w:t>招标公告备案前三天</w:t>
      </w:r>
      <w:r>
        <w:rPr>
          <w:rFonts w:hint="eastAsia" w:ascii="仿宋_GB2312" w:hAnsi="仿宋" w:eastAsia="仿宋_GB2312"/>
          <w:color w:val="auto"/>
          <w:sz w:val="21"/>
        </w:rPr>
        <w:t>；</w:t>
      </w:r>
    </w:p>
    <w:p>
      <w:pPr>
        <w:pStyle w:val="3"/>
        <w:spacing w:line="400" w:lineRule="exact"/>
        <w:ind w:firstLine="420" w:firstLineChars="200"/>
        <w:rPr>
          <w:rFonts w:ascii="仿宋_GB2312" w:hAnsi="仿宋" w:eastAsia="仿宋_GB2312"/>
          <w:color w:val="auto"/>
          <w:sz w:val="21"/>
        </w:rPr>
      </w:pPr>
      <w:r>
        <w:rPr>
          <w:rFonts w:hint="eastAsia" w:ascii="仿宋_GB2312" w:hAnsi="仿宋" w:eastAsia="仿宋_GB2312"/>
          <w:color w:val="auto"/>
          <w:sz w:val="21"/>
        </w:rPr>
        <w:t>（2）向受托人提供完成代理招标业务所需的全部资料的时间：</w:t>
      </w:r>
      <w:r>
        <w:rPr>
          <w:rFonts w:hint="eastAsia" w:ascii="仿宋_GB2312" w:hAnsi="仿宋" w:eastAsia="仿宋_GB2312"/>
          <w:color w:val="auto"/>
          <w:sz w:val="21"/>
          <w:u w:val="single"/>
        </w:rPr>
        <w:t>招标公告备案前三天</w:t>
      </w:r>
      <w:r>
        <w:rPr>
          <w:rFonts w:hint="eastAsia" w:ascii="仿宋_GB2312" w:hAnsi="仿宋" w:eastAsia="仿宋_GB2312"/>
          <w:color w:val="auto"/>
          <w:sz w:val="21"/>
        </w:rPr>
        <w:t xml:space="preserve"> ；</w:t>
      </w:r>
    </w:p>
    <w:p>
      <w:pPr>
        <w:pStyle w:val="3"/>
        <w:spacing w:line="400" w:lineRule="exact"/>
        <w:ind w:firstLine="420" w:firstLineChars="200"/>
        <w:rPr>
          <w:rFonts w:ascii="仿宋_GB2312" w:hAnsi="仿宋" w:eastAsia="仿宋_GB2312"/>
          <w:color w:val="auto"/>
          <w:sz w:val="21"/>
        </w:rPr>
      </w:pPr>
      <w:r>
        <w:rPr>
          <w:rFonts w:hint="eastAsia" w:ascii="仿宋_GB2312" w:hAnsi="仿宋" w:eastAsia="仿宋_GB2312"/>
          <w:color w:val="auto"/>
          <w:sz w:val="21"/>
        </w:rPr>
        <w:t>（3）指定的与受托人联系的人员</w:t>
      </w:r>
    </w:p>
    <w:p>
      <w:pPr>
        <w:pStyle w:val="3"/>
        <w:spacing w:line="400" w:lineRule="exact"/>
        <w:ind w:firstLine="555"/>
        <w:rPr>
          <w:rFonts w:ascii="仿宋_GB2312" w:hAnsi="仿宋" w:eastAsia="仿宋_GB2312"/>
          <w:color w:val="auto"/>
          <w:sz w:val="21"/>
          <w:u w:val="single"/>
        </w:rPr>
      </w:pPr>
      <w:r>
        <w:rPr>
          <w:rFonts w:hint="eastAsia" w:ascii="仿宋_GB2312" w:hAnsi="仿宋" w:eastAsia="仿宋_GB2312"/>
          <w:color w:val="auto"/>
          <w:sz w:val="21"/>
        </w:rPr>
        <w:t>姓名：</w:t>
      </w:r>
      <w:r>
        <w:rPr>
          <w:rFonts w:hint="eastAsia" w:ascii="仿宋_GB2312" w:hAnsi="仿宋" w:eastAsia="仿宋_GB2312"/>
          <w:color w:val="auto"/>
          <w:sz w:val="21"/>
          <w:u w:val="single"/>
        </w:rPr>
        <w:t xml:space="preserve">         </w:t>
      </w:r>
    </w:p>
    <w:p>
      <w:pPr>
        <w:pStyle w:val="3"/>
        <w:spacing w:line="400" w:lineRule="exact"/>
        <w:ind w:firstLine="555"/>
        <w:rPr>
          <w:rFonts w:ascii="仿宋_GB2312" w:hAnsi="仿宋" w:eastAsia="仿宋_GB2312"/>
          <w:color w:val="auto"/>
          <w:sz w:val="21"/>
        </w:rPr>
      </w:pPr>
      <w:r>
        <w:rPr>
          <w:rFonts w:hint="eastAsia" w:ascii="仿宋_GB2312" w:hAnsi="仿宋" w:eastAsia="仿宋_GB2312"/>
          <w:color w:val="auto"/>
          <w:sz w:val="21"/>
        </w:rPr>
        <w:t>职务：</w:t>
      </w:r>
      <w:r>
        <w:rPr>
          <w:rFonts w:hint="eastAsia" w:ascii="仿宋_GB2312" w:hAnsi="仿宋" w:eastAsia="仿宋_GB2312"/>
          <w:color w:val="auto"/>
          <w:sz w:val="21"/>
          <w:u w:val="single"/>
        </w:rPr>
        <w:t xml:space="preserve">          </w:t>
      </w:r>
    </w:p>
    <w:p>
      <w:pPr>
        <w:pStyle w:val="3"/>
        <w:spacing w:line="400" w:lineRule="exact"/>
        <w:ind w:firstLine="555"/>
        <w:rPr>
          <w:rFonts w:ascii="仿宋_GB2312" w:hAnsi="仿宋" w:eastAsia="仿宋_GB2312"/>
          <w:color w:val="auto"/>
          <w:sz w:val="21"/>
        </w:rPr>
      </w:pPr>
      <w:r>
        <w:rPr>
          <w:rFonts w:hint="eastAsia" w:ascii="仿宋_GB2312" w:hAnsi="仿宋" w:eastAsia="仿宋_GB2312"/>
          <w:color w:val="auto"/>
          <w:sz w:val="21"/>
        </w:rPr>
        <w:t>职称：</w:t>
      </w:r>
      <w:r>
        <w:rPr>
          <w:rFonts w:hint="eastAsia" w:ascii="仿宋_GB2312" w:hAnsi="仿宋" w:eastAsia="仿宋_GB2312"/>
          <w:color w:val="auto"/>
          <w:sz w:val="21"/>
          <w:u w:val="single"/>
        </w:rPr>
        <w:t xml:space="preserve">          </w:t>
      </w:r>
    </w:p>
    <w:p>
      <w:pPr>
        <w:pStyle w:val="3"/>
        <w:spacing w:line="400" w:lineRule="exact"/>
        <w:ind w:firstLine="555"/>
        <w:rPr>
          <w:rFonts w:ascii="仿宋_GB2312" w:hAnsi="仿宋" w:eastAsia="仿宋_GB2312"/>
          <w:color w:val="auto"/>
          <w:sz w:val="21"/>
        </w:rPr>
      </w:pPr>
      <w:r>
        <w:rPr>
          <w:rFonts w:hint="eastAsia" w:ascii="仿宋_GB2312" w:hAnsi="仿宋" w:eastAsia="仿宋_GB2312"/>
          <w:color w:val="auto"/>
          <w:sz w:val="21"/>
        </w:rPr>
        <w:t>电话：</w:t>
      </w:r>
      <w:r>
        <w:rPr>
          <w:rFonts w:hint="eastAsia" w:ascii="仿宋_GB2312" w:hAnsi="仿宋" w:eastAsia="仿宋_GB2312"/>
          <w:color w:val="auto"/>
          <w:sz w:val="21"/>
          <w:u w:val="single"/>
        </w:rPr>
        <w:t xml:space="preserve">          </w:t>
      </w:r>
    </w:p>
    <w:p>
      <w:pPr>
        <w:pStyle w:val="3"/>
        <w:spacing w:line="400" w:lineRule="exact"/>
        <w:ind w:firstLine="555"/>
        <w:rPr>
          <w:rFonts w:ascii="仿宋_GB2312" w:hAnsi="仿宋" w:eastAsia="仿宋_GB2312"/>
          <w:b/>
          <w:bCs/>
          <w:color w:val="auto"/>
          <w:sz w:val="21"/>
        </w:rPr>
      </w:pPr>
      <w:r>
        <w:rPr>
          <w:rFonts w:hint="eastAsia" w:ascii="仿宋_GB2312" w:hAnsi="仿宋" w:eastAsia="仿宋_GB2312"/>
          <w:b/>
          <w:bCs/>
          <w:color w:val="auto"/>
          <w:sz w:val="21"/>
        </w:rPr>
        <w:t>5、受托人的义务</w:t>
      </w:r>
    </w:p>
    <w:p>
      <w:pPr>
        <w:pStyle w:val="3"/>
        <w:spacing w:line="400" w:lineRule="exact"/>
        <w:ind w:firstLine="555"/>
        <w:rPr>
          <w:rFonts w:ascii="仿宋_GB2312" w:hAnsi="仿宋" w:eastAsia="仿宋_GB2312"/>
          <w:color w:val="auto"/>
          <w:sz w:val="21"/>
        </w:rPr>
      </w:pPr>
      <w:r>
        <w:rPr>
          <w:rFonts w:hint="eastAsia" w:ascii="仿宋_GB2312" w:hAnsi="仿宋" w:eastAsia="仿宋_GB2312"/>
          <w:color w:val="auto"/>
          <w:sz w:val="21"/>
        </w:rPr>
        <w:t>5.1招标代理项目负责人姓名：</w:t>
      </w:r>
      <w:r>
        <w:rPr>
          <w:rFonts w:hint="eastAsia" w:ascii="仿宋_GB2312" w:hAnsi="仿宋" w:eastAsia="仿宋_GB2312"/>
          <w:color w:val="auto"/>
          <w:sz w:val="21"/>
          <w:u w:val="single"/>
        </w:rPr>
        <w:t xml:space="preserve">       </w:t>
      </w:r>
      <w:r>
        <w:rPr>
          <w:rFonts w:hint="eastAsia" w:ascii="仿宋_GB2312" w:hAnsi="仿宋" w:eastAsia="仿宋_GB2312"/>
          <w:color w:val="auto"/>
          <w:sz w:val="21"/>
        </w:rPr>
        <w:t>身份证号：</w:t>
      </w:r>
      <w:r>
        <w:rPr>
          <w:rFonts w:hint="eastAsia" w:ascii="仿宋_GB2312" w:hAnsi="仿宋" w:eastAsia="仿宋_GB2312"/>
          <w:color w:val="auto"/>
          <w:sz w:val="21"/>
          <w:u w:val="single"/>
        </w:rPr>
        <w:t xml:space="preserve">                  </w:t>
      </w:r>
    </w:p>
    <w:p>
      <w:pPr>
        <w:pStyle w:val="3"/>
        <w:spacing w:line="400" w:lineRule="exact"/>
        <w:ind w:firstLine="555"/>
        <w:rPr>
          <w:rFonts w:ascii="仿宋_GB2312" w:hAnsi="仿宋" w:eastAsia="仿宋_GB2312"/>
          <w:color w:val="auto"/>
          <w:sz w:val="21"/>
        </w:rPr>
      </w:pPr>
      <w:r>
        <w:rPr>
          <w:rFonts w:hint="eastAsia" w:ascii="仿宋_GB2312" w:hAnsi="仿宋" w:eastAsia="仿宋_GB2312"/>
          <w:color w:val="auto"/>
          <w:sz w:val="21"/>
        </w:rPr>
        <w:t>5.2受托人应按约定的时间和要求完成下列工作：</w:t>
      </w:r>
    </w:p>
    <w:p>
      <w:pPr>
        <w:spacing w:line="360" w:lineRule="exact"/>
        <w:ind w:firstLine="420" w:firstLineChars="200"/>
        <w:rPr>
          <w:rFonts w:ascii="仿宋_GB2312" w:hAnsi="仿宋" w:eastAsia="仿宋_GB2312"/>
          <w:color w:val="auto"/>
          <w:szCs w:val="21"/>
        </w:rPr>
      </w:pPr>
      <w:r>
        <w:rPr>
          <w:rFonts w:hint="eastAsia" w:ascii="仿宋_GB2312" w:hAnsi="仿宋" w:eastAsia="仿宋_GB2312"/>
          <w:color w:val="auto"/>
          <w:szCs w:val="21"/>
        </w:rPr>
        <w:t xml:space="preserve"> （1）组织招标工作的内容和时间：</w:t>
      </w:r>
      <w:r>
        <w:rPr>
          <w:rFonts w:hint="eastAsia" w:ascii="仿宋_GB2312" w:hAnsi="仿宋" w:eastAsia="仿宋_GB2312"/>
          <w:color w:val="auto"/>
          <w:szCs w:val="21"/>
          <w:u w:val="single"/>
          <w:lang w:val="zh-CN"/>
        </w:rPr>
        <w:t>招标备案及公告发布、投标人报名受理、招标文件编制及备案、投标人资格预审、组织开标评标、办理中标通知书、协助签订施工合同、提交书面情况报告等。</w:t>
      </w:r>
    </w:p>
    <w:p>
      <w:pPr>
        <w:pStyle w:val="3"/>
        <w:spacing w:line="400" w:lineRule="exact"/>
        <w:rPr>
          <w:rFonts w:ascii="仿宋_GB2312" w:hAnsi="仿宋" w:eastAsia="仿宋_GB2312"/>
          <w:color w:val="auto"/>
          <w:sz w:val="21"/>
        </w:rPr>
      </w:pPr>
      <w:r>
        <w:rPr>
          <w:rFonts w:hint="eastAsia" w:ascii="仿宋_GB2312" w:hAnsi="仿宋" w:eastAsia="仿宋_GB2312"/>
          <w:color w:val="auto"/>
          <w:sz w:val="21"/>
        </w:rPr>
        <w:t xml:space="preserve">    （2）为招标人提供的为完成招标工作的相关咨询服务：</w:t>
      </w:r>
      <w:r>
        <w:rPr>
          <w:rFonts w:hint="eastAsia" w:ascii="仿宋_GB2312" w:hAnsi="仿宋" w:eastAsia="仿宋_GB2312"/>
          <w:color w:val="auto"/>
          <w:sz w:val="21"/>
          <w:u w:val="single"/>
        </w:rPr>
        <w:t xml:space="preserve">  </w:t>
      </w:r>
      <w:r>
        <w:rPr>
          <w:rFonts w:hint="eastAsia" w:ascii="仿宋_GB2312" w:hAnsi="仿宋" w:eastAsia="仿宋_GB2312"/>
          <w:color w:val="auto"/>
          <w:sz w:val="21"/>
          <w:u w:val="single"/>
          <w:lang w:val="en-US"/>
        </w:rPr>
        <w:t>造价咨询服务</w:t>
      </w:r>
      <w:r>
        <w:rPr>
          <w:rFonts w:hint="eastAsia" w:ascii="仿宋_GB2312" w:hAnsi="仿宋" w:eastAsia="仿宋_GB2312"/>
          <w:color w:val="auto"/>
          <w:sz w:val="21"/>
          <w:u w:val="single"/>
        </w:rPr>
        <w:t xml:space="preserve">   </w:t>
      </w:r>
      <w:r>
        <w:rPr>
          <w:rFonts w:hint="eastAsia" w:ascii="仿宋_GB2312" w:hAnsi="仿宋" w:eastAsia="仿宋_GB2312"/>
          <w:color w:val="auto"/>
          <w:sz w:val="21"/>
        </w:rPr>
        <w:t xml:space="preserve"> ；</w:t>
      </w:r>
    </w:p>
    <w:p>
      <w:pPr>
        <w:pStyle w:val="3"/>
        <w:spacing w:line="400" w:lineRule="exact"/>
        <w:rPr>
          <w:rFonts w:ascii="仿宋_GB2312" w:hAnsi="仿宋" w:eastAsia="仿宋_GB2312"/>
          <w:color w:val="auto"/>
          <w:sz w:val="21"/>
        </w:rPr>
      </w:pPr>
      <w:r>
        <w:rPr>
          <w:rFonts w:hint="eastAsia" w:ascii="仿宋_GB2312" w:hAnsi="仿宋" w:eastAsia="仿宋_GB2312"/>
          <w:color w:val="auto"/>
          <w:sz w:val="21"/>
        </w:rPr>
        <w:t xml:space="preserve">    （3）承担招标代理业务过程中，应由受托人支付的费用：</w:t>
      </w:r>
      <w:r>
        <w:rPr>
          <w:rFonts w:hint="eastAsia" w:ascii="仿宋_GB2312" w:hAnsi="仿宋" w:eastAsia="仿宋_GB2312"/>
          <w:color w:val="auto"/>
          <w:sz w:val="21"/>
          <w:u w:val="single"/>
        </w:rPr>
        <w:t>评标专家费、交易中心场租费、公告和信息发布费用等所有费用</w:t>
      </w:r>
      <w:r>
        <w:rPr>
          <w:rFonts w:hint="eastAsia" w:ascii="仿宋_GB2312" w:hAnsi="仿宋" w:eastAsia="仿宋_GB2312"/>
          <w:color w:val="auto"/>
          <w:sz w:val="21"/>
        </w:rPr>
        <w:t>；</w:t>
      </w:r>
    </w:p>
    <w:p>
      <w:pPr>
        <w:pStyle w:val="3"/>
        <w:spacing w:line="400" w:lineRule="exact"/>
        <w:ind w:firstLine="420" w:firstLineChars="200"/>
        <w:rPr>
          <w:rFonts w:ascii="仿宋_GB2312" w:hAnsi="仿宋" w:eastAsia="仿宋_GB2312"/>
          <w:color w:val="auto"/>
          <w:sz w:val="21"/>
          <w:u w:val="single"/>
        </w:rPr>
      </w:pPr>
      <w:r>
        <w:rPr>
          <w:rFonts w:hint="eastAsia" w:ascii="仿宋_GB2312" w:hAnsi="仿宋" w:eastAsia="仿宋_GB2312"/>
          <w:color w:val="auto"/>
          <w:sz w:val="21"/>
        </w:rPr>
        <w:t>（4）应尽的其他义务：</w:t>
      </w:r>
      <w:r>
        <w:rPr>
          <w:rFonts w:hint="eastAsia" w:ascii="仿宋_GB2312" w:hAnsi="仿宋" w:eastAsia="仿宋_GB2312"/>
          <w:color w:val="auto"/>
          <w:sz w:val="21"/>
          <w:u w:val="single"/>
        </w:rPr>
        <w:t>委托人交办的其他工作</w:t>
      </w:r>
      <w:r>
        <w:rPr>
          <w:rFonts w:hint="eastAsia" w:ascii="仿宋_GB2312" w:hAnsi="仿宋" w:eastAsia="仿宋_GB2312"/>
          <w:color w:val="auto"/>
          <w:sz w:val="21"/>
        </w:rPr>
        <w:t>。</w:t>
      </w:r>
    </w:p>
    <w:p>
      <w:pPr>
        <w:pStyle w:val="3"/>
        <w:spacing w:line="400" w:lineRule="exact"/>
        <w:ind w:firstLine="420" w:firstLineChars="200"/>
        <w:rPr>
          <w:rFonts w:ascii="仿宋_GB2312" w:hAnsi="仿宋" w:eastAsia="仿宋_GB2312"/>
          <w:color w:val="auto"/>
          <w:sz w:val="21"/>
          <w:u w:val="single"/>
        </w:rPr>
      </w:pPr>
      <w:r>
        <w:rPr>
          <w:rFonts w:hint="eastAsia" w:ascii="仿宋_GB2312" w:hAnsi="仿宋" w:eastAsia="仿宋_GB2312"/>
          <w:color w:val="auto"/>
          <w:sz w:val="21"/>
        </w:rPr>
        <w:t>（</w:t>
      </w:r>
      <w:r>
        <w:rPr>
          <w:rFonts w:hint="eastAsia" w:ascii="仿宋_GB2312" w:hAnsi="仿宋" w:eastAsia="仿宋_GB2312"/>
          <w:color w:val="auto"/>
          <w:sz w:val="21"/>
          <w:lang w:val="en-US"/>
        </w:rPr>
        <w:t>5</w:t>
      </w:r>
      <w:r>
        <w:rPr>
          <w:rFonts w:hint="eastAsia" w:ascii="仿宋_GB2312" w:hAnsi="仿宋" w:eastAsia="仿宋_GB2312"/>
          <w:color w:val="auto"/>
          <w:sz w:val="21"/>
        </w:rPr>
        <w:t>）组织招标工作的内容和时间：</w:t>
      </w:r>
      <w:r>
        <w:rPr>
          <w:rFonts w:hint="eastAsia" w:ascii="仿宋_GB2312" w:hAnsi="仿宋" w:eastAsia="仿宋_GB2312"/>
          <w:color w:val="auto"/>
          <w:sz w:val="21"/>
          <w:u w:val="single"/>
        </w:rPr>
        <w:t>1、根据委托人的工作计划安排，受托人在接到委托人的通知后，应在</w:t>
      </w:r>
      <w:r>
        <w:rPr>
          <w:rFonts w:hint="eastAsia" w:ascii="仿宋_GB2312" w:hAnsi="仿宋" w:eastAsia="仿宋_GB2312"/>
          <w:color w:val="auto"/>
          <w:sz w:val="21"/>
          <w:u w:val="single"/>
          <w:lang w:val="en-US"/>
        </w:rPr>
        <w:t xml:space="preserve"> 5 </w:t>
      </w:r>
      <w:r>
        <w:rPr>
          <w:rFonts w:hint="eastAsia" w:ascii="仿宋_GB2312" w:hAnsi="仿宋" w:eastAsia="仿宋_GB2312"/>
          <w:color w:val="auto"/>
          <w:sz w:val="21"/>
          <w:u w:val="single"/>
        </w:rPr>
        <w:t>日历天内完成该项目的招标文件编制并提交委托人审查，</w:t>
      </w:r>
      <w:r>
        <w:rPr>
          <w:rFonts w:hint="eastAsia" w:ascii="仿宋_GB2312" w:hAnsi="仿宋" w:eastAsia="仿宋_GB2312"/>
          <w:color w:val="auto"/>
          <w:sz w:val="21"/>
          <w:u w:val="single"/>
          <w:lang w:val="en-US"/>
        </w:rPr>
        <w:t xml:space="preserve"> 10 </w:t>
      </w:r>
      <w:r>
        <w:rPr>
          <w:rFonts w:hint="eastAsia" w:ascii="仿宋_GB2312" w:hAnsi="仿宋" w:eastAsia="仿宋_GB2312"/>
          <w:color w:val="auto"/>
          <w:sz w:val="21"/>
          <w:u w:val="single"/>
        </w:rPr>
        <w:t>日历天内完成招标控制价和工程量清单的编制（</w:t>
      </w:r>
      <w:r>
        <w:rPr>
          <w:rFonts w:hint="eastAsia" w:ascii="仿宋_GB2312" w:hAnsi="仿宋" w:eastAsia="仿宋_GB2312"/>
          <w:color w:val="auto"/>
          <w:sz w:val="21"/>
          <w:u w:val="single"/>
          <w:lang w:val="en-US"/>
        </w:rPr>
        <w:t>另有约定情况除外</w:t>
      </w:r>
      <w:r>
        <w:rPr>
          <w:rFonts w:hint="eastAsia" w:ascii="仿宋_GB2312" w:hAnsi="仿宋" w:eastAsia="仿宋_GB2312"/>
          <w:color w:val="auto"/>
          <w:sz w:val="21"/>
          <w:u w:val="single"/>
        </w:rPr>
        <w:t>）。2、受托人在本工程招标公告发布后应在 10</w:t>
      </w:r>
      <w:r>
        <w:rPr>
          <w:rFonts w:hint="eastAsia" w:ascii="仿宋_GB2312" w:hAnsi="仿宋" w:eastAsia="仿宋_GB2312"/>
          <w:color w:val="auto"/>
          <w:sz w:val="21"/>
          <w:u w:val="single"/>
          <w:lang w:val="en-US"/>
        </w:rPr>
        <w:t>-20</w:t>
      </w:r>
      <w:r>
        <w:rPr>
          <w:rFonts w:hint="eastAsia" w:ascii="仿宋_GB2312" w:hAnsi="仿宋" w:eastAsia="仿宋_GB2312"/>
          <w:color w:val="auto"/>
          <w:sz w:val="21"/>
          <w:u w:val="single"/>
        </w:rPr>
        <w:t xml:space="preserve"> 日历天内完成项目的招标代理工程（含监理、</w:t>
      </w:r>
      <w:r>
        <w:rPr>
          <w:rFonts w:hint="eastAsia" w:ascii="仿宋_GB2312" w:hAnsi="仿宋" w:eastAsia="仿宋_GB2312"/>
          <w:color w:val="auto"/>
          <w:sz w:val="21"/>
          <w:u w:val="single"/>
          <w:lang w:val="en-US"/>
        </w:rPr>
        <w:t>设计、建筑相关设备材料等过程服务、货物招标</w:t>
      </w:r>
      <w:r>
        <w:rPr>
          <w:rFonts w:hint="eastAsia" w:ascii="仿宋_GB2312" w:hAnsi="仿宋" w:eastAsia="仿宋_GB2312"/>
          <w:color w:val="auto"/>
          <w:sz w:val="21"/>
          <w:u w:val="single"/>
        </w:rPr>
        <w:t>）。</w:t>
      </w:r>
    </w:p>
    <w:p>
      <w:pPr>
        <w:ind w:firstLine="420"/>
        <w:rPr>
          <w:rFonts w:eastAsia="仿宋_GB2312"/>
          <w:color w:val="auto"/>
        </w:rPr>
      </w:pPr>
      <w:r>
        <w:rPr>
          <w:rFonts w:hint="eastAsia" w:ascii="仿宋_GB2312" w:hAnsi="仿宋" w:eastAsia="仿宋_GB2312"/>
          <w:color w:val="auto"/>
          <w:u w:val="single"/>
        </w:rPr>
        <w:t>5.3受托人必须确保咨询服务内容的准确性，如果采购人复核发现造价预算的总价存在10%的偏差，采购人有权每次扣款10000元，如果发现3次，采购人有权解除合同。</w:t>
      </w:r>
    </w:p>
    <w:p>
      <w:pPr>
        <w:rPr>
          <w:color w:val="auto"/>
          <w:lang w:val="zh-CN"/>
        </w:rPr>
      </w:pPr>
    </w:p>
    <w:p>
      <w:pPr>
        <w:autoSpaceDE w:val="0"/>
        <w:autoSpaceDN w:val="0"/>
        <w:spacing w:line="540" w:lineRule="exact"/>
        <w:ind w:firstLine="540"/>
        <w:rPr>
          <w:rFonts w:ascii="仿宋_GB2312" w:hAnsi="仿宋" w:eastAsia="仿宋_GB2312"/>
          <w:b/>
          <w:bCs/>
          <w:color w:val="auto"/>
          <w:szCs w:val="21"/>
          <w:lang w:val="zh-CN"/>
        </w:rPr>
      </w:pPr>
      <w:r>
        <w:rPr>
          <w:rFonts w:hint="eastAsia" w:ascii="仿宋_GB2312" w:hAnsi="仿宋" w:eastAsia="仿宋_GB2312"/>
          <w:b/>
          <w:bCs/>
          <w:color w:val="auto"/>
          <w:szCs w:val="21"/>
          <w:lang w:val="zh-CN"/>
        </w:rPr>
        <w:t>三、委托代理报酬与收取</w:t>
      </w:r>
    </w:p>
    <w:p>
      <w:pPr>
        <w:autoSpaceDE w:val="0"/>
        <w:autoSpaceDN w:val="0"/>
        <w:spacing w:line="540" w:lineRule="exact"/>
        <w:ind w:firstLine="540"/>
        <w:rPr>
          <w:rFonts w:ascii="仿宋_GB2312" w:hAnsi="仿宋" w:eastAsia="仿宋_GB2312"/>
          <w:color w:val="auto"/>
          <w:szCs w:val="21"/>
          <w:lang w:val="zh-CN"/>
        </w:rPr>
      </w:pPr>
      <w:r>
        <w:rPr>
          <w:rFonts w:hint="eastAsia" w:ascii="仿宋_GB2312" w:hAnsi="仿宋" w:eastAsia="仿宋_GB2312"/>
          <w:color w:val="auto"/>
          <w:szCs w:val="21"/>
          <w:lang w:val="zh-CN"/>
        </w:rPr>
        <w:t>6、委托代理报酬</w:t>
      </w:r>
    </w:p>
    <w:p>
      <w:pPr>
        <w:autoSpaceDE w:val="0"/>
        <w:autoSpaceDN w:val="0"/>
        <w:spacing w:line="540" w:lineRule="exact"/>
        <w:ind w:firstLine="540"/>
        <w:rPr>
          <w:rFonts w:ascii="仿宋_GB2312" w:hAnsi="仿宋" w:eastAsia="仿宋_GB2312"/>
          <w:color w:val="auto"/>
          <w:szCs w:val="21"/>
          <w:u w:val="single"/>
        </w:rPr>
      </w:pPr>
      <w:r>
        <w:rPr>
          <w:rFonts w:hint="eastAsia" w:ascii="仿宋_GB2312" w:hAnsi="仿宋" w:eastAsia="仿宋_GB2312"/>
          <w:color w:val="auto"/>
          <w:szCs w:val="21"/>
          <w:lang w:val="zh-CN"/>
        </w:rPr>
        <w:t>6.1代理报酬的计算方法</w:t>
      </w:r>
      <w:r>
        <w:rPr>
          <w:rFonts w:hint="eastAsia" w:ascii="仿宋_GB2312" w:hAnsi="仿宋" w:eastAsia="仿宋_GB2312"/>
          <w:color w:val="auto"/>
          <w:szCs w:val="21"/>
        </w:rPr>
        <w:t>:</w:t>
      </w:r>
      <w:r>
        <w:rPr>
          <w:rFonts w:hint="eastAsia" w:ascii="仿宋_GB2312" w:hAnsi="仿宋" w:eastAsia="仿宋_GB2312"/>
          <w:color w:val="auto"/>
          <w:szCs w:val="21"/>
          <w:vertAlign w:val="subscript"/>
        </w:rPr>
        <w:t xml:space="preserve"> </w:t>
      </w:r>
      <w:r>
        <w:rPr>
          <w:rFonts w:hint="eastAsia" w:ascii="仿宋_GB2312" w:hAnsi="仿宋" w:eastAsia="仿宋_GB2312"/>
          <w:color w:val="auto"/>
          <w:szCs w:val="21"/>
          <w:u w:val="single"/>
        </w:rPr>
        <w:t xml:space="preserve">招标代理服务费及工程造价咨询服务费=招标代理服务费+工程造价咨询服务费。 </w:t>
      </w:r>
    </w:p>
    <w:p>
      <w:pPr>
        <w:autoSpaceDE w:val="0"/>
        <w:autoSpaceDN w:val="0"/>
        <w:spacing w:line="540" w:lineRule="exact"/>
        <w:ind w:firstLine="540"/>
        <w:rPr>
          <w:rFonts w:ascii="仿宋_GB2312" w:hAnsi="仿宋" w:eastAsia="仿宋_GB2312"/>
          <w:color w:val="auto"/>
          <w:szCs w:val="21"/>
          <w:u w:val="single"/>
        </w:rPr>
      </w:pPr>
      <w:r>
        <w:rPr>
          <w:rFonts w:hint="eastAsia" w:ascii="仿宋_GB2312" w:hAnsi="仿宋" w:eastAsia="仿宋_GB2312"/>
          <w:color w:val="auto"/>
          <w:szCs w:val="21"/>
        </w:rPr>
        <w:t>6.2代理报酬的支付方式：</w:t>
      </w:r>
      <w:r>
        <w:rPr>
          <w:rFonts w:hint="eastAsia" w:ascii="仿宋_GB2312" w:hAnsi="仿宋" w:eastAsia="仿宋_GB2312"/>
          <w:color w:val="auto"/>
          <w:szCs w:val="21"/>
          <w:u w:val="single"/>
        </w:rPr>
        <w:t xml:space="preserve">  按单个项目结算，单个项目招标工作完成及相应的合同签订后，由中标方支付该项目招标代理服务费及预算编制服务费的100%。 </w:t>
      </w:r>
    </w:p>
    <w:p>
      <w:pPr>
        <w:autoSpaceDE w:val="0"/>
        <w:autoSpaceDN w:val="0"/>
        <w:spacing w:line="540" w:lineRule="exact"/>
        <w:ind w:firstLine="540"/>
        <w:rPr>
          <w:rFonts w:ascii="仿宋_GB2312" w:hAnsi="仿宋" w:eastAsia="仿宋_GB2312"/>
          <w:color w:val="auto"/>
          <w:szCs w:val="21"/>
          <w:lang w:val="zh-CN"/>
        </w:rPr>
      </w:pPr>
      <w:r>
        <w:rPr>
          <w:rFonts w:hint="eastAsia" w:ascii="仿宋_GB2312" w:hAnsi="仿宋" w:eastAsia="仿宋_GB2312"/>
          <w:color w:val="auto"/>
          <w:szCs w:val="21"/>
          <w:lang w:val="zh-CN"/>
        </w:rPr>
        <w:t>7、违约</w:t>
      </w:r>
    </w:p>
    <w:p>
      <w:pPr>
        <w:autoSpaceDE w:val="0"/>
        <w:autoSpaceDN w:val="0"/>
        <w:spacing w:line="540" w:lineRule="exact"/>
        <w:ind w:firstLine="504" w:firstLineChars="240"/>
        <w:rPr>
          <w:rFonts w:ascii="仿宋_GB2312" w:hAnsi="仿宋" w:eastAsia="仿宋_GB2312"/>
          <w:color w:val="auto"/>
          <w:szCs w:val="21"/>
          <w:lang w:val="zh-CN"/>
        </w:rPr>
      </w:pPr>
      <w:r>
        <w:rPr>
          <w:rFonts w:hint="eastAsia" w:ascii="仿宋_GB2312" w:hAnsi="仿宋" w:eastAsia="仿宋_GB2312"/>
          <w:color w:val="auto"/>
          <w:szCs w:val="21"/>
          <w:lang w:val="zh-CN"/>
        </w:rPr>
        <w:t>本合同关于受托人违约的具体责任：</w:t>
      </w:r>
    </w:p>
    <w:p>
      <w:pPr>
        <w:autoSpaceDE w:val="0"/>
        <w:autoSpaceDN w:val="0"/>
        <w:spacing w:line="540" w:lineRule="exact"/>
        <w:ind w:firstLine="504" w:firstLineChars="240"/>
        <w:rPr>
          <w:rFonts w:ascii="仿宋_GB2312" w:hAnsi="仿宋" w:eastAsia="仿宋_GB2312"/>
          <w:color w:val="auto"/>
          <w:szCs w:val="21"/>
          <w:u w:val="single"/>
          <w:lang w:val="zh-CN"/>
        </w:rPr>
      </w:pPr>
      <w:r>
        <w:rPr>
          <w:rFonts w:hint="eastAsia" w:ascii="仿宋_GB2312" w:hAnsi="仿宋" w:eastAsia="仿宋_GB2312"/>
          <w:color w:val="auto"/>
          <w:szCs w:val="21"/>
          <w:u w:val="single"/>
          <w:lang w:val="zh-CN"/>
        </w:rPr>
        <w:t xml:space="preserve">  考核规则及内容详见附件一“招标代理服务考核表”。各考核项具体分数由委托人据实定夺，委托人无须向受托人提供具体打分依据。  </w:t>
      </w:r>
    </w:p>
    <w:p>
      <w:pPr>
        <w:autoSpaceDE w:val="0"/>
        <w:autoSpaceDN w:val="0"/>
        <w:spacing w:line="540" w:lineRule="exact"/>
        <w:ind w:firstLine="504" w:firstLineChars="240"/>
        <w:rPr>
          <w:rFonts w:ascii="仿宋_GB2312" w:hAnsi="仿宋" w:eastAsia="仿宋_GB2312"/>
          <w:color w:val="auto"/>
          <w:szCs w:val="21"/>
          <w:lang w:val="zh-CN"/>
        </w:rPr>
      </w:pPr>
      <w:r>
        <w:rPr>
          <w:rFonts w:hint="eastAsia" w:ascii="仿宋_GB2312" w:hAnsi="仿宋" w:eastAsia="仿宋_GB2312"/>
          <w:color w:val="auto"/>
          <w:szCs w:val="21"/>
          <w:lang w:val="zh-CN"/>
        </w:rPr>
        <w:t xml:space="preserve"> 本合同关于受托人违约的具体责任：</w:t>
      </w:r>
      <w:r>
        <w:rPr>
          <w:rFonts w:hint="eastAsia" w:ascii="仿宋_GB2312" w:hAnsi="仿宋" w:eastAsia="仿宋_GB2312"/>
          <w:color w:val="auto"/>
          <w:szCs w:val="21"/>
          <w:u w:val="single"/>
          <w:lang w:val="zh-CN"/>
        </w:rPr>
        <w:t xml:space="preserve">受托人不履行或逾期履行本协议规定的义务，甲方有权视情节予以催告、督促履行、停付或拒付价款，暂停其招标采购代理资格或解除本协议，同时有权要求乙方支付违约金或赔偿甲方因乙方违约行为造成的实际经济损失。 </w:t>
      </w:r>
      <w:r>
        <w:rPr>
          <w:rFonts w:hint="eastAsia" w:ascii="仿宋_GB2312" w:hAnsi="仿宋" w:eastAsia="仿宋_GB2312"/>
          <w:color w:val="auto"/>
          <w:szCs w:val="21"/>
          <w:lang w:val="zh-CN"/>
        </w:rPr>
        <w:t xml:space="preserve"> </w:t>
      </w:r>
    </w:p>
    <w:p>
      <w:pPr>
        <w:autoSpaceDE w:val="0"/>
        <w:autoSpaceDN w:val="0"/>
        <w:spacing w:line="540" w:lineRule="exact"/>
        <w:ind w:firstLine="504" w:firstLineChars="240"/>
        <w:rPr>
          <w:rFonts w:ascii="仿宋_GB2312" w:hAnsi="仿宋" w:eastAsia="仿宋_GB2312"/>
          <w:color w:val="auto"/>
          <w:szCs w:val="21"/>
          <w:lang w:val="zh-CN"/>
        </w:rPr>
      </w:pPr>
      <w:r>
        <w:rPr>
          <w:rFonts w:hint="eastAsia" w:ascii="仿宋_GB2312" w:hAnsi="仿宋" w:eastAsia="仿宋_GB2312"/>
          <w:color w:val="auto"/>
          <w:szCs w:val="21"/>
          <w:lang w:val="zh-CN"/>
        </w:rPr>
        <w:t>8、争议</w:t>
      </w:r>
    </w:p>
    <w:p>
      <w:pPr>
        <w:autoSpaceDE w:val="0"/>
        <w:autoSpaceDN w:val="0"/>
        <w:spacing w:line="540" w:lineRule="exact"/>
        <w:ind w:firstLine="540"/>
        <w:rPr>
          <w:rFonts w:ascii="仿宋_GB2312" w:hAnsi="仿宋" w:eastAsia="仿宋_GB2312"/>
          <w:color w:val="auto"/>
          <w:szCs w:val="21"/>
          <w:lang w:val="zh-CN"/>
        </w:rPr>
      </w:pPr>
      <w:r>
        <w:rPr>
          <w:rFonts w:hint="eastAsia" w:ascii="仿宋_GB2312" w:hAnsi="仿宋" w:eastAsia="仿宋_GB2312"/>
          <w:color w:val="auto"/>
          <w:szCs w:val="21"/>
          <w:lang w:val="zh-CN"/>
        </w:rPr>
        <w:t>8.1 双方约定，凡因执行本合同所发生的与本合同有关的一切争议，当和解或调解不成时，选择下列第</w:t>
      </w:r>
      <w:r>
        <w:rPr>
          <w:rFonts w:hint="eastAsia" w:ascii="仿宋_GB2312" w:hAnsi="仿宋" w:eastAsia="仿宋_GB2312"/>
          <w:color w:val="auto"/>
          <w:szCs w:val="21"/>
          <w:u w:val="single"/>
        </w:rPr>
        <w:t xml:space="preserve"> </w:t>
      </w:r>
      <w:r>
        <w:rPr>
          <w:rFonts w:hint="eastAsia" w:ascii="仿宋_GB2312" w:hAnsi="仿宋" w:eastAsia="仿宋_GB2312"/>
          <w:color w:val="auto"/>
          <w:szCs w:val="21"/>
          <w:u w:val="single"/>
          <w:lang w:val="zh-CN"/>
        </w:rPr>
        <w:t>2</w:t>
      </w:r>
      <w:r>
        <w:rPr>
          <w:rFonts w:hint="eastAsia" w:ascii="仿宋_GB2312" w:hAnsi="仿宋" w:eastAsia="仿宋_GB2312"/>
          <w:color w:val="auto"/>
          <w:szCs w:val="21"/>
          <w:u w:val="single"/>
        </w:rPr>
        <w:t xml:space="preserve"> </w:t>
      </w:r>
      <w:r>
        <w:rPr>
          <w:rFonts w:hint="eastAsia" w:ascii="仿宋_GB2312" w:hAnsi="仿宋" w:eastAsia="仿宋_GB2312"/>
          <w:color w:val="auto"/>
          <w:szCs w:val="21"/>
          <w:lang w:val="zh-CN"/>
        </w:rPr>
        <w:t>种方式解决：</w:t>
      </w:r>
    </w:p>
    <w:p>
      <w:pPr>
        <w:autoSpaceDE w:val="0"/>
        <w:autoSpaceDN w:val="0"/>
        <w:spacing w:line="540" w:lineRule="exact"/>
        <w:ind w:firstLine="540"/>
        <w:rPr>
          <w:rFonts w:ascii="仿宋_GB2312" w:hAnsi="仿宋" w:eastAsia="仿宋_GB2312"/>
          <w:color w:val="auto"/>
          <w:szCs w:val="21"/>
          <w:lang w:val="zh-CN"/>
        </w:rPr>
      </w:pPr>
      <w:r>
        <w:rPr>
          <w:rFonts w:hint="eastAsia" w:ascii="仿宋_GB2312" w:hAnsi="仿宋" w:eastAsia="仿宋_GB2312"/>
          <w:color w:val="auto"/>
          <w:szCs w:val="21"/>
          <w:lang w:val="zh-CN"/>
        </w:rPr>
        <w:t>（1）将争议提交</w:t>
      </w:r>
      <w:r>
        <w:rPr>
          <w:rFonts w:hint="eastAsia" w:ascii="仿宋_GB2312" w:hAnsi="仿宋" w:eastAsia="仿宋_GB2312"/>
          <w:color w:val="auto"/>
          <w:szCs w:val="21"/>
          <w:u w:val="single"/>
          <w:lang w:val="zh-CN"/>
        </w:rPr>
        <w:t xml:space="preserve">        /        </w:t>
      </w:r>
      <w:r>
        <w:rPr>
          <w:rFonts w:hint="eastAsia" w:ascii="仿宋_GB2312" w:hAnsi="仿宋" w:eastAsia="仿宋_GB2312"/>
          <w:color w:val="auto"/>
          <w:szCs w:val="21"/>
          <w:lang w:val="zh-CN"/>
        </w:rPr>
        <w:t>仲裁委员会仲裁；</w:t>
      </w:r>
    </w:p>
    <w:p>
      <w:pPr>
        <w:autoSpaceDE w:val="0"/>
        <w:autoSpaceDN w:val="0"/>
        <w:spacing w:line="540" w:lineRule="exact"/>
        <w:ind w:firstLine="540"/>
        <w:rPr>
          <w:rFonts w:ascii="仿宋_GB2312" w:hAnsi="仿宋" w:eastAsia="仿宋_GB2312"/>
          <w:color w:val="auto"/>
          <w:szCs w:val="21"/>
          <w:lang w:val="zh-CN"/>
        </w:rPr>
      </w:pPr>
      <w:r>
        <w:rPr>
          <w:rFonts w:hint="eastAsia" w:ascii="仿宋_GB2312" w:hAnsi="仿宋" w:eastAsia="仿宋_GB2312"/>
          <w:color w:val="auto"/>
          <w:szCs w:val="21"/>
          <w:lang w:val="zh-CN"/>
        </w:rPr>
        <w:t>（2）依法向</w:t>
      </w:r>
      <w:r>
        <w:rPr>
          <w:rFonts w:hint="eastAsia" w:ascii="仿宋_GB2312" w:hAnsi="仿宋" w:eastAsia="仿宋_GB2312"/>
          <w:color w:val="auto"/>
          <w:szCs w:val="21"/>
          <w:u w:val="single"/>
          <w:lang w:val="zh-CN"/>
        </w:rPr>
        <w:t xml:space="preserve">   合同签订地  </w:t>
      </w:r>
      <w:r>
        <w:rPr>
          <w:rFonts w:hint="eastAsia" w:ascii="仿宋_GB2312" w:hAnsi="仿宋" w:eastAsia="仿宋_GB2312"/>
          <w:color w:val="auto"/>
          <w:szCs w:val="21"/>
          <w:lang w:val="zh-CN"/>
        </w:rPr>
        <w:t>人民法院提起诉讼。</w:t>
      </w:r>
    </w:p>
    <w:p>
      <w:pPr>
        <w:autoSpaceDE w:val="0"/>
        <w:autoSpaceDN w:val="0"/>
        <w:spacing w:line="540" w:lineRule="exact"/>
        <w:ind w:firstLine="540"/>
        <w:rPr>
          <w:rFonts w:ascii="仿宋_GB2312" w:hAnsi="仿宋" w:eastAsia="仿宋_GB2312"/>
          <w:b/>
          <w:bCs/>
          <w:color w:val="auto"/>
          <w:szCs w:val="21"/>
          <w:lang w:val="zh-CN"/>
        </w:rPr>
      </w:pPr>
      <w:r>
        <w:rPr>
          <w:rFonts w:hint="eastAsia" w:ascii="仿宋_GB2312" w:hAnsi="仿宋" w:eastAsia="仿宋_GB2312"/>
          <w:b/>
          <w:bCs/>
          <w:color w:val="auto"/>
          <w:szCs w:val="21"/>
          <w:lang w:val="zh-CN"/>
        </w:rPr>
        <w:t>四、其他</w:t>
      </w:r>
    </w:p>
    <w:p>
      <w:pPr>
        <w:autoSpaceDE w:val="0"/>
        <w:autoSpaceDN w:val="0"/>
        <w:spacing w:line="540" w:lineRule="exact"/>
        <w:ind w:firstLine="540"/>
        <w:rPr>
          <w:rFonts w:ascii="仿宋_GB2312" w:hAnsi="仿宋" w:eastAsia="仿宋_GB2312"/>
          <w:color w:val="auto"/>
          <w:szCs w:val="21"/>
          <w:lang w:val="zh-CN"/>
        </w:rPr>
      </w:pPr>
      <w:r>
        <w:rPr>
          <w:rFonts w:hint="eastAsia" w:ascii="仿宋_GB2312" w:hAnsi="仿宋" w:eastAsia="仿宋_GB2312"/>
          <w:color w:val="auto"/>
          <w:szCs w:val="21"/>
          <w:lang w:val="zh-CN"/>
        </w:rPr>
        <w:t>9、合同份数</w:t>
      </w:r>
    </w:p>
    <w:p>
      <w:pPr>
        <w:autoSpaceDE w:val="0"/>
        <w:autoSpaceDN w:val="0"/>
        <w:spacing w:line="540" w:lineRule="exact"/>
        <w:ind w:firstLine="540"/>
        <w:rPr>
          <w:rFonts w:ascii="仿宋_GB2312" w:hAnsi="仿宋" w:eastAsia="仿宋_GB2312"/>
          <w:color w:val="auto"/>
          <w:szCs w:val="21"/>
          <w:lang w:val="zh-CN"/>
        </w:rPr>
      </w:pPr>
      <w:r>
        <w:rPr>
          <w:rFonts w:hint="eastAsia" w:ascii="仿宋_GB2312" w:hAnsi="仿宋" w:eastAsia="仿宋_GB2312"/>
          <w:color w:val="auto"/>
          <w:szCs w:val="21"/>
          <w:lang w:val="zh-CN"/>
        </w:rPr>
        <w:t>9.1 双方约定本合同共</w:t>
      </w:r>
      <w:r>
        <w:rPr>
          <w:rFonts w:hint="eastAsia" w:ascii="仿宋_GB2312" w:hAnsi="仿宋" w:eastAsia="仿宋_GB2312"/>
          <w:color w:val="auto"/>
          <w:szCs w:val="21"/>
          <w:u w:val="single"/>
          <w:lang w:val="zh-CN"/>
        </w:rPr>
        <w:t>四</w:t>
      </w:r>
      <w:r>
        <w:rPr>
          <w:rFonts w:hint="eastAsia" w:ascii="仿宋_GB2312" w:hAnsi="仿宋" w:eastAsia="仿宋_GB2312"/>
          <w:color w:val="auto"/>
          <w:szCs w:val="21"/>
          <w:lang w:val="zh-CN"/>
        </w:rPr>
        <w:t>份，双方各执贰份。</w:t>
      </w:r>
    </w:p>
    <w:p>
      <w:pPr>
        <w:spacing w:line="540" w:lineRule="exact"/>
        <w:ind w:firstLine="540"/>
        <w:rPr>
          <w:rFonts w:ascii="仿宋_GB2312" w:hAnsi="仿宋" w:eastAsia="仿宋_GB2312"/>
          <w:color w:val="auto"/>
          <w:szCs w:val="21"/>
          <w:lang w:val="zh-CN"/>
        </w:rPr>
      </w:pPr>
      <w:r>
        <w:rPr>
          <w:rFonts w:hint="eastAsia" w:ascii="仿宋_GB2312" w:hAnsi="仿宋" w:eastAsia="仿宋_GB2312"/>
          <w:color w:val="auto"/>
          <w:szCs w:val="21"/>
          <w:lang w:val="zh-CN"/>
        </w:rPr>
        <w:t>10、补充条款：</w:t>
      </w:r>
    </w:p>
    <w:p>
      <w:pPr>
        <w:autoSpaceDE w:val="0"/>
        <w:autoSpaceDN w:val="0"/>
        <w:spacing w:line="540" w:lineRule="exact"/>
        <w:ind w:firstLine="540"/>
        <w:rPr>
          <w:rFonts w:ascii="仿宋_GB2312" w:hAnsi="仿宋" w:eastAsia="仿宋_GB2312"/>
          <w:color w:val="auto"/>
          <w:szCs w:val="21"/>
          <w:u w:val="single"/>
        </w:rPr>
      </w:pPr>
      <w:r>
        <w:rPr>
          <w:rFonts w:hint="eastAsia" w:ascii="仿宋_GB2312" w:hAnsi="仿宋" w:eastAsia="仿宋_GB2312"/>
          <w:color w:val="auto"/>
          <w:szCs w:val="21"/>
          <w:u w:val="single"/>
        </w:rPr>
        <w:t>10.1单个项目招标代理服务费按标准计算并让利后不足3000元的，按3000元/项收费；工程造价咨询服务费按标准计算并让利后不足2000元的，按2000元/项收费。</w:t>
      </w:r>
    </w:p>
    <w:p>
      <w:pPr>
        <w:autoSpaceDE w:val="0"/>
        <w:autoSpaceDN w:val="0"/>
        <w:spacing w:line="540" w:lineRule="exact"/>
        <w:ind w:firstLine="540"/>
        <w:rPr>
          <w:rFonts w:ascii="仿宋_GB2312" w:hAnsi="仿宋" w:eastAsia="仿宋_GB2312"/>
          <w:color w:val="auto"/>
          <w:szCs w:val="21"/>
          <w:u w:val="single"/>
        </w:rPr>
      </w:pPr>
      <w:r>
        <w:rPr>
          <w:rFonts w:hint="eastAsia" w:ascii="仿宋_GB2312" w:hAnsi="仿宋" w:eastAsia="仿宋_GB2312"/>
          <w:color w:val="auto"/>
          <w:szCs w:val="21"/>
          <w:u w:val="single"/>
        </w:rPr>
        <w:t>10.2完成招标工作后，受托人提供招投标存档资料至少一式二份。</w:t>
      </w:r>
    </w:p>
    <w:p>
      <w:pPr>
        <w:spacing w:line="360" w:lineRule="auto"/>
        <w:ind w:right="840"/>
        <w:rPr>
          <w:rFonts w:ascii="仿宋_GB2312" w:eastAsia="仿宋_GB2312"/>
          <w:color w:val="auto"/>
        </w:rPr>
      </w:pPr>
    </w:p>
    <w:p>
      <w:pPr>
        <w:pStyle w:val="21"/>
        <w:spacing w:line="429" w:lineRule="exact"/>
        <w:jc w:val="left"/>
        <w:rPr>
          <w:color w:val="auto"/>
          <w:sz w:val="21"/>
          <w:szCs w:val="21"/>
          <w:lang w:val="en-US" w:eastAsia="zh-CN" w:bidi="ar-SA"/>
        </w:rPr>
      </w:pPr>
      <w:r>
        <w:rPr>
          <w:rFonts w:hint="eastAsia"/>
          <w:color w:val="auto"/>
          <w:sz w:val="21"/>
          <w:szCs w:val="21"/>
          <w:lang w:val="en-US" w:eastAsia="zh-CN" w:bidi="ar-SA"/>
        </w:rPr>
        <w:t>附件：考核条款</w:t>
      </w:r>
    </w:p>
    <w:p>
      <w:pPr>
        <w:pStyle w:val="21"/>
        <w:tabs>
          <w:tab w:val="left" w:pos="346"/>
        </w:tabs>
        <w:spacing w:line="429" w:lineRule="exact"/>
        <w:jc w:val="left"/>
        <w:rPr>
          <w:color w:val="auto"/>
          <w:sz w:val="21"/>
          <w:szCs w:val="21"/>
          <w:lang w:val="en-US" w:eastAsia="zh-CN" w:bidi="ar-SA"/>
        </w:rPr>
      </w:pPr>
      <w:bookmarkStart w:id="424" w:name="bookmark0"/>
      <w:r>
        <w:rPr>
          <w:rFonts w:hint="eastAsia"/>
          <w:color w:val="auto"/>
          <w:sz w:val="21"/>
          <w:szCs w:val="21"/>
          <w:lang w:val="en-US" w:eastAsia="zh-CN" w:bidi="ar-SA"/>
        </w:rPr>
        <w:t>1</w:t>
      </w:r>
      <w:bookmarkEnd w:id="424"/>
      <w:r>
        <w:rPr>
          <w:rFonts w:hint="eastAsia"/>
          <w:color w:val="auto"/>
          <w:sz w:val="21"/>
          <w:szCs w:val="21"/>
          <w:lang w:val="en-US" w:eastAsia="zh-CN" w:bidi="ar-SA"/>
        </w:rPr>
        <w:t>、</w:t>
      </w:r>
      <w:r>
        <w:rPr>
          <w:rFonts w:hint="eastAsia"/>
          <w:color w:val="auto"/>
          <w:sz w:val="21"/>
          <w:szCs w:val="21"/>
          <w:lang w:val="en-US" w:eastAsia="zh-CN" w:bidi="ar-SA"/>
        </w:rPr>
        <w:tab/>
      </w:r>
      <w:r>
        <w:rPr>
          <w:rFonts w:hint="eastAsia"/>
          <w:color w:val="auto"/>
          <w:sz w:val="21"/>
          <w:szCs w:val="21"/>
          <w:lang w:val="en-US" w:eastAsia="zh-CN" w:bidi="ar-SA"/>
        </w:rPr>
        <w:t>季度考核85分以上，不扣款</w:t>
      </w:r>
    </w:p>
    <w:p>
      <w:pPr>
        <w:pStyle w:val="21"/>
        <w:tabs>
          <w:tab w:val="left" w:pos="363"/>
        </w:tabs>
        <w:spacing w:line="429" w:lineRule="exact"/>
        <w:jc w:val="left"/>
        <w:rPr>
          <w:color w:val="auto"/>
          <w:sz w:val="21"/>
          <w:szCs w:val="21"/>
          <w:lang w:val="en-US" w:eastAsia="zh-CN" w:bidi="ar-SA"/>
        </w:rPr>
      </w:pPr>
      <w:bookmarkStart w:id="425" w:name="bookmark1"/>
      <w:r>
        <w:rPr>
          <w:rFonts w:hint="eastAsia"/>
          <w:color w:val="auto"/>
          <w:sz w:val="21"/>
          <w:szCs w:val="21"/>
          <w:lang w:val="en-US" w:eastAsia="zh-CN" w:bidi="ar-SA"/>
        </w:rPr>
        <w:t>2</w:t>
      </w:r>
      <w:bookmarkEnd w:id="425"/>
      <w:r>
        <w:rPr>
          <w:rFonts w:hint="eastAsia"/>
          <w:color w:val="auto"/>
          <w:sz w:val="21"/>
          <w:szCs w:val="21"/>
          <w:lang w:val="en-US" w:eastAsia="zh-CN" w:bidi="ar-SA"/>
        </w:rPr>
        <w:t>、</w:t>
      </w:r>
      <w:r>
        <w:rPr>
          <w:rFonts w:hint="eastAsia"/>
          <w:color w:val="auto"/>
          <w:sz w:val="21"/>
          <w:szCs w:val="21"/>
          <w:lang w:val="en-US" w:eastAsia="zh-CN" w:bidi="ar-SA"/>
        </w:rPr>
        <w:tab/>
      </w:r>
      <w:r>
        <w:rPr>
          <w:rFonts w:hint="eastAsia"/>
          <w:color w:val="auto"/>
          <w:sz w:val="21"/>
          <w:szCs w:val="21"/>
          <w:lang w:val="en-US" w:eastAsia="zh-CN" w:bidi="ar-SA"/>
        </w:rPr>
        <w:t>季度考核85分以下，每少一分扣200元整</w:t>
      </w:r>
    </w:p>
    <w:p>
      <w:pPr>
        <w:pStyle w:val="21"/>
        <w:tabs>
          <w:tab w:val="left" w:pos="363"/>
        </w:tabs>
        <w:spacing w:line="429" w:lineRule="exact"/>
        <w:jc w:val="left"/>
        <w:rPr>
          <w:color w:val="auto"/>
          <w:sz w:val="21"/>
          <w:szCs w:val="21"/>
          <w:lang w:val="en-US" w:eastAsia="zh-CN" w:bidi="ar-SA"/>
        </w:rPr>
      </w:pPr>
      <w:bookmarkStart w:id="426" w:name="bookmark2"/>
      <w:r>
        <w:rPr>
          <w:rFonts w:hint="eastAsia"/>
          <w:color w:val="auto"/>
          <w:sz w:val="21"/>
          <w:szCs w:val="21"/>
          <w:lang w:val="en-US" w:eastAsia="zh-CN" w:bidi="ar-SA"/>
        </w:rPr>
        <w:t>3</w:t>
      </w:r>
      <w:bookmarkEnd w:id="426"/>
      <w:r>
        <w:rPr>
          <w:rFonts w:hint="eastAsia"/>
          <w:color w:val="auto"/>
          <w:sz w:val="21"/>
          <w:szCs w:val="21"/>
          <w:lang w:val="en-US" w:eastAsia="zh-CN" w:bidi="ar-SA"/>
        </w:rPr>
        <w:t>、</w:t>
      </w:r>
      <w:r>
        <w:rPr>
          <w:rFonts w:hint="eastAsia"/>
          <w:color w:val="auto"/>
          <w:sz w:val="21"/>
          <w:szCs w:val="21"/>
          <w:lang w:val="en-US" w:eastAsia="zh-CN" w:bidi="ar-SA"/>
        </w:rPr>
        <w:tab/>
      </w:r>
      <w:r>
        <w:rPr>
          <w:rFonts w:hint="eastAsia"/>
          <w:color w:val="auto"/>
          <w:sz w:val="21"/>
          <w:szCs w:val="21"/>
          <w:lang w:val="en-US" w:eastAsia="zh-CN" w:bidi="ar-SA"/>
        </w:rPr>
        <w:t>季度考核70分以下，每少一分扣500元整</w:t>
      </w:r>
    </w:p>
    <w:p>
      <w:pPr>
        <w:pStyle w:val="21"/>
        <w:tabs>
          <w:tab w:val="left" w:pos="363"/>
        </w:tabs>
        <w:spacing w:line="429" w:lineRule="exact"/>
        <w:jc w:val="left"/>
        <w:rPr>
          <w:color w:val="auto"/>
          <w:sz w:val="21"/>
          <w:szCs w:val="21"/>
          <w:lang w:val="en-US" w:eastAsia="zh-CN" w:bidi="ar-SA"/>
        </w:rPr>
      </w:pPr>
      <w:r>
        <w:rPr>
          <w:rFonts w:hint="eastAsia"/>
          <w:color w:val="auto"/>
          <w:sz w:val="21"/>
          <w:szCs w:val="21"/>
          <w:lang w:val="en-US" w:eastAsia="zh-CN" w:bidi="ar-SA"/>
        </w:rPr>
        <w:t>4、季度考核60分以下，甲方有权解除服务合同。</w:t>
      </w:r>
    </w:p>
    <w:p>
      <w:pPr>
        <w:pStyle w:val="22"/>
        <w:jc w:val="center"/>
        <w:rPr>
          <w:color w:val="auto"/>
          <w:sz w:val="21"/>
          <w:szCs w:val="21"/>
          <w:lang w:val="en-US" w:eastAsia="zh-CN" w:bidi="ar-SA"/>
        </w:rPr>
      </w:pPr>
    </w:p>
    <w:p>
      <w:pPr>
        <w:pStyle w:val="22"/>
        <w:jc w:val="center"/>
        <w:rPr>
          <w:b/>
          <w:bCs/>
          <w:color w:val="auto"/>
          <w:sz w:val="24"/>
          <w:szCs w:val="24"/>
          <w:lang w:val="en-US" w:eastAsia="zh-CN" w:bidi="ar-SA"/>
        </w:rPr>
      </w:pPr>
      <w:r>
        <w:rPr>
          <w:rFonts w:hint="eastAsia"/>
          <w:b/>
          <w:bCs/>
          <w:color w:val="auto"/>
          <w:sz w:val="24"/>
          <w:szCs w:val="24"/>
          <w:lang w:val="en-US" w:eastAsia="zh-CN" w:bidi="ar-SA"/>
        </w:rPr>
        <w:t>招标代理服务考核表</w:t>
      </w:r>
    </w:p>
    <w:p>
      <w:pPr>
        <w:pStyle w:val="22"/>
        <w:jc w:val="center"/>
        <w:rPr>
          <w:color w:val="auto"/>
          <w:sz w:val="21"/>
          <w:szCs w:val="21"/>
          <w:lang w:val="en-US" w:eastAsia="zh-CN" w:bidi="ar-SA"/>
        </w:rPr>
      </w:pPr>
    </w:p>
    <w:tbl>
      <w:tblPr>
        <w:tblStyle w:val="14"/>
        <w:tblW w:w="0" w:type="dxa"/>
        <w:jc w:val="center"/>
        <w:tblLayout w:type="fixed"/>
        <w:tblCellMar>
          <w:top w:w="0" w:type="dxa"/>
          <w:left w:w="10" w:type="dxa"/>
          <w:bottom w:w="0" w:type="dxa"/>
          <w:right w:w="10" w:type="dxa"/>
        </w:tblCellMar>
      </w:tblPr>
      <w:tblGrid>
        <w:gridCol w:w="1046"/>
        <w:gridCol w:w="3754"/>
        <w:gridCol w:w="1466"/>
        <w:gridCol w:w="909"/>
      </w:tblGrid>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序号</w:t>
            </w:r>
          </w:p>
        </w:tc>
        <w:tc>
          <w:tcPr>
            <w:tcW w:w="3754"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考核内容</w:t>
            </w:r>
          </w:p>
        </w:tc>
        <w:tc>
          <w:tcPr>
            <w:tcW w:w="1466"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分值</w:t>
            </w:r>
          </w:p>
        </w:tc>
        <w:tc>
          <w:tcPr>
            <w:tcW w:w="909" w:type="dxa"/>
            <w:tcBorders>
              <w:top w:val="single" w:color="auto" w:sz="4" w:space="0"/>
              <w:left w:val="single" w:color="auto" w:sz="4" w:space="0"/>
              <w:right w:val="single" w:color="auto" w:sz="4" w:space="0"/>
            </w:tcBorders>
            <w:shd w:val="clear" w:color="auto" w:fill="FFFFFF"/>
            <w:vAlign w:val="center"/>
          </w:tcPr>
          <w:p>
            <w:pPr>
              <w:pStyle w:val="23"/>
              <w:spacing w:line="240" w:lineRule="auto"/>
              <w:jc w:val="center"/>
              <w:rPr>
                <w:color w:val="auto"/>
                <w:sz w:val="21"/>
                <w:szCs w:val="21"/>
                <w:lang w:val="en-US" w:eastAsia="zh-CN" w:bidi="ar-SA"/>
              </w:rPr>
            </w:pPr>
            <w:r>
              <w:rPr>
                <w:rFonts w:hint="eastAsia"/>
                <w:color w:val="auto"/>
                <w:sz w:val="21"/>
                <w:szCs w:val="21"/>
                <w:lang w:val="en-US" w:eastAsia="zh-CN" w:bidi="ar-SA"/>
              </w:rPr>
              <w:t>打分</w:t>
            </w: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1</w:t>
            </w:r>
          </w:p>
        </w:tc>
        <w:tc>
          <w:tcPr>
            <w:tcW w:w="3754"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招标文件撰写规范和专业性</w:t>
            </w:r>
          </w:p>
        </w:tc>
        <w:tc>
          <w:tcPr>
            <w:tcW w:w="1466"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15</w:t>
            </w:r>
          </w:p>
        </w:tc>
        <w:tc>
          <w:tcPr>
            <w:tcW w:w="909"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cs="宋体"/>
                <w:color w:val="auto"/>
                <w:szCs w:val="21"/>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2</w:t>
            </w:r>
          </w:p>
        </w:tc>
        <w:tc>
          <w:tcPr>
            <w:tcW w:w="3754"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招标及中标公告内容完整性、及时性</w:t>
            </w:r>
          </w:p>
        </w:tc>
        <w:tc>
          <w:tcPr>
            <w:tcW w:w="1466"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10</w:t>
            </w:r>
          </w:p>
        </w:tc>
        <w:tc>
          <w:tcPr>
            <w:tcW w:w="909"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cs="宋体"/>
                <w:color w:val="auto"/>
                <w:szCs w:val="21"/>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3</w:t>
            </w:r>
          </w:p>
        </w:tc>
        <w:tc>
          <w:tcPr>
            <w:tcW w:w="3754"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招标代理活动各环节的规范性和专业性</w:t>
            </w:r>
          </w:p>
        </w:tc>
        <w:tc>
          <w:tcPr>
            <w:tcW w:w="1466"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15</w:t>
            </w:r>
          </w:p>
        </w:tc>
        <w:tc>
          <w:tcPr>
            <w:tcW w:w="909"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cs="宋体"/>
                <w:color w:val="auto"/>
                <w:szCs w:val="21"/>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4</w:t>
            </w:r>
          </w:p>
        </w:tc>
        <w:tc>
          <w:tcPr>
            <w:tcW w:w="3754"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因招标代理原因引起的投诉量和影响</w:t>
            </w:r>
          </w:p>
        </w:tc>
        <w:tc>
          <w:tcPr>
            <w:tcW w:w="1466"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15</w:t>
            </w:r>
          </w:p>
        </w:tc>
        <w:tc>
          <w:tcPr>
            <w:tcW w:w="909"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cs="宋体"/>
                <w:color w:val="auto"/>
                <w:szCs w:val="21"/>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bottom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5</w:t>
            </w:r>
          </w:p>
        </w:tc>
        <w:tc>
          <w:tcPr>
            <w:tcW w:w="3754" w:type="dxa"/>
            <w:tcBorders>
              <w:top w:val="single" w:color="auto" w:sz="4" w:space="0"/>
              <w:left w:val="single" w:color="auto" w:sz="4" w:space="0"/>
              <w:bottom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投诉处理妥善性</w:t>
            </w:r>
          </w:p>
        </w:tc>
        <w:tc>
          <w:tcPr>
            <w:tcW w:w="1466" w:type="dxa"/>
            <w:tcBorders>
              <w:top w:val="single" w:color="auto" w:sz="4" w:space="0"/>
              <w:left w:val="single" w:color="auto" w:sz="4" w:space="0"/>
              <w:bottom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15</w:t>
            </w:r>
          </w:p>
        </w:tc>
        <w:tc>
          <w:tcPr>
            <w:tcW w:w="90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auto"/>
                <w:szCs w:val="21"/>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bottom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6</w:t>
            </w:r>
          </w:p>
        </w:tc>
        <w:tc>
          <w:tcPr>
            <w:tcW w:w="3754" w:type="dxa"/>
            <w:tcBorders>
              <w:top w:val="single" w:color="auto" w:sz="4" w:space="0"/>
              <w:left w:val="single" w:color="auto" w:sz="4" w:space="0"/>
              <w:bottom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造价咨询报告出具的及时性、专业性，偏差率在10%以内、</w:t>
            </w:r>
          </w:p>
        </w:tc>
        <w:tc>
          <w:tcPr>
            <w:tcW w:w="1466" w:type="dxa"/>
            <w:tcBorders>
              <w:top w:val="single" w:color="auto" w:sz="4" w:space="0"/>
              <w:left w:val="single" w:color="auto" w:sz="4" w:space="0"/>
              <w:bottom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15</w:t>
            </w:r>
          </w:p>
        </w:tc>
        <w:tc>
          <w:tcPr>
            <w:tcW w:w="90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auto"/>
                <w:szCs w:val="21"/>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bottom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7</w:t>
            </w:r>
          </w:p>
        </w:tc>
        <w:tc>
          <w:tcPr>
            <w:tcW w:w="3754" w:type="dxa"/>
            <w:tcBorders>
              <w:top w:val="single" w:color="auto" w:sz="4" w:space="0"/>
              <w:left w:val="single" w:color="auto" w:sz="4" w:space="0"/>
              <w:bottom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造价咨询与招标代理期间就招标产生的问题是否能及时与甲方沟通</w:t>
            </w:r>
          </w:p>
        </w:tc>
        <w:tc>
          <w:tcPr>
            <w:tcW w:w="1466" w:type="dxa"/>
            <w:tcBorders>
              <w:top w:val="single" w:color="auto" w:sz="4" w:space="0"/>
              <w:left w:val="single" w:color="auto" w:sz="4" w:space="0"/>
              <w:bottom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15</w:t>
            </w:r>
          </w:p>
        </w:tc>
        <w:tc>
          <w:tcPr>
            <w:tcW w:w="90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auto"/>
                <w:szCs w:val="21"/>
              </w:rPr>
            </w:pPr>
          </w:p>
        </w:tc>
      </w:tr>
    </w:tbl>
    <w:p>
      <w:pPr>
        <w:spacing w:line="360" w:lineRule="auto"/>
        <w:ind w:right="840"/>
        <w:jc w:val="center"/>
        <w:rPr>
          <w:rFonts w:ascii="仿宋_GB2312" w:hAnsi="仿宋" w:eastAsia="仿宋_GB2312"/>
          <w:b/>
          <w:color w:val="auto"/>
          <w:sz w:val="36"/>
          <w:szCs w:val="20"/>
        </w:rPr>
      </w:pPr>
      <w:r>
        <w:rPr>
          <w:rFonts w:hint="eastAsia" w:ascii="仿宋_GB2312" w:eastAsia="仿宋_GB2312"/>
          <w:color w:val="auto"/>
        </w:rPr>
        <w:br w:type="page"/>
      </w:r>
      <w:bookmarkEnd w:id="422"/>
      <w:bookmarkEnd w:id="423"/>
      <w:r>
        <w:rPr>
          <w:rFonts w:hint="eastAsia" w:ascii="仿宋_GB2312" w:hAnsi="仿宋" w:eastAsia="仿宋_GB2312"/>
          <w:b/>
          <w:color w:val="auto"/>
          <w:sz w:val="36"/>
          <w:szCs w:val="20"/>
        </w:rPr>
        <w:t>第六部分 应提交的有关格式范例</w:t>
      </w:r>
    </w:p>
    <w:p>
      <w:pPr>
        <w:adjustRightInd/>
        <w:spacing w:line="360" w:lineRule="exact"/>
        <w:jc w:val="center"/>
        <w:rPr>
          <w:rFonts w:ascii="仿宋_GB2312" w:hAnsi="宋体" w:eastAsia="仿宋_GB2312"/>
          <w:color w:val="auto"/>
          <w:sz w:val="30"/>
          <w:szCs w:val="30"/>
        </w:rPr>
      </w:pPr>
      <w:r>
        <w:rPr>
          <w:rFonts w:hint="eastAsia" w:ascii="仿宋_GB2312" w:hAnsi="宋体" w:eastAsia="仿宋_GB2312"/>
          <w:color w:val="auto"/>
          <w:sz w:val="30"/>
          <w:szCs w:val="30"/>
        </w:rPr>
        <w:t>第六章  投标文件格式（参考）</w:t>
      </w:r>
    </w:p>
    <w:p>
      <w:pPr>
        <w:adjustRightInd/>
        <w:snapToGrid w:val="0"/>
        <w:spacing w:line="360" w:lineRule="exact"/>
        <w:jc w:val="center"/>
        <w:outlineLvl w:val="1"/>
        <w:rPr>
          <w:rFonts w:ascii="仿宋_GB2312" w:hAnsi="宋体" w:eastAsia="仿宋_GB2312"/>
          <w:b/>
          <w:bCs/>
          <w:color w:val="auto"/>
          <w:sz w:val="24"/>
          <w:szCs w:val="20"/>
        </w:rPr>
      </w:pPr>
      <w:r>
        <w:rPr>
          <w:rFonts w:hint="eastAsia" w:ascii="仿宋_GB2312" w:hAnsi="宋体" w:eastAsia="仿宋_GB2312"/>
          <w:b/>
          <w:bCs/>
          <w:color w:val="auto"/>
          <w:sz w:val="24"/>
        </w:rPr>
        <w:t>一、投标文件外层包装封面格式</w:t>
      </w:r>
    </w:p>
    <w:p>
      <w:pPr>
        <w:adjustRightInd/>
        <w:snapToGrid w:val="0"/>
        <w:spacing w:line="360" w:lineRule="exact"/>
        <w:jc w:val="center"/>
        <w:rPr>
          <w:rFonts w:ascii="仿宋_GB2312" w:hAnsi="宋体" w:eastAsia="仿宋_GB2312"/>
          <w:bCs/>
          <w:color w:val="auto"/>
          <w:sz w:val="24"/>
          <w:szCs w:val="20"/>
        </w:rPr>
      </w:pPr>
    </w:p>
    <w:p>
      <w:pPr>
        <w:adjustRightInd/>
        <w:snapToGrid w:val="0"/>
        <w:spacing w:line="360" w:lineRule="exact"/>
        <w:jc w:val="center"/>
        <w:rPr>
          <w:rFonts w:ascii="仿宋_GB2312" w:hAnsi="宋体" w:eastAsia="仿宋_GB2312"/>
          <w:bCs/>
          <w:color w:val="auto"/>
          <w:sz w:val="24"/>
          <w:szCs w:val="20"/>
        </w:rPr>
      </w:pPr>
      <w:r>
        <w:rPr>
          <w:rFonts w:hint="eastAsia" w:ascii="仿宋_GB2312" w:hAnsi="宋体" w:eastAsia="仿宋_GB2312"/>
          <w:bCs/>
          <w:color w:val="auto"/>
          <w:sz w:val="24"/>
        </w:rPr>
        <w:t>投 标 文 件</w:t>
      </w:r>
    </w:p>
    <w:p>
      <w:pPr>
        <w:adjustRightInd/>
        <w:snapToGrid w:val="0"/>
        <w:spacing w:line="360" w:lineRule="exact"/>
        <w:rPr>
          <w:rFonts w:ascii="仿宋_GB2312" w:hAnsi="宋体" w:eastAsia="仿宋_GB2312"/>
          <w:bCs/>
          <w:color w:val="auto"/>
          <w:sz w:val="24"/>
          <w:szCs w:val="20"/>
        </w:rPr>
      </w:pPr>
    </w:p>
    <w:p>
      <w:pPr>
        <w:adjustRightInd/>
        <w:snapToGrid w:val="0"/>
        <w:spacing w:line="360" w:lineRule="exact"/>
        <w:ind w:firstLine="900" w:firstLineChars="375"/>
        <w:rPr>
          <w:rFonts w:ascii="仿宋_GB2312" w:hAnsi="宋体" w:eastAsia="仿宋_GB2312"/>
          <w:bCs/>
          <w:color w:val="auto"/>
          <w:sz w:val="24"/>
          <w:szCs w:val="20"/>
        </w:rPr>
      </w:pPr>
      <w:r>
        <w:rPr>
          <w:rFonts w:hint="eastAsia" w:ascii="仿宋_GB2312" w:hAnsi="宋体" w:eastAsia="仿宋_GB2312"/>
          <w:bCs/>
          <w:color w:val="auto"/>
          <w:sz w:val="24"/>
        </w:rPr>
        <w:t>项目名称（注明标项）：</w:t>
      </w:r>
    </w:p>
    <w:p>
      <w:pPr>
        <w:adjustRightInd/>
        <w:snapToGrid w:val="0"/>
        <w:spacing w:line="360" w:lineRule="exact"/>
        <w:ind w:firstLine="900" w:firstLineChars="375"/>
        <w:rPr>
          <w:rFonts w:ascii="仿宋_GB2312" w:hAnsi="宋体" w:eastAsia="仿宋_GB2312"/>
          <w:bCs/>
          <w:color w:val="auto"/>
          <w:sz w:val="24"/>
          <w:szCs w:val="20"/>
        </w:rPr>
      </w:pPr>
      <w:r>
        <w:rPr>
          <w:rFonts w:hint="eastAsia" w:ascii="仿宋_GB2312" w:hAnsi="宋体" w:eastAsia="仿宋_GB2312"/>
          <w:bCs/>
          <w:color w:val="auto"/>
          <w:sz w:val="24"/>
        </w:rPr>
        <w:t xml:space="preserve">项目编号： </w:t>
      </w:r>
    </w:p>
    <w:p>
      <w:pPr>
        <w:adjustRightInd/>
        <w:snapToGrid w:val="0"/>
        <w:spacing w:line="360" w:lineRule="exact"/>
        <w:ind w:firstLine="900" w:firstLineChars="375"/>
        <w:rPr>
          <w:rFonts w:ascii="仿宋_GB2312" w:hAnsi="宋体" w:eastAsia="仿宋_GB2312"/>
          <w:bCs/>
          <w:color w:val="auto"/>
          <w:sz w:val="24"/>
        </w:rPr>
      </w:pPr>
      <w:r>
        <w:rPr>
          <w:rFonts w:hint="eastAsia" w:ascii="仿宋_GB2312" w:hAnsi="宋体" w:eastAsia="仿宋_GB2312"/>
          <w:bCs/>
          <w:color w:val="auto"/>
          <w:sz w:val="24"/>
        </w:rPr>
        <w:t>投标文件名称：商务文件或</w:t>
      </w:r>
      <w:r>
        <w:rPr>
          <w:rFonts w:hint="eastAsia" w:ascii="仿宋_GB2312" w:hAnsi="宋体" w:eastAsia="仿宋_GB2312"/>
          <w:color w:val="auto"/>
          <w:sz w:val="24"/>
        </w:rPr>
        <w:t>技术、资信、业绩及能力</w:t>
      </w:r>
      <w:r>
        <w:rPr>
          <w:rFonts w:hint="eastAsia" w:ascii="仿宋_GB2312" w:hAnsi="宋体" w:eastAsia="仿宋_GB2312"/>
          <w:bCs/>
          <w:color w:val="auto"/>
          <w:sz w:val="24"/>
        </w:rPr>
        <w:t>文件</w:t>
      </w:r>
    </w:p>
    <w:p>
      <w:pPr>
        <w:adjustRightInd/>
        <w:snapToGrid w:val="0"/>
        <w:spacing w:line="360" w:lineRule="exact"/>
        <w:ind w:firstLine="900" w:firstLineChars="375"/>
        <w:rPr>
          <w:rFonts w:ascii="仿宋_GB2312" w:hAnsi="宋体" w:eastAsia="仿宋_GB2312"/>
          <w:bCs/>
          <w:color w:val="auto"/>
          <w:sz w:val="24"/>
        </w:rPr>
      </w:pPr>
      <w:r>
        <w:rPr>
          <w:rFonts w:hint="eastAsia" w:ascii="仿宋_GB2312" w:hAnsi="宋体" w:eastAsia="仿宋_GB2312"/>
          <w:bCs/>
          <w:color w:val="auto"/>
          <w:sz w:val="24"/>
        </w:rPr>
        <w:t>投标人名称：</w:t>
      </w:r>
    </w:p>
    <w:p>
      <w:pPr>
        <w:adjustRightInd/>
        <w:snapToGrid w:val="0"/>
        <w:spacing w:line="360" w:lineRule="exact"/>
        <w:ind w:firstLine="900" w:firstLineChars="375"/>
        <w:rPr>
          <w:rFonts w:ascii="仿宋_GB2312" w:hAnsi="宋体" w:eastAsia="仿宋_GB2312"/>
          <w:bCs/>
          <w:color w:val="auto"/>
          <w:sz w:val="24"/>
        </w:rPr>
      </w:pPr>
      <w:r>
        <w:rPr>
          <w:rFonts w:hint="eastAsia" w:ascii="仿宋_GB2312" w:hAnsi="宋体" w:eastAsia="仿宋_GB2312"/>
          <w:bCs/>
          <w:color w:val="auto"/>
          <w:sz w:val="24"/>
        </w:rPr>
        <w:t>投标人地址：</w:t>
      </w:r>
    </w:p>
    <w:p>
      <w:pPr>
        <w:adjustRightInd/>
        <w:snapToGrid w:val="0"/>
        <w:spacing w:line="360" w:lineRule="exact"/>
        <w:ind w:firstLine="900" w:firstLineChars="375"/>
        <w:rPr>
          <w:rFonts w:ascii="仿宋_GB2312" w:hAnsi="宋体" w:eastAsia="仿宋_GB2312"/>
          <w:bCs/>
          <w:color w:val="auto"/>
          <w:sz w:val="24"/>
        </w:rPr>
      </w:pPr>
      <w:r>
        <w:rPr>
          <w:rFonts w:hint="eastAsia" w:ascii="仿宋_GB2312" w:hAnsi="宋体" w:eastAsia="仿宋_GB2312"/>
          <w:bCs/>
          <w:color w:val="auto"/>
          <w:sz w:val="24"/>
        </w:rPr>
        <w:t>在  年  月  日  时  分之前不得启封</w:t>
      </w:r>
    </w:p>
    <w:p>
      <w:pPr>
        <w:adjustRightInd/>
        <w:snapToGrid w:val="0"/>
        <w:spacing w:line="360" w:lineRule="exact"/>
        <w:ind w:firstLine="4080" w:firstLineChars="1700"/>
        <w:rPr>
          <w:rFonts w:ascii="仿宋_GB2312" w:hAnsi="宋体" w:eastAsia="仿宋_GB2312"/>
          <w:bCs/>
          <w:color w:val="auto"/>
          <w:sz w:val="24"/>
          <w:szCs w:val="20"/>
        </w:rPr>
      </w:pPr>
    </w:p>
    <w:p>
      <w:pPr>
        <w:adjustRightInd/>
        <w:snapToGrid w:val="0"/>
        <w:spacing w:line="360" w:lineRule="exact"/>
        <w:ind w:firstLine="645"/>
        <w:jc w:val="center"/>
        <w:rPr>
          <w:rFonts w:ascii="仿宋_GB2312" w:hAnsi="宋体" w:eastAsia="仿宋_GB2312"/>
          <w:bCs/>
          <w:color w:val="auto"/>
          <w:sz w:val="24"/>
          <w:szCs w:val="20"/>
        </w:rPr>
      </w:pPr>
      <w:r>
        <w:rPr>
          <w:rFonts w:hint="eastAsia" w:ascii="仿宋_GB2312" w:hAnsi="宋体" w:eastAsia="仿宋_GB2312"/>
          <w:bCs/>
          <w:color w:val="auto"/>
          <w:sz w:val="24"/>
        </w:rPr>
        <w:t xml:space="preserve">                        年  月  日</w:t>
      </w:r>
    </w:p>
    <w:p>
      <w:pPr>
        <w:adjustRightInd/>
        <w:snapToGrid w:val="0"/>
        <w:spacing w:line="360" w:lineRule="exact"/>
        <w:jc w:val="center"/>
        <w:outlineLvl w:val="1"/>
        <w:rPr>
          <w:rFonts w:ascii="仿宋_GB2312" w:hAnsi="宋体" w:eastAsia="仿宋_GB2312"/>
          <w:b/>
          <w:bCs/>
          <w:color w:val="auto"/>
          <w:sz w:val="24"/>
        </w:rPr>
      </w:pPr>
      <w:r>
        <w:rPr>
          <w:rFonts w:hint="eastAsia" w:ascii="仿宋_GB2312" w:hAnsi="宋体" w:eastAsia="仿宋_GB2312"/>
          <w:b/>
          <w:bCs/>
          <w:color w:val="auto"/>
          <w:sz w:val="24"/>
        </w:rPr>
        <w:t>二、商务文件格式</w:t>
      </w:r>
    </w:p>
    <w:p>
      <w:pPr>
        <w:adjustRightInd/>
        <w:snapToGrid w:val="0"/>
        <w:spacing w:line="360" w:lineRule="exact"/>
        <w:jc w:val="center"/>
        <w:rPr>
          <w:rFonts w:ascii="仿宋_GB2312" w:hAnsi="宋体" w:eastAsia="仿宋_GB2312"/>
          <w:bCs/>
          <w:color w:val="auto"/>
          <w:sz w:val="24"/>
          <w:szCs w:val="20"/>
        </w:rPr>
      </w:pPr>
      <w:r>
        <w:rPr>
          <w:rFonts w:hint="eastAsia" w:ascii="仿宋_GB2312" w:hAnsi="宋体" w:eastAsia="仿宋_GB2312"/>
          <w:color w:val="auto"/>
          <w:sz w:val="24"/>
        </w:rPr>
        <w:t>商务</w:t>
      </w:r>
      <w:r>
        <w:rPr>
          <w:rFonts w:hint="eastAsia" w:ascii="仿宋_GB2312" w:hAnsi="宋体" w:eastAsia="仿宋_GB2312"/>
          <w:bCs/>
          <w:color w:val="auto"/>
          <w:sz w:val="24"/>
        </w:rPr>
        <w:t>文件的外包装封面格式（不可缺）：</w:t>
      </w:r>
    </w:p>
    <w:p>
      <w:pPr>
        <w:adjustRightInd/>
        <w:snapToGrid w:val="0"/>
        <w:spacing w:line="360" w:lineRule="exact"/>
        <w:jc w:val="center"/>
        <w:rPr>
          <w:rFonts w:ascii="仿宋_GB2312" w:hAnsi="宋体" w:eastAsia="仿宋_GB2312"/>
          <w:bCs/>
          <w:color w:val="auto"/>
          <w:sz w:val="24"/>
          <w:szCs w:val="20"/>
        </w:rPr>
      </w:pPr>
    </w:p>
    <w:p>
      <w:pPr>
        <w:adjustRightInd/>
        <w:snapToGrid w:val="0"/>
        <w:spacing w:line="360" w:lineRule="exact"/>
        <w:jc w:val="center"/>
        <w:rPr>
          <w:rFonts w:ascii="仿宋_GB2312" w:hAnsi="宋体" w:eastAsia="仿宋_GB2312"/>
          <w:bCs/>
          <w:color w:val="auto"/>
          <w:sz w:val="24"/>
          <w:szCs w:val="20"/>
        </w:rPr>
      </w:pPr>
      <w:r>
        <w:rPr>
          <w:rFonts w:hint="eastAsia" w:ascii="仿宋_GB2312" w:hAnsi="宋体" w:eastAsia="仿宋_GB2312"/>
          <w:bCs/>
          <w:color w:val="auto"/>
          <w:sz w:val="24"/>
        </w:rPr>
        <w:t>商务文件</w:t>
      </w:r>
    </w:p>
    <w:p>
      <w:pPr>
        <w:adjustRightInd/>
        <w:snapToGrid w:val="0"/>
        <w:spacing w:line="360" w:lineRule="exact"/>
        <w:rPr>
          <w:rFonts w:ascii="仿宋_GB2312" w:hAnsi="宋体" w:eastAsia="仿宋_GB2312"/>
          <w:bCs/>
          <w:color w:val="auto"/>
          <w:sz w:val="24"/>
          <w:szCs w:val="20"/>
        </w:rPr>
      </w:pPr>
    </w:p>
    <w:p>
      <w:pPr>
        <w:adjustRightInd/>
        <w:snapToGrid w:val="0"/>
        <w:spacing w:line="360" w:lineRule="exact"/>
        <w:ind w:firstLine="720" w:firstLineChars="300"/>
        <w:rPr>
          <w:rFonts w:ascii="仿宋_GB2312" w:hAnsi="宋体" w:eastAsia="仿宋_GB2312"/>
          <w:bCs/>
          <w:color w:val="auto"/>
          <w:sz w:val="24"/>
          <w:szCs w:val="20"/>
        </w:rPr>
      </w:pPr>
      <w:r>
        <w:rPr>
          <w:rFonts w:hint="eastAsia" w:ascii="仿宋_GB2312" w:hAnsi="宋体" w:eastAsia="仿宋_GB2312"/>
          <w:bCs/>
          <w:color w:val="auto"/>
          <w:sz w:val="24"/>
        </w:rPr>
        <w:t>项目名称（注明标项）：</w:t>
      </w:r>
    </w:p>
    <w:p>
      <w:pPr>
        <w:adjustRightInd/>
        <w:snapToGrid w:val="0"/>
        <w:spacing w:line="360" w:lineRule="exact"/>
        <w:ind w:firstLine="720" w:firstLineChars="300"/>
        <w:rPr>
          <w:rFonts w:ascii="仿宋_GB2312" w:hAnsi="宋体" w:eastAsia="仿宋_GB2312"/>
          <w:bCs/>
          <w:color w:val="auto"/>
          <w:sz w:val="24"/>
        </w:rPr>
      </w:pPr>
      <w:r>
        <w:rPr>
          <w:rFonts w:hint="eastAsia" w:ascii="仿宋_GB2312" w:hAnsi="宋体" w:eastAsia="仿宋_GB2312"/>
          <w:bCs/>
          <w:color w:val="auto"/>
          <w:sz w:val="24"/>
        </w:rPr>
        <w:t xml:space="preserve">项目编号： </w:t>
      </w:r>
    </w:p>
    <w:p>
      <w:pPr>
        <w:adjustRightInd/>
        <w:snapToGrid w:val="0"/>
        <w:spacing w:line="360" w:lineRule="exact"/>
        <w:ind w:firstLine="720" w:firstLineChars="300"/>
        <w:rPr>
          <w:rFonts w:ascii="仿宋_GB2312" w:hAnsi="宋体" w:eastAsia="仿宋_GB2312"/>
          <w:bCs/>
          <w:color w:val="auto"/>
          <w:sz w:val="24"/>
        </w:rPr>
      </w:pPr>
      <w:r>
        <w:rPr>
          <w:rFonts w:hint="eastAsia" w:ascii="仿宋_GB2312" w:hAnsi="宋体" w:eastAsia="仿宋_GB2312"/>
          <w:bCs/>
          <w:color w:val="auto"/>
          <w:sz w:val="24"/>
        </w:rPr>
        <w:t>投标人名称：</w:t>
      </w:r>
    </w:p>
    <w:p>
      <w:pPr>
        <w:adjustRightInd/>
        <w:snapToGrid w:val="0"/>
        <w:spacing w:line="360" w:lineRule="exact"/>
        <w:ind w:firstLine="720" w:firstLineChars="300"/>
        <w:rPr>
          <w:rFonts w:ascii="仿宋_GB2312" w:hAnsi="宋体" w:eastAsia="仿宋_GB2312"/>
          <w:bCs/>
          <w:color w:val="auto"/>
          <w:sz w:val="24"/>
        </w:rPr>
      </w:pPr>
      <w:r>
        <w:rPr>
          <w:rFonts w:hint="eastAsia" w:ascii="仿宋_GB2312" w:hAnsi="宋体" w:eastAsia="仿宋_GB2312"/>
          <w:bCs/>
          <w:color w:val="auto"/>
          <w:sz w:val="24"/>
        </w:rPr>
        <w:t>投标人地址：</w:t>
      </w:r>
    </w:p>
    <w:p>
      <w:pPr>
        <w:adjustRightInd/>
        <w:snapToGrid w:val="0"/>
        <w:spacing w:line="360" w:lineRule="exact"/>
        <w:ind w:firstLine="720" w:firstLineChars="300"/>
        <w:rPr>
          <w:rFonts w:ascii="仿宋_GB2312" w:hAnsi="宋体" w:eastAsia="仿宋_GB2312"/>
          <w:bCs/>
          <w:color w:val="auto"/>
          <w:sz w:val="24"/>
        </w:rPr>
      </w:pPr>
      <w:r>
        <w:rPr>
          <w:rFonts w:hint="eastAsia" w:ascii="仿宋_GB2312" w:hAnsi="宋体" w:eastAsia="仿宋_GB2312"/>
          <w:bCs/>
          <w:color w:val="auto"/>
          <w:sz w:val="24"/>
        </w:rPr>
        <w:t>在  年  月  日  时  分之前不得启封</w:t>
      </w:r>
    </w:p>
    <w:p>
      <w:pPr>
        <w:adjustRightInd/>
        <w:snapToGrid w:val="0"/>
        <w:spacing w:line="400" w:lineRule="exact"/>
        <w:ind w:firstLine="1497" w:firstLineChars="416"/>
        <w:rPr>
          <w:rFonts w:ascii="仿宋_GB2312" w:hAnsi="宋体" w:eastAsia="仿宋_GB2312"/>
          <w:color w:val="auto"/>
          <w:sz w:val="36"/>
          <w:szCs w:val="20"/>
        </w:rPr>
      </w:pPr>
    </w:p>
    <w:p>
      <w:pPr>
        <w:adjustRightInd/>
        <w:snapToGrid w:val="0"/>
        <w:spacing w:line="360" w:lineRule="exact"/>
        <w:ind w:firstLine="645"/>
        <w:jc w:val="center"/>
        <w:rPr>
          <w:rFonts w:ascii="仿宋_GB2312" w:hAnsi="宋体" w:eastAsia="仿宋_GB2312"/>
          <w:color w:val="auto"/>
          <w:sz w:val="24"/>
          <w:szCs w:val="20"/>
        </w:rPr>
      </w:pPr>
      <w:r>
        <w:rPr>
          <w:rFonts w:hint="eastAsia" w:ascii="仿宋_GB2312" w:hAnsi="宋体" w:eastAsia="仿宋_GB2312"/>
          <w:color w:val="auto"/>
          <w:sz w:val="24"/>
        </w:rPr>
        <w:t xml:space="preserve">                        年  月  日</w:t>
      </w:r>
    </w:p>
    <w:p>
      <w:pPr>
        <w:adjustRightInd/>
        <w:snapToGrid w:val="0"/>
        <w:spacing w:line="360" w:lineRule="exact"/>
        <w:jc w:val="center"/>
        <w:rPr>
          <w:rFonts w:ascii="仿宋_GB2312" w:hAnsi="宋体" w:eastAsia="仿宋_GB2312"/>
          <w:color w:val="auto"/>
          <w:sz w:val="24"/>
          <w:szCs w:val="20"/>
        </w:rPr>
      </w:pPr>
    </w:p>
    <w:p>
      <w:pPr>
        <w:adjustRightInd/>
        <w:snapToGrid w:val="0"/>
        <w:spacing w:line="360" w:lineRule="exact"/>
        <w:rPr>
          <w:rFonts w:ascii="仿宋_GB2312" w:hAnsi="宋体" w:eastAsia="仿宋_GB2312"/>
          <w:color w:val="auto"/>
          <w:sz w:val="24"/>
          <w:szCs w:val="20"/>
        </w:rPr>
      </w:pPr>
      <w:r>
        <w:rPr>
          <w:rFonts w:hint="eastAsia" w:ascii="仿宋_GB2312" w:hAnsi="宋体" w:eastAsia="仿宋_GB2312"/>
          <w:color w:val="auto"/>
          <w:sz w:val="24"/>
        </w:rPr>
        <w:t xml:space="preserve">商务文件封面格式： </w:t>
      </w:r>
    </w:p>
    <w:p>
      <w:pPr>
        <w:adjustRightInd/>
        <w:snapToGrid w:val="0"/>
        <w:spacing w:line="360" w:lineRule="exact"/>
        <w:rPr>
          <w:rFonts w:ascii="仿宋_GB2312" w:hAnsi="宋体" w:eastAsia="仿宋_GB2312"/>
          <w:b/>
          <w:bCs/>
          <w:color w:val="auto"/>
          <w:sz w:val="32"/>
          <w:szCs w:val="20"/>
        </w:rPr>
      </w:pPr>
      <w:r>
        <w:rPr>
          <w:rFonts w:hint="eastAsia" w:ascii="仿宋_GB2312" w:hAnsi="宋体" w:eastAsia="仿宋_GB2312"/>
          <w:color w:val="auto"/>
          <w:sz w:val="24"/>
        </w:rPr>
        <w:t xml:space="preserve">                                                    </w:t>
      </w:r>
      <w:r>
        <w:rPr>
          <w:rFonts w:hint="eastAsia" w:ascii="仿宋_GB2312" w:hAnsi="宋体" w:eastAsia="仿宋_GB2312"/>
          <w:b/>
          <w:bCs/>
          <w:color w:val="auto"/>
        </w:rPr>
        <w:t>正本/或副本</w:t>
      </w:r>
    </w:p>
    <w:p>
      <w:pPr>
        <w:adjustRightInd/>
        <w:snapToGrid w:val="0"/>
        <w:spacing w:line="360" w:lineRule="exact"/>
        <w:jc w:val="center"/>
        <w:rPr>
          <w:rFonts w:ascii="仿宋_GB2312" w:hAnsi="宋体" w:eastAsia="仿宋_GB2312"/>
          <w:bCs/>
          <w:color w:val="auto"/>
          <w:sz w:val="24"/>
          <w:szCs w:val="20"/>
        </w:rPr>
      </w:pPr>
    </w:p>
    <w:p>
      <w:pPr>
        <w:adjustRightInd/>
        <w:snapToGrid w:val="0"/>
        <w:spacing w:line="360" w:lineRule="exact"/>
        <w:jc w:val="center"/>
        <w:rPr>
          <w:rFonts w:ascii="仿宋_GB2312" w:hAnsi="宋体" w:eastAsia="仿宋_GB2312"/>
          <w:bCs/>
          <w:color w:val="auto"/>
          <w:sz w:val="24"/>
          <w:szCs w:val="20"/>
        </w:rPr>
      </w:pPr>
      <w:r>
        <w:rPr>
          <w:rFonts w:hint="eastAsia" w:ascii="仿宋_GB2312" w:hAnsi="宋体" w:eastAsia="仿宋_GB2312"/>
          <w:bCs/>
          <w:color w:val="auto"/>
          <w:sz w:val="24"/>
        </w:rPr>
        <w:t>商务 文 件</w:t>
      </w:r>
    </w:p>
    <w:p>
      <w:pPr>
        <w:adjustRightInd/>
        <w:snapToGrid w:val="0"/>
        <w:spacing w:line="360" w:lineRule="exact"/>
        <w:rPr>
          <w:rFonts w:ascii="仿宋_GB2312" w:hAnsi="宋体" w:eastAsia="仿宋_GB2312"/>
          <w:bCs/>
          <w:color w:val="auto"/>
          <w:sz w:val="24"/>
          <w:szCs w:val="20"/>
        </w:rPr>
      </w:pPr>
    </w:p>
    <w:p>
      <w:pPr>
        <w:adjustRightInd/>
        <w:snapToGrid w:val="0"/>
        <w:spacing w:line="360" w:lineRule="exact"/>
        <w:ind w:firstLine="900" w:firstLineChars="375"/>
        <w:rPr>
          <w:rFonts w:ascii="仿宋_GB2312" w:hAnsi="宋体" w:eastAsia="仿宋_GB2312"/>
          <w:bCs/>
          <w:color w:val="auto"/>
          <w:sz w:val="24"/>
          <w:szCs w:val="20"/>
        </w:rPr>
      </w:pPr>
      <w:r>
        <w:rPr>
          <w:rFonts w:hint="eastAsia" w:ascii="仿宋_GB2312" w:hAnsi="宋体" w:eastAsia="仿宋_GB2312"/>
          <w:bCs/>
          <w:color w:val="auto"/>
          <w:sz w:val="24"/>
        </w:rPr>
        <w:t>项目名称（注明标项）：</w:t>
      </w:r>
    </w:p>
    <w:p>
      <w:pPr>
        <w:adjustRightInd/>
        <w:snapToGrid w:val="0"/>
        <w:spacing w:before="120" w:beforeLines="50" w:after="50"/>
        <w:ind w:firstLine="900" w:firstLineChars="375"/>
        <w:rPr>
          <w:rFonts w:ascii="仿宋_GB2312" w:hAnsi="宋体" w:eastAsia="仿宋_GB2312"/>
          <w:bCs/>
          <w:color w:val="auto"/>
          <w:sz w:val="24"/>
        </w:rPr>
      </w:pPr>
      <w:r>
        <w:rPr>
          <w:rFonts w:hint="eastAsia" w:ascii="仿宋_GB2312" w:hAnsi="宋体" w:eastAsia="仿宋_GB2312"/>
          <w:bCs/>
          <w:color w:val="auto"/>
          <w:sz w:val="24"/>
        </w:rPr>
        <w:t xml:space="preserve">项目编号： </w:t>
      </w:r>
    </w:p>
    <w:p>
      <w:pPr>
        <w:adjustRightInd/>
        <w:snapToGrid w:val="0"/>
        <w:spacing w:before="120" w:beforeLines="50" w:after="50"/>
        <w:ind w:firstLine="900" w:firstLineChars="375"/>
        <w:rPr>
          <w:rFonts w:ascii="仿宋_GB2312" w:hAnsi="宋体" w:eastAsia="仿宋_GB2312"/>
          <w:bCs/>
          <w:color w:val="auto"/>
          <w:sz w:val="24"/>
        </w:rPr>
      </w:pPr>
      <w:r>
        <w:rPr>
          <w:rFonts w:hint="eastAsia" w:ascii="仿宋_GB2312" w:hAnsi="宋体" w:eastAsia="仿宋_GB2312"/>
          <w:bCs/>
          <w:color w:val="auto"/>
          <w:sz w:val="24"/>
        </w:rPr>
        <w:t>投标人名称：</w:t>
      </w:r>
    </w:p>
    <w:p>
      <w:pPr>
        <w:adjustRightInd/>
        <w:snapToGrid w:val="0"/>
        <w:spacing w:before="50" w:after="50"/>
        <w:ind w:firstLine="900" w:firstLineChars="375"/>
        <w:rPr>
          <w:rFonts w:ascii="仿宋_GB2312" w:hAnsi="宋体" w:eastAsia="仿宋_GB2312"/>
          <w:bCs/>
          <w:color w:val="auto"/>
          <w:sz w:val="24"/>
        </w:rPr>
      </w:pPr>
      <w:r>
        <w:rPr>
          <w:rFonts w:hint="eastAsia" w:ascii="仿宋_GB2312" w:hAnsi="宋体" w:eastAsia="仿宋_GB2312"/>
          <w:bCs/>
          <w:color w:val="auto"/>
          <w:sz w:val="24"/>
        </w:rPr>
        <w:t>投标人地址：</w:t>
      </w:r>
    </w:p>
    <w:p>
      <w:pPr>
        <w:adjustRightInd/>
        <w:snapToGrid w:val="0"/>
        <w:spacing w:before="120" w:beforeLines="50" w:after="50"/>
        <w:ind w:firstLine="645"/>
        <w:jc w:val="center"/>
        <w:rPr>
          <w:rFonts w:ascii="仿宋_GB2312" w:hAnsi="宋体" w:eastAsia="仿宋_GB2312"/>
          <w:color w:val="auto"/>
          <w:sz w:val="24"/>
          <w:szCs w:val="20"/>
        </w:rPr>
      </w:pPr>
      <w:r>
        <w:rPr>
          <w:rFonts w:hint="eastAsia" w:ascii="仿宋_GB2312" w:hAnsi="宋体" w:eastAsia="仿宋_GB2312"/>
          <w:color w:val="auto"/>
          <w:sz w:val="24"/>
        </w:rPr>
        <w:t xml:space="preserve">                        年  月  日</w:t>
      </w:r>
    </w:p>
    <w:p>
      <w:pPr>
        <w:rPr>
          <w:rFonts w:ascii="仿宋_GB2312" w:hAnsi="宋体" w:eastAsia="仿宋_GB2312"/>
          <w:b/>
          <w:bCs/>
          <w:color w:val="auto"/>
          <w:sz w:val="24"/>
        </w:rPr>
      </w:pPr>
      <w:r>
        <w:rPr>
          <w:rFonts w:hint="eastAsia" w:ascii="仿宋_GB2312" w:hAnsi="宋体" w:eastAsia="仿宋_GB2312"/>
          <w:b/>
          <w:bCs/>
          <w:color w:val="auto"/>
          <w:sz w:val="24"/>
        </w:rPr>
        <w:br w:type="page"/>
      </w:r>
    </w:p>
    <w:p>
      <w:pPr>
        <w:adjustRightInd/>
        <w:snapToGrid w:val="0"/>
        <w:spacing w:before="50" w:after="50"/>
        <w:rPr>
          <w:rFonts w:ascii="仿宋_GB2312" w:hAnsi="宋体" w:eastAsia="仿宋_GB2312"/>
          <w:color w:val="auto"/>
          <w:sz w:val="24"/>
          <w:szCs w:val="20"/>
        </w:rPr>
      </w:pPr>
      <w:r>
        <w:rPr>
          <w:rFonts w:hint="eastAsia" w:ascii="仿宋_GB2312" w:hAnsi="宋体" w:eastAsia="仿宋_GB2312"/>
          <w:b/>
          <w:bCs/>
          <w:color w:val="auto"/>
          <w:sz w:val="24"/>
        </w:rPr>
        <w:t>商务文件其它格式</w:t>
      </w:r>
    </w:p>
    <w:p>
      <w:pPr>
        <w:snapToGrid w:val="0"/>
        <w:spacing w:line="360" w:lineRule="auto"/>
        <w:jc w:val="center"/>
        <w:rPr>
          <w:rFonts w:ascii="仿宋_GB2312" w:hAnsi="宋体" w:eastAsia="仿宋_GB2312" w:cs="宋体"/>
          <w:b/>
          <w:color w:val="auto"/>
          <w:szCs w:val="21"/>
        </w:rPr>
      </w:pPr>
      <w:r>
        <w:rPr>
          <w:rFonts w:hint="eastAsia" w:ascii="仿宋_GB2312" w:hAnsi="宋体" w:eastAsia="仿宋_GB2312" w:cs="宋体"/>
          <w:b/>
          <w:color w:val="auto"/>
          <w:szCs w:val="21"/>
        </w:rPr>
        <w:t>投 标 函</w:t>
      </w:r>
    </w:p>
    <w:p>
      <w:pPr>
        <w:snapToGrid w:val="0"/>
        <w:spacing w:line="360" w:lineRule="auto"/>
        <w:rPr>
          <w:rFonts w:ascii="仿宋_GB2312" w:hAnsi="宋体" w:eastAsia="仿宋_GB2312" w:cs="宋体"/>
          <w:color w:val="auto"/>
          <w:szCs w:val="21"/>
        </w:rPr>
      </w:pPr>
      <w:r>
        <w:rPr>
          <w:rFonts w:hint="eastAsia" w:ascii="仿宋_GB2312" w:hAnsi="宋体" w:eastAsia="仿宋_GB2312" w:cs="宋体"/>
          <w:color w:val="auto"/>
          <w:szCs w:val="21"/>
        </w:rPr>
        <w:t>致：</w:t>
      </w:r>
      <w:r>
        <w:rPr>
          <w:rFonts w:hint="eastAsia" w:ascii="仿宋_GB2312" w:hAnsi="宋体" w:eastAsia="仿宋_GB2312" w:cs="宋体"/>
          <w:color w:val="auto"/>
          <w:szCs w:val="21"/>
          <w:u w:val="single"/>
        </w:rPr>
        <w:t xml:space="preserve">                 </w:t>
      </w:r>
      <w:r>
        <w:rPr>
          <w:rFonts w:hint="eastAsia" w:ascii="仿宋_GB2312" w:hAnsi="宋体" w:eastAsia="仿宋_GB2312" w:cs="宋体"/>
          <w:color w:val="auto"/>
          <w:szCs w:val="21"/>
        </w:rPr>
        <w:t xml:space="preserve">           </w:t>
      </w:r>
    </w:p>
    <w:p>
      <w:pPr>
        <w:snapToGrid w:val="0"/>
        <w:spacing w:line="360" w:lineRule="auto"/>
        <w:ind w:firstLine="482"/>
        <w:rPr>
          <w:rFonts w:ascii="仿宋_GB2312" w:hAnsi="宋体" w:eastAsia="仿宋_GB2312" w:cs="宋体"/>
          <w:color w:val="auto"/>
          <w:szCs w:val="21"/>
        </w:rPr>
      </w:pPr>
      <w:r>
        <w:rPr>
          <w:rFonts w:hint="eastAsia" w:ascii="仿宋_GB2312" w:hAnsi="宋体" w:eastAsia="仿宋_GB2312" w:cs="宋体"/>
          <w:color w:val="auto"/>
          <w:szCs w:val="21"/>
        </w:rPr>
        <w:t>1、我方已全面阅读和研究贵方的招标编号为</w:t>
      </w:r>
      <w:r>
        <w:rPr>
          <w:rFonts w:hint="eastAsia" w:ascii="仿宋_GB2312" w:hAnsi="宋体" w:eastAsia="仿宋_GB2312" w:cs="宋体"/>
          <w:color w:val="auto"/>
          <w:szCs w:val="21"/>
          <w:u w:val="single"/>
        </w:rPr>
        <w:t xml:space="preserve"> XXX </w:t>
      </w:r>
      <w:r>
        <w:rPr>
          <w:rFonts w:hint="eastAsia" w:ascii="仿宋_GB2312" w:hAnsi="宋体" w:eastAsia="仿宋_GB2312" w:cs="宋体"/>
          <w:color w:val="auto"/>
          <w:szCs w:val="21"/>
        </w:rPr>
        <w:t>的</w:t>
      </w:r>
      <w:r>
        <w:rPr>
          <w:rFonts w:hint="eastAsia" w:ascii="仿宋_GB2312" w:hAnsi="宋体" w:eastAsia="仿宋_GB2312" w:cs="宋体"/>
          <w:color w:val="auto"/>
          <w:szCs w:val="21"/>
          <w:u w:val="single"/>
        </w:rPr>
        <w:t xml:space="preserve"> </w:t>
      </w:r>
      <w:r>
        <w:rPr>
          <w:rFonts w:hint="eastAsia" w:ascii="仿宋_GB2312" w:hAnsi="宋体" w:eastAsia="仿宋_GB2312" w:cs="宋体"/>
          <w:color w:val="auto"/>
          <w:kern w:val="0"/>
          <w:szCs w:val="21"/>
          <w:u w:val="single"/>
        </w:rPr>
        <w:t>招标代理服务机构项目</w:t>
      </w:r>
      <w:r>
        <w:rPr>
          <w:rFonts w:hint="eastAsia" w:ascii="仿宋_GB2312" w:hAnsi="宋体" w:eastAsia="仿宋_GB2312" w:cs="宋体"/>
          <w:color w:val="auto"/>
          <w:szCs w:val="21"/>
        </w:rPr>
        <w:t>招标文件和招标补充文件，同意接受招标文件的全部内容和条件，并按此确定本项目投标的全部内容，以本投标文件向你方发包的全部内容进行投标。</w:t>
      </w:r>
    </w:p>
    <w:p>
      <w:pPr>
        <w:snapToGrid w:val="0"/>
        <w:spacing w:line="360" w:lineRule="auto"/>
        <w:ind w:firstLine="482"/>
        <w:rPr>
          <w:rFonts w:ascii="仿宋_GB2312" w:hAnsi="宋体" w:eastAsia="仿宋_GB2312" w:cs="宋体"/>
          <w:b/>
          <w:color w:val="auto"/>
          <w:szCs w:val="21"/>
        </w:rPr>
      </w:pPr>
      <w:r>
        <w:rPr>
          <w:rFonts w:hint="eastAsia" w:ascii="仿宋_GB2312" w:hAnsi="宋体" w:eastAsia="仿宋_GB2312" w:cs="宋体"/>
          <w:b/>
          <w:color w:val="auto"/>
          <w:szCs w:val="21"/>
        </w:rPr>
        <w:t>针对本项目，我方报价如下：</w:t>
      </w:r>
    </w:p>
    <w:p>
      <w:pPr>
        <w:snapToGrid w:val="0"/>
        <w:spacing w:line="360" w:lineRule="auto"/>
        <w:ind w:firstLine="482"/>
        <w:rPr>
          <w:rFonts w:ascii="仿宋_GB2312" w:hAnsi="宋体" w:eastAsia="仿宋_GB2312" w:cs="宋体"/>
          <w:b/>
          <w:color w:val="auto"/>
          <w:szCs w:val="21"/>
        </w:rPr>
      </w:pPr>
      <w:r>
        <w:rPr>
          <w:rFonts w:hint="eastAsia" w:ascii="仿宋" w:hAnsi="仿宋" w:eastAsia="仿宋" w:cs="宋体"/>
          <w:b/>
          <w:bCs/>
          <w:color w:val="auto"/>
          <w:szCs w:val="21"/>
        </w:rPr>
        <w:t>工程造价咨询服务费按浙价服（2009）84号文件</w:t>
      </w:r>
      <w:r>
        <w:rPr>
          <w:rFonts w:hint="eastAsia" w:ascii="仿宋_GB2312" w:hAnsi="宋体" w:eastAsia="仿宋_GB2312" w:cs="宋体"/>
          <w:b/>
          <w:color w:val="auto"/>
          <w:szCs w:val="21"/>
        </w:rPr>
        <w:t>的收费标准下浮</w:t>
      </w:r>
      <w:r>
        <w:rPr>
          <w:rFonts w:hint="eastAsia" w:ascii="仿宋_GB2312" w:hAnsi="宋体" w:eastAsia="仿宋_GB2312" w:cs="宋体"/>
          <w:b/>
          <w:color w:val="auto"/>
          <w:szCs w:val="21"/>
          <w:u w:val="single"/>
        </w:rPr>
        <w:t xml:space="preserve">       </w:t>
      </w:r>
      <w:r>
        <w:rPr>
          <w:rFonts w:hint="eastAsia" w:ascii="仿宋_GB2312" w:hAnsi="宋体" w:eastAsia="仿宋_GB2312" w:cs="宋体"/>
          <w:b/>
          <w:color w:val="auto"/>
          <w:szCs w:val="21"/>
        </w:rPr>
        <w:t>%进行计算。</w:t>
      </w:r>
    </w:p>
    <w:p>
      <w:pPr>
        <w:snapToGrid w:val="0"/>
        <w:spacing w:line="360" w:lineRule="auto"/>
        <w:ind w:firstLine="482"/>
        <w:rPr>
          <w:rFonts w:ascii="仿宋_GB2312" w:hAnsi="宋体" w:eastAsia="仿宋_GB2312" w:cs="宋体"/>
          <w:color w:val="auto"/>
          <w:szCs w:val="21"/>
        </w:rPr>
      </w:pPr>
      <w:r>
        <w:rPr>
          <w:rFonts w:hint="eastAsia" w:ascii="仿宋_GB2312" w:hAnsi="宋体" w:eastAsia="仿宋_GB2312" w:cs="宋体"/>
          <w:color w:val="auto"/>
          <w:szCs w:val="21"/>
        </w:rPr>
        <w:t>2、我方将严格按照有关招标投标法规及招标文件的规定参加投标，并理解贵方不一定接受最低标价的投标，对决标结果也没有解释义务。</w:t>
      </w:r>
    </w:p>
    <w:p>
      <w:pPr>
        <w:snapToGrid w:val="0"/>
        <w:spacing w:line="360" w:lineRule="auto"/>
        <w:ind w:firstLine="482"/>
        <w:rPr>
          <w:rFonts w:ascii="仿宋_GB2312" w:hAnsi="宋体" w:eastAsia="仿宋_GB2312" w:cs="宋体"/>
          <w:color w:val="auto"/>
          <w:szCs w:val="21"/>
        </w:rPr>
      </w:pPr>
      <w:r>
        <w:rPr>
          <w:rFonts w:hint="eastAsia" w:ascii="仿宋_GB2312" w:hAnsi="宋体" w:eastAsia="仿宋_GB2312" w:cs="宋体"/>
          <w:color w:val="auto"/>
          <w:szCs w:val="21"/>
        </w:rPr>
        <w:t>3、如由我方中标，在接到你方发出的中标通知后在规定的时间内，按中标通知、招标文件和本投标文件的约定与你方签定招标代理合同，并递交招标文件中规定金额的履约保证金，履行规定的一切责任和义务。</w:t>
      </w:r>
    </w:p>
    <w:p>
      <w:pPr>
        <w:snapToGrid w:val="0"/>
        <w:spacing w:line="360" w:lineRule="auto"/>
        <w:ind w:firstLine="482"/>
        <w:rPr>
          <w:rFonts w:ascii="仿宋_GB2312" w:hAnsi="宋体" w:eastAsia="仿宋_GB2312" w:cs="宋体"/>
          <w:color w:val="auto"/>
          <w:szCs w:val="21"/>
        </w:rPr>
      </w:pPr>
      <w:r>
        <w:rPr>
          <w:rFonts w:hint="eastAsia" w:ascii="仿宋_GB2312" w:hAnsi="宋体" w:eastAsia="仿宋_GB2312" w:cs="宋体"/>
          <w:color w:val="auto"/>
          <w:szCs w:val="21"/>
        </w:rPr>
        <w:t>4、我方将按照招标文件的所有要求，提供优质的代理服务。</w:t>
      </w:r>
    </w:p>
    <w:p>
      <w:pPr>
        <w:snapToGrid w:val="0"/>
        <w:spacing w:line="360" w:lineRule="auto"/>
        <w:ind w:firstLine="482"/>
        <w:rPr>
          <w:rFonts w:ascii="仿宋_GB2312" w:hAnsi="宋体" w:eastAsia="仿宋_GB2312" w:cs="宋体"/>
          <w:color w:val="auto"/>
          <w:szCs w:val="21"/>
        </w:rPr>
      </w:pPr>
      <w:r>
        <w:rPr>
          <w:rFonts w:hint="eastAsia" w:ascii="仿宋_GB2312" w:hAnsi="宋体" w:eastAsia="仿宋_GB2312" w:cs="宋体"/>
          <w:color w:val="auto"/>
          <w:szCs w:val="21"/>
        </w:rPr>
        <w:t>5、我方已详细审查全部招标文件，我们完全理解并同意放弃对这方面有不明及误解的权利。</w:t>
      </w:r>
    </w:p>
    <w:p>
      <w:pPr>
        <w:snapToGrid w:val="0"/>
        <w:spacing w:line="360" w:lineRule="auto"/>
        <w:ind w:firstLine="482"/>
        <w:rPr>
          <w:rFonts w:ascii="仿宋_GB2312" w:hAnsi="宋体" w:eastAsia="仿宋_GB2312" w:cs="宋体"/>
          <w:color w:val="auto"/>
          <w:szCs w:val="21"/>
        </w:rPr>
      </w:pPr>
      <w:r>
        <w:rPr>
          <w:rFonts w:hint="eastAsia" w:ascii="仿宋_GB2312" w:hAnsi="宋体" w:eastAsia="仿宋_GB2312" w:cs="宋体"/>
          <w:color w:val="auto"/>
          <w:szCs w:val="21"/>
        </w:rPr>
        <w:t>6、我方同意提供按照贵方可能要求的于其投标有关的一切数据和资料。</w:t>
      </w:r>
    </w:p>
    <w:p>
      <w:pPr>
        <w:snapToGrid w:val="0"/>
        <w:spacing w:line="360" w:lineRule="auto"/>
        <w:ind w:firstLine="482"/>
        <w:rPr>
          <w:rFonts w:ascii="仿宋_GB2312" w:hAnsi="宋体" w:eastAsia="仿宋_GB2312" w:cs="宋体"/>
          <w:color w:val="auto"/>
          <w:szCs w:val="21"/>
        </w:rPr>
      </w:pPr>
      <w:r>
        <w:rPr>
          <w:rFonts w:hint="eastAsia" w:ascii="仿宋_GB2312" w:hAnsi="宋体" w:eastAsia="仿宋_GB2312" w:cs="宋体"/>
          <w:color w:val="auto"/>
          <w:szCs w:val="21"/>
        </w:rPr>
        <w:t>7、我方承认该投标文件格式为投标文件的组成部分。</w:t>
      </w:r>
    </w:p>
    <w:p>
      <w:pPr>
        <w:snapToGrid w:val="0"/>
        <w:spacing w:line="360" w:lineRule="auto"/>
        <w:ind w:firstLine="480"/>
        <w:rPr>
          <w:rFonts w:ascii="仿宋_GB2312" w:hAnsi="宋体" w:eastAsia="仿宋_GB2312" w:cs="宋体"/>
          <w:color w:val="auto"/>
          <w:szCs w:val="21"/>
        </w:rPr>
      </w:pPr>
      <w:r>
        <w:rPr>
          <w:rFonts w:hint="eastAsia" w:ascii="仿宋_GB2312" w:hAnsi="宋体" w:eastAsia="仿宋_GB2312" w:cs="宋体"/>
          <w:color w:val="auto"/>
          <w:szCs w:val="21"/>
        </w:rPr>
        <w:t>8、本投标文件自递交你方之日起</w:t>
      </w:r>
      <w:r>
        <w:rPr>
          <w:rFonts w:hint="eastAsia" w:ascii="仿宋_GB2312" w:hAnsi="宋体" w:eastAsia="仿宋_GB2312" w:cs="宋体"/>
          <w:color w:val="auto"/>
          <w:szCs w:val="21"/>
          <w:u w:val="single"/>
        </w:rPr>
        <w:t xml:space="preserve"> 90</w:t>
      </w:r>
      <w:r>
        <w:rPr>
          <w:rFonts w:hint="eastAsia" w:ascii="仿宋_GB2312" w:hAnsi="宋体" w:eastAsia="仿宋_GB2312" w:cs="宋体"/>
          <w:color w:val="auto"/>
          <w:szCs w:val="21"/>
        </w:rPr>
        <w:t>天内有效，在此有效期内，全部条款内容对我方具有约束力，如中标将成为招标代理合同文件组成部分。</w:t>
      </w:r>
    </w:p>
    <w:p>
      <w:pPr>
        <w:snapToGrid w:val="0"/>
        <w:spacing w:line="360" w:lineRule="auto"/>
        <w:rPr>
          <w:rFonts w:ascii="仿宋_GB2312" w:hAnsi="宋体" w:eastAsia="仿宋_GB2312" w:cs="宋体"/>
          <w:color w:val="auto"/>
          <w:szCs w:val="21"/>
        </w:rPr>
      </w:pPr>
      <w:r>
        <w:rPr>
          <w:rFonts w:hint="eastAsia" w:ascii="仿宋_GB2312" w:hAnsi="宋体" w:eastAsia="仿宋_GB2312" w:cs="宋体"/>
          <w:color w:val="auto"/>
          <w:szCs w:val="21"/>
        </w:rPr>
        <w:t xml:space="preserve">     </w:t>
      </w:r>
    </w:p>
    <w:p>
      <w:pPr>
        <w:snapToGrid w:val="0"/>
        <w:spacing w:line="360" w:lineRule="auto"/>
        <w:rPr>
          <w:rFonts w:ascii="仿宋_GB2312" w:hAnsi="宋体" w:eastAsia="仿宋_GB2312" w:cs="宋体"/>
          <w:color w:val="auto"/>
          <w:szCs w:val="21"/>
        </w:rPr>
      </w:pPr>
      <w:r>
        <w:rPr>
          <w:rFonts w:hint="eastAsia" w:ascii="仿宋_GB2312" w:hAnsi="宋体" w:eastAsia="仿宋_GB2312" w:cs="宋体"/>
          <w:color w:val="auto"/>
          <w:szCs w:val="21"/>
        </w:rPr>
        <w:t xml:space="preserve">    投标人（盖公章）：             法定代表人或授权代表（签章）：</w:t>
      </w:r>
    </w:p>
    <w:p>
      <w:pPr>
        <w:snapToGrid w:val="0"/>
        <w:spacing w:line="360" w:lineRule="auto"/>
        <w:rPr>
          <w:rFonts w:ascii="仿宋_GB2312" w:hAnsi="宋体" w:eastAsia="仿宋_GB2312" w:cs="宋体"/>
          <w:color w:val="auto"/>
          <w:szCs w:val="21"/>
        </w:rPr>
      </w:pPr>
      <w:r>
        <w:rPr>
          <w:rFonts w:hint="eastAsia" w:ascii="仿宋_GB2312" w:hAnsi="宋体" w:eastAsia="仿宋_GB2312" w:cs="宋体"/>
          <w:color w:val="auto"/>
          <w:szCs w:val="21"/>
        </w:rPr>
        <w:t xml:space="preserve">     </w:t>
      </w:r>
    </w:p>
    <w:p>
      <w:pPr>
        <w:snapToGrid w:val="0"/>
        <w:spacing w:line="360" w:lineRule="auto"/>
        <w:rPr>
          <w:rFonts w:ascii="仿宋_GB2312" w:hAnsi="宋体" w:eastAsia="仿宋_GB2312" w:cs="宋体"/>
          <w:color w:val="auto"/>
          <w:szCs w:val="21"/>
        </w:rPr>
      </w:pPr>
      <w:r>
        <w:rPr>
          <w:rFonts w:hint="eastAsia" w:ascii="仿宋_GB2312" w:hAnsi="宋体" w:eastAsia="仿宋_GB2312" w:cs="宋体"/>
          <w:color w:val="auto"/>
          <w:szCs w:val="21"/>
        </w:rPr>
        <w:t xml:space="preserve">    联系人：                      联系地址：</w:t>
      </w:r>
    </w:p>
    <w:p>
      <w:pPr>
        <w:snapToGrid w:val="0"/>
        <w:spacing w:line="360" w:lineRule="auto"/>
        <w:rPr>
          <w:rFonts w:ascii="仿宋_GB2312" w:hAnsi="宋体" w:eastAsia="仿宋_GB2312" w:cs="宋体"/>
          <w:color w:val="auto"/>
          <w:szCs w:val="21"/>
        </w:rPr>
      </w:pPr>
      <w:r>
        <w:rPr>
          <w:rFonts w:hint="eastAsia" w:ascii="仿宋_GB2312" w:hAnsi="宋体" w:eastAsia="仿宋_GB2312" w:cs="宋体"/>
          <w:color w:val="auto"/>
          <w:szCs w:val="21"/>
        </w:rPr>
        <w:t xml:space="preserve">   </w:t>
      </w:r>
    </w:p>
    <w:p>
      <w:pPr>
        <w:snapToGrid w:val="0"/>
        <w:spacing w:line="360" w:lineRule="auto"/>
        <w:rPr>
          <w:rFonts w:ascii="仿宋_GB2312" w:hAnsi="宋体" w:eastAsia="仿宋_GB2312" w:cs="宋体"/>
          <w:color w:val="auto"/>
          <w:szCs w:val="21"/>
        </w:rPr>
      </w:pPr>
      <w:r>
        <w:rPr>
          <w:rFonts w:hint="eastAsia" w:ascii="仿宋_GB2312" w:hAnsi="宋体" w:eastAsia="仿宋_GB2312" w:cs="宋体"/>
          <w:color w:val="auto"/>
          <w:szCs w:val="21"/>
        </w:rPr>
        <w:t xml:space="preserve">    电话：                        邮编：</w:t>
      </w:r>
    </w:p>
    <w:p>
      <w:pPr>
        <w:snapToGrid w:val="0"/>
        <w:spacing w:line="360" w:lineRule="auto"/>
        <w:rPr>
          <w:rFonts w:ascii="仿宋_GB2312" w:hAnsi="宋体" w:eastAsia="仿宋_GB2312" w:cs="宋体"/>
          <w:color w:val="auto"/>
          <w:szCs w:val="21"/>
        </w:rPr>
      </w:pPr>
    </w:p>
    <w:p>
      <w:pPr>
        <w:snapToGrid w:val="0"/>
        <w:spacing w:line="360" w:lineRule="auto"/>
        <w:rPr>
          <w:rFonts w:ascii="仿宋_GB2312" w:hAnsi="宋体" w:eastAsia="仿宋_GB2312" w:cs="宋体"/>
          <w:color w:val="auto"/>
          <w:szCs w:val="21"/>
        </w:rPr>
      </w:pPr>
      <w:r>
        <w:rPr>
          <w:rFonts w:hint="eastAsia" w:ascii="仿宋_GB2312" w:hAnsi="宋体" w:eastAsia="仿宋_GB2312" w:cs="宋体"/>
          <w:color w:val="auto"/>
          <w:szCs w:val="21"/>
        </w:rPr>
        <w:t xml:space="preserve">    开户银行：                    帐号：</w:t>
      </w:r>
    </w:p>
    <w:p>
      <w:pPr>
        <w:snapToGrid w:val="0"/>
        <w:spacing w:line="360" w:lineRule="auto"/>
        <w:ind w:firstLine="525" w:firstLineChars="250"/>
        <w:rPr>
          <w:rFonts w:ascii="仿宋_GB2312" w:hAnsi="宋体" w:eastAsia="仿宋_GB2312" w:cs="宋体"/>
          <w:color w:val="auto"/>
          <w:szCs w:val="21"/>
        </w:rPr>
      </w:pPr>
    </w:p>
    <w:p>
      <w:pPr>
        <w:snapToGrid w:val="0"/>
        <w:spacing w:line="360" w:lineRule="auto"/>
        <w:rPr>
          <w:rFonts w:ascii="仿宋_GB2312" w:hAnsi="宋体" w:eastAsia="仿宋_GB2312" w:cs="宋体"/>
          <w:color w:val="auto"/>
          <w:szCs w:val="21"/>
        </w:rPr>
      </w:pPr>
      <w:r>
        <w:rPr>
          <w:rFonts w:hint="eastAsia" w:ascii="仿宋_GB2312" w:hAnsi="宋体" w:eastAsia="仿宋_GB2312" w:cs="宋体"/>
          <w:color w:val="auto"/>
          <w:szCs w:val="21"/>
        </w:rPr>
        <w:t xml:space="preserve">    日期：</w:t>
      </w:r>
      <w:r>
        <w:rPr>
          <w:rFonts w:hint="eastAsia" w:ascii="仿宋_GB2312" w:hAnsi="宋体" w:eastAsia="仿宋_GB2312" w:cs="宋体"/>
          <w:color w:val="auto"/>
          <w:szCs w:val="21"/>
          <w:u w:val="single"/>
        </w:rPr>
        <w:t xml:space="preserve">       </w:t>
      </w:r>
      <w:r>
        <w:rPr>
          <w:rFonts w:hint="eastAsia" w:ascii="仿宋_GB2312" w:hAnsi="宋体" w:eastAsia="仿宋_GB2312" w:cs="宋体"/>
          <w:color w:val="auto"/>
          <w:szCs w:val="21"/>
        </w:rPr>
        <w:t>年</w:t>
      </w:r>
      <w:r>
        <w:rPr>
          <w:rFonts w:hint="eastAsia" w:ascii="仿宋_GB2312" w:hAnsi="宋体" w:eastAsia="仿宋_GB2312" w:cs="宋体"/>
          <w:color w:val="auto"/>
          <w:szCs w:val="21"/>
          <w:u w:val="single"/>
        </w:rPr>
        <w:t xml:space="preserve">      </w:t>
      </w:r>
      <w:r>
        <w:rPr>
          <w:rFonts w:hint="eastAsia" w:ascii="仿宋_GB2312" w:hAnsi="宋体" w:eastAsia="仿宋_GB2312" w:cs="宋体"/>
          <w:color w:val="auto"/>
          <w:szCs w:val="21"/>
        </w:rPr>
        <w:t>月</w:t>
      </w:r>
      <w:r>
        <w:rPr>
          <w:rFonts w:hint="eastAsia" w:ascii="仿宋_GB2312" w:hAnsi="宋体" w:eastAsia="仿宋_GB2312" w:cs="宋体"/>
          <w:color w:val="auto"/>
          <w:szCs w:val="21"/>
          <w:u w:val="single"/>
        </w:rPr>
        <w:t xml:space="preserve">      </w:t>
      </w:r>
      <w:r>
        <w:rPr>
          <w:rFonts w:hint="eastAsia" w:ascii="仿宋_GB2312" w:hAnsi="宋体" w:eastAsia="仿宋_GB2312" w:cs="宋体"/>
          <w:color w:val="auto"/>
          <w:szCs w:val="21"/>
        </w:rPr>
        <w:t>日</w:t>
      </w:r>
    </w:p>
    <w:p>
      <w:pPr>
        <w:snapToGrid w:val="0"/>
        <w:spacing w:line="360" w:lineRule="auto"/>
        <w:jc w:val="center"/>
        <w:rPr>
          <w:rFonts w:ascii="仿宋_GB2312" w:hAnsi="宋体" w:eastAsia="仿宋_GB2312" w:cs="宋体"/>
          <w:b/>
          <w:color w:val="auto"/>
          <w:szCs w:val="21"/>
        </w:rPr>
      </w:pPr>
      <w:r>
        <w:rPr>
          <w:rFonts w:hint="eastAsia" w:ascii="仿宋_GB2312" w:hAnsi="宋体" w:eastAsia="仿宋_GB2312" w:cs="宋体"/>
          <w:b/>
          <w:color w:val="auto"/>
          <w:szCs w:val="21"/>
        </w:rPr>
        <w:br w:type="page"/>
      </w:r>
      <w:r>
        <w:rPr>
          <w:rFonts w:hint="eastAsia" w:ascii="仿宋_GB2312" w:hAnsi="宋体" w:eastAsia="仿宋_GB2312" w:cs="宋体"/>
          <w:b/>
          <w:color w:val="auto"/>
          <w:szCs w:val="21"/>
        </w:rPr>
        <w:t>法定代表人资格证明书</w:t>
      </w:r>
    </w:p>
    <w:p>
      <w:pPr>
        <w:snapToGrid w:val="0"/>
        <w:spacing w:line="360" w:lineRule="auto"/>
        <w:ind w:firstLine="718" w:firstLineChars="342"/>
        <w:rPr>
          <w:rFonts w:ascii="仿宋_GB2312" w:hAnsi="宋体" w:eastAsia="仿宋_GB2312" w:cs="宋体"/>
          <w:color w:val="auto"/>
          <w:szCs w:val="21"/>
        </w:rPr>
      </w:pPr>
    </w:p>
    <w:p>
      <w:pPr>
        <w:snapToGrid w:val="0"/>
        <w:spacing w:line="360" w:lineRule="auto"/>
        <w:rPr>
          <w:rFonts w:ascii="仿宋_GB2312" w:hAnsi="宋体" w:eastAsia="仿宋_GB2312" w:cs="宋体"/>
          <w:color w:val="auto"/>
          <w:szCs w:val="21"/>
        </w:rPr>
      </w:pPr>
    </w:p>
    <w:p>
      <w:pPr>
        <w:snapToGrid w:val="0"/>
        <w:spacing w:line="360" w:lineRule="auto"/>
        <w:rPr>
          <w:rFonts w:ascii="仿宋_GB2312" w:hAnsi="宋体" w:eastAsia="仿宋_GB2312" w:cs="宋体"/>
          <w:color w:val="auto"/>
          <w:szCs w:val="21"/>
        </w:rPr>
      </w:pPr>
    </w:p>
    <w:p>
      <w:pPr>
        <w:snapToGrid w:val="0"/>
        <w:spacing w:line="360" w:lineRule="auto"/>
        <w:ind w:firstLine="403" w:firstLineChars="192"/>
        <w:rPr>
          <w:rFonts w:ascii="仿宋_GB2312" w:hAnsi="宋体" w:eastAsia="仿宋_GB2312" w:cs="宋体"/>
          <w:color w:val="auto"/>
          <w:szCs w:val="21"/>
          <w:u w:val="single"/>
        </w:rPr>
      </w:pPr>
      <w:r>
        <w:rPr>
          <w:rFonts w:hint="eastAsia" w:ascii="仿宋_GB2312" w:hAnsi="宋体" w:eastAsia="仿宋_GB2312" w:cs="宋体"/>
          <w:color w:val="auto"/>
          <w:szCs w:val="21"/>
        </w:rPr>
        <w:t>单位名称：</w:t>
      </w:r>
      <w:r>
        <w:rPr>
          <w:rFonts w:hint="eastAsia" w:ascii="仿宋_GB2312" w:hAnsi="宋体" w:eastAsia="仿宋_GB2312" w:cs="宋体"/>
          <w:color w:val="auto"/>
          <w:szCs w:val="21"/>
          <w:u w:val="single"/>
        </w:rPr>
        <w:t xml:space="preserve">                           </w:t>
      </w:r>
    </w:p>
    <w:p>
      <w:pPr>
        <w:snapToGrid w:val="0"/>
        <w:spacing w:line="360" w:lineRule="auto"/>
        <w:ind w:firstLine="403" w:firstLineChars="192"/>
        <w:rPr>
          <w:rFonts w:ascii="仿宋_GB2312" w:hAnsi="宋体" w:eastAsia="仿宋_GB2312" w:cs="宋体"/>
          <w:color w:val="auto"/>
          <w:szCs w:val="21"/>
        </w:rPr>
      </w:pPr>
    </w:p>
    <w:p>
      <w:pPr>
        <w:snapToGrid w:val="0"/>
        <w:spacing w:line="360" w:lineRule="auto"/>
        <w:ind w:firstLine="403" w:firstLineChars="192"/>
        <w:rPr>
          <w:rFonts w:ascii="仿宋_GB2312" w:hAnsi="宋体" w:eastAsia="仿宋_GB2312" w:cs="宋体"/>
          <w:color w:val="auto"/>
          <w:szCs w:val="21"/>
        </w:rPr>
      </w:pPr>
      <w:r>
        <w:rPr>
          <w:rFonts w:hint="eastAsia" w:ascii="仿宋_GB2312" w:hAnsi="宋体" w:eastAsia="仿宋_GB2312" w:cs="宋体"/>
          <w:color w:val="auto"/>
          <w:szCs w:val="21"/>
        </w:rPr>
        <w:t>地址：</w:t>
      </w:r>
      <w:r>
        <w:rPr>
          <w:rFonts w:hint="eastAsia" w:ascii="仿宋_GB2312" w:hAnsi="宋体" w:eastAsia="仿宋_GB2312" w:cs="宋体"/>
          <w:color w:val="auto"/>
          <w:szCs w:val="21"/>
          <w:u w:val="single"/>
        </w:rPr>
        <w:t xml:space="preserve">                               </w:t>
      </w:r>
    </w:p>
    <w:p>
      <w:pPr>
        <w:snapToGrid w:val="0"/>
        <w:spacing w:line="360" w:lineRule="auto"/>
        <w:ind w:firstLine="403" w:firstLineChars="192"/>
        <w:rPr>
          <w:rFonts w:ascii="仿宋_GB2312" w:hAnsi="宋体" w:eastAsia="仿宋_GB2312" w:cs="宋体"/>
          <w:color w:val="auto"/>
          <w:szCs w:val="21"/>
        </w:rPr>
      </w:pPr>
    </w:p>
    <w:p>
      <w:pPr>
        <w:snapToGrid w:val="0"/>
        <w:spacing w:line="360" w:lineRule="auto"/>
        <w:ind w:firstLine="403" w:firstLineChars="192"/>
        <w:rPr>
          <w:rFonts w:ascii="仿宋_GB2312" w:hAnsi="宋体" w:eastAsia="仿宋_GB2312" w:cs="宋体"/>
          <w:color w:val="auto"/>
          <w:szCs w:val="21"/>
          <w:u w:val="single"/>
        </w:rPr>
      </w:pPr>
      <w:r>
        <w:rPr>
          <w:rFonts w:hint="eastAsia" w:ascii="仿宋_GB2312" w:hAnsi="宋体" w:eastAsia="仿宋_GB2312" w:cs="宋体"/>
          <w:color w:val="auto"/>
          <w:szCs w:val="21"/>
        </w:rPr>
        <w:t>姓名：</w:t>
      </w:r>
      <w:r>
        <w:rPr>
          <w:rFonts w:hint="eastAsia" w:ascii="仿宋_GB2312" w:hAnsi="宋体" w:eastAsia="仿宋_GB2312" w:cs="宋体"/>
          <w:color w:val="auto"/>
          <w:szCs w:val="21"/>
          <w:u w:val="single"/>
        </w:rPr>
        <w:t xml:space="preserve">            </w:t>
      </w:r>
      <w:r>
        <w:rPr>
          <w:rFonts w:hint="eastAsia" w:ascii="仿宋_GB2312" w:hAnsi="宋体" w:eastAsia="仿宋_GB2312" w:cs="宋体"/>
          <w:color w:val="auto"/>
          <w:szCs w:val="21"/>
        </w:rPr>
        <w:t>性别：</w:t>
      </w:r>
      <w:r>
        <w:rPr>
          <w:rFonts w:hint="eastAsia" w:ascii="仿宋_GB2312" w:hAnsi="宋体" w:eastAsia="仿宋_GB2312" w:cs="宋体"/>
          <w:color w:val="auto"/>
          <w:szCs w:val="21"/>
          <w:u w:val="single"/>
        </w:rPr>
        <w:t xml:space="preserve">      </w:t>
      </w:r>
      <w:r>
        <w:rPr>
          <w:rFonts w:hint="eastAsia" w:ascii="仿宋_GB2312" w:hAnsi="宋体" w:eastAsia="仿宋_GB2312" w:cs="宋体"/>
          <w:color w:val="auto"/>
          <w:szCs w:val="21"/>
        </w:rPr>
        <w:t>年龄：</w:t>
      </w:r>
      <w:r>
        <w:rPr>
          <w:rFonts w:hint="eastAsia" w:ascii="仿宋_GB2312" w:hAnsi="宋体" w:eastAsia="仿宋_GB2312" w:cs="宋体"/>
          <w:color w:val="auto"/>
          <w:szCs w:val="21"/>
          <w:u w:val="single"/>
        </w:rPr>
        <w:t xml:space="preserve">      </w:t>
      </w:r>
      <w:r>
        <w:rPr>
          <w:rFonts w:hint="eastAsia" w:ascii="仿宋_GB2312" w:hAnsi="宋体" w:eastAsia="仿宋_GB2312" w:cs="宋体"/>
          <w:color w:val="auto"/>
          <w:szCs w:val="21"/>
        </w:rPr>
        <w:t>职务：</w:t>
      </w:r>
      <w:r>
        <w:rPr>
          <w:rFonts w:hint="eastAsia" w:ascii="仿宋_GB2312" w:hAnsi="宋体" w:eastAsia="仿宋_GB2312" w:cs="宋体"/>
          <w:color w:val="auto"/>
          <w:szCs w:val="21"/>
          <w:u w:val="single"/>
        </w:rPr>
        <w:t xml:space="preserve">                     </w:t>
      </w:r>
    </w:p>
    <w:p>
      <w:pPr>
        <w:snapToGrid w:val="0"/>
        <w:spacing w:line="360" w:lineRule="auto"/>
        <w:ind w:firstLine="403" w:firstLineChars="192"/>
        <w:rPr>
          <w:rFonts w:ascii="仿宋_GB2312" w:hAnsi="宋体" w:eastAsia="仿宋_GB2312" w:cs="宋体"/>
          <w:color w:val="auto"/>
          <w:szCs w:val="21"/>
        </w:rPr>
      </w:pPr>
    </w:p>
    <w:p>
      <w:pPr>
        <w:snapToGrid w:val="0"/>
        <w:spacing w:line="360" w:lineRule="auto"/>
        <w:ind w:firstLine="403" w:firstLineChars="192"/>
        <w:rPr>
          <w:rFonts w:ascii="仿宋_GB2312" w:hAnsi="宋体" w:eastAsia="仿宋_GB2312" w:cs="宋体"/>
          <w:color w:val="auto"/>
          <w:szCs w:val="21"/>
        </w:rPr>
      </w:pPr>
      <w:r>
        <w:rPr>
          <w:rFonts w:hint="eastAsia" w:ascii="仿宋_GB2312" w:hAnsi="宋体" w:eastAsia="仿宋_GB2312" w:cs="宋体"/>
          <w:color w:val="auto"/>
          <w:szCs w:val="21"/>
        </w:rPr>
        <w:t>系</w:t>
      </w:r>
      <w:r>
        <w:rPr>
          <w:rFonts w:hint="eastAsia" w:ascii="仿宋_GB2312" w:hAnsi="宋体" w:eastAsia="仿宋_GB2312" w:cs="宋体"/>
          <w:color w:val="auto"/>
          <w:szCs w:val="21"/>
          <w:u w:val="single"/>
        </w:rPr>
        <w:t xml:space="preserve">                                 </w:t>
      </w:r>
      <w:r>
        <w:rPr>
          <w:rFonts w:hint="eastAsia" w:ascii="仿宋_GB2312" w:hAnsi="宋体" w:eastAsia="仿宋_GB2312" w:cs="宋体"/>
          <w:color w:val="auto"/>
          <w:szCs w:val="21"/>
        </w:rPr>
        <w:t>的法定代表人。为委托招标代理投标签署投标文件，进行合同谈判、签署合同和处理与之有关的一切事务。</w:t>
      </w:r>
    </w:p>
    <w:p>
      <w:pPr>
        <w:snapToGrid w:val="0"/>
        <w:spacing w:line="360" w:lineRule="auto"/>
        <w:rPr>
          <w:rFonts w:ascii="仿宋_GB2312" w:hAnsi="宋体" w:eastAsia="仿宋_GB2312" w:cs="宋体"/>
          <w:color w:val="auto"/>
          <w:szCs w:val="21"/>
        </w:rPr>
      </w:pPr>
    </w:p>
    <w:p>
      <w:pPr>
        <w:snapToGrid w:val="0"/>
        <w:spacing w:line="360" w:lineRule="auto"/>
        <w:ind w:firstLine="420" w:firstLineChars="200"/>
        <w:rPr>
          <w:rFonts w:ascii="仿宋_GB2312" w:hAnsi="宋体" w:eastAsia="仿宋_GB2312" w:cs="宋体"/>
          <w:color w:val="auto"/>
          <w:szCs w:val="21"/>
        </w:rPr>
      </w:pPr>
      <w:r>
        <w:rPr>
          <w:rFonts w:hint="eastAsia" w:ascii="仿宋_GB2312" w:hAnsi="宋体" w:eastAsia="仿宋_GB2312" w:cs="宋体"/>
          <w:color w:val="auto"/>
          <w:szCs w:val="21"/>
        </w:rPr>
        <w:t>特此证明。</w:t>
      </w:r>
    </w:p>
    <w:p>
      <w:pPr>
        <w:snapToGrid w:val="0"/>
        <w:spacing w:line="360" w:lineRule="auto"/>
        <w:ind w:firstLine="840" w:firstLineChars="400"/>
        <w:rPr>
          <w:rFonts w:ascii="仿宋_GB2312" w:hAnsi="宋体" w:eastAsia="仿宋_GB2312" w:cs="宋体"/>
          <w:color w:val="auto"/>
          <w:szCs w:val="21"/>
        </w:rPr>
      </w:pPr>
    </w:p>
    <w:p>
      <w:pPr>
        <w:snapToGrid w:val="0"/>
        <w:spacing w:line="360" w:lineRule="auto"/>
        <w:ind w:firstLine="420" w:firstLineChars="200"/>
        <w:jc w:val="left"/>
        <w:rPr>
          <w:rFonts w:ascii="仿宋_GB2312" w:hAnsi="宋体" w:eastAsia="仿宋_GB2312" w:cs="宋体"/>
          <w:color w:val="auto"/>
          <w:szCs w:val="21"/>
        </w:rPr>
      </w:pPr>
    </w:p>
    <w:p>
      <w:pPr>
        <w:snapToGrid w:val="0"/>
        <w:spacing w:line="360" w:lineRule="auto"/>
        <w:ind w:firstLine="420" w:firstLineChars="200"/>
        <w:jc w:val="left"/>
        <w:rPr>
          <w:rFonts w:ascii="仿宋_GB2312" w:hAnsi="宋体" w:eastAsia="仿宋_GB2312" w:cs="宋体"/>
          <w:color w:val="auto"/>
          <w:szCs w:val="21"/>
          <w:u w:val="single"/>
        </w:rPr>
      </w:pPr>
      <w:r>
        <w:rPr>
          <w:rFonts w:hint="eastAsia" w:ascii="仿宋_GB2312" w:hAnsi="宋体" w:eastAsia="仿宋_GB2312" w:cs="宋体"/>
          <w:color w:val="auto"/>
          <w:szCs w:val="21"/>
        </w:rPr>
        <w:t>投标 人：（盖公章）</w:t>
      </w:r>
      <w:r>
        <w:rPr>
          <w:rFonts w:hint="eastAsia" w:ascii="仿宋_GB2312" w:hAnsi="宋体" w:eastAsia="仿宋_GB2312" w:cs="宋体"/>
          <w:color w:val="auto"/>
          <w:szCs w:val="21"/>
          <w:u w:val="single"/>
        </w:rPr>
        <w:t xml:space="preserve">                      </w:t>
      </w:r>
    </w:p>
    <w:p>
      <w:pPr>
        <w:snapToGrid w:val="0"/>
        <w:spacing w:line="360" w:lineRule="auto"/>
        <w:ind w:firstLine="3045" w:firstLineChars="1450"/>
        <w:jc w:val="left"/>
        <w:rPr>
          <w:rFonts w:ascii="仿宋_GB2312" w:hAnsi="宋体" w:eastAsia="仿宋_GB2312" w:cs="宋体"/>
          <w:color w:val="auto"/>
          <w:szCs w:val="21"/>
          <w:u w:val="single"/>
        </w:rPr>
      </w:pPr>
    </w:p>
    <w:p>
      <w:pPr>
        <w:snapToGrid w:val="0"/>
        <w:spacing w:line="360" w:lineRule="auto"/>
        <w:ind w:firstLine="420" w:firstLineChars="200"/>
        <w:rPr>
          <w:rFonts w:ascii="仿宋_GB2312" w:hAnsi="宋体" w:eastAsia="仿宋_GB2312" w:cs="宋体"/>
          <w:color w:val="auto"/>
          <w:szCs w:val="21"/>
        </w:rPr>
      </w:pPr>
    </w:p>
    <w:p>
      <w:pPr>
        <w:snapToGrid w:val="0"/>
        <w:spacing w:line="360" w:lineRule="auto"/>
        <w:ind w:firstLine="420" w:firstLineChars="200"/>
        <w:rPr>
          <w:rFonts w:ascii="仿宋_GB2312" w:hAnsi="宋体" w:eastAsia="仿宋_GB2312" w:cs="宋体"/>
          <w:color w:val="auto"/>
          <w:szCs w:val="21"/>
        </w:rPr>
      </w:pPr>
    </w:p>
    <w:p>
      <w:pPr>
        <w:snapToGrid w:val="0"/>
        <w:spacing w:line="360" w:lineRule="auto"/>
        <w:ind w:firstLine="420" w:firstLineChars="200"/>
        <w:rPr>
          <w:rFonts w:ascii="仿宋_GB2312" w:hAnsi="宋体" w:eastAsia="仿宋_GB2312" w:cs="宋体"/>
          <w:color w:val="auto"/>
          <w:szCs w:val="21"/>
        </w:rPr>
      </w:pPr>
    </w:p>
    <w:p>
      <w:pPr>
        <w:snapToGrid w:val="0"/>
        <w:spacing w:line="360" w:lineRule="auto"/>
        <w:ind w:firstLine="420" w:firstLineChars="200"/>
        <w:rPr>
          <w:rFonts w:ascii="仿宋_GB2312" w:hAnsi="宋体" w:eastAsia="仿宋_GB2312" w:cs="宋体"/>
          <w:color w:val="auto"/>
          <w:szCs w:val="21"/>
        </w:rPr>
      </w:pPr>
      <w:r>
        <w:rPr>
          <w:rFonts w:hint="eastAsia" w:ascii="仿宋_GB2312" w:hAnsi="宋体" w:eastAsia="仿宋_GB2312" w:cs="宋体"/>
          <w:color w:val="auto"/>
          <w:szCs w:val="21"/>
        </w:rPr>
        <w:t>日   期：</w:t>
      </w:r>
      <w:r>
        <w:rPr>
          <w:rFonts w:hint="eastAsia" w:ascii="仿宋_GB2312" w:hAnsi="宋体" w:eastAsia="仿宋_GB2312" w:cs="宋体"/>
          <w:color w:val="auto"/>
          <w:szCs w:val="21"/>
          <w:u w:val="single"/>
        </w:rPr>
        <w:t xml:space="preserve">           </w:t>
      </w:r>
      <w:r>
        <w:rPr>
          <w:rFonts w:hint="eastAsia" w:ascii="仿宋_GB2312" w:hAnsi="宋体" w:eastAsia="仿宋_GB2312" w:cs="宋体"/>
          <w:color w:val="auto"/>
          <w:szCs w:val="21"/>
        </w:rPr>
        <w:t>年</w:t>
      </w:r>
      <w:r>
        <w:rPr>
          <w:rFonts w:hint="eastAsia" w:ascii="仿宋_GB2312" w:hAnsi="宋体" w:eastAsia="仿宋_GB2312" w:cs="宋体"/>
          <w:color w:val="auto"/>
          <w:szCs w:val="21"/>
          <w:u w:val="single"/>
        </w:rPr>
        <w:t xml:space="preserve">        </w:t>
      </w:r>
      <w:r>
        <w:rPr>
          <w:rFonts w:hint="eastAsia" w:ascii="仿宋_GB2312" w:hAnsi="宋体" w:eastAsia="仿宋_GB2312" w:cs="宋体"/>
          <w:color w:val="auto"/>
          <w:szCs w:val="21"/>
        </w:rPr>
        <w:t>月</w:t>
      </w:r>
      <w:r>
        <w:rPr>
          <w:rFonts w:hint="eastAsia" w:ascii="仿宋_GB2312" w:hAnsi="宋体" w:eastAsia="仿宋_GB2312" w:cs="宋体"/>
          <w:color w:val="auto"/>
          <w:szCs w:val="21"/>
          <w:u w:val="single"/>
        </w:rPr>
        <w:t xml:space="preserve">       </w:t>
      </w:r>
      <w:r>
        <w:rPr>
          <w:rFonts w:hint="eastAsia" w:ascii="仿宋_GB2312" w:hAnsi="宋体" w:eastAsia="仿宋_GB2312" w:cs="宋体"/>
          <w:color w:val="auto"/>
          <w:szCs w:val="21"/>
        </w:rPr>
        <w:t>日</w:t>
      </w:r>
    </w:p>
    <w:p>
      <w:pPr>
        <w:snapToGrid w:val="0"/>
        <w:spacing w:line="360" w:lineRule="auto"/>
        <w:rPr>
          <w:rFonts w:ascii="仿宋_GB2312" w:hAnsi="宋体" w:eastAsia="仿宋_GB2312" w:cs="宋体"/>
          <w:color w:val="auto"/>
          <w:szCs w:val="21"/>
        </w:rPr>
      </w:pPr>
    </w:p>
    <w:p>
      <w:pPr>
        <w:snapToGrid w:val="0"/>
        <w:spacing w:line="360" w:lineRule="auto"/>
        <w:jc w:val="center"/>
        <w:rPr>
          <w:rFonts w:ascii="仿宋_GB2312" w:hAnsi="宋体" w:eastAsia="仿宋_GB2312" w:cs="宋体"/>
          <w:b/>
          <w:color w:val="auto"/>
          <w:szCs w:val="21"/>
        </w:rPr>
      </w:pPr>
      <w:r>
        <w:rPr>
          <w:rFonts w:hint="eastAsia" w:ascii="仿宋_GB2312" w:hAnsi="宋体" w:eastAsia="仿宋_GB2312" w:cs="宋体"/>
          <w:b/>
          <w:color w:val="auto"/>
          <w:szCs w:val="21"/>
        </w:rPr>
        <w:br w:type="page"/>
      </w:r>
      <w:r>
        <w:rPr>
          <w:rFonts w:hint="eastAsia" w:ascii="仿宋_GB2312" w:hAnsi="宋体" w:eastAsia="仿宋_GB2312" w:cs="宋体"/>
          <w:b/>
          <w:color w:val="auto"/>
          <w:szCs w:val="21"/>
        </w:rPr>
        <w:t>授权委托书</w:t>
      </w:r>
    </w:p>
    <w:p>
      <w:pPr>
        <w:snapToGrid w:val="0"/>
        <w:spacing w:line="360" w:lineRule="auto"/>
        <w:rPr>
          <w:rFonts w:ascii="仿宋_GB2312" w:hAnsi="宋体" w:eastAsia="仿宋_GB2312" w:cs="宋体"/>
          <w:b/>
          <w:color w:val="auto"/>
          <w:szCs w:val="21"/>
        </w:rPr>
      </w:pPr>
    </w:p>
    <w:p>
      <w:pPr>
        <w:snapToGrid w:val="0"/>
        <w:spacing w:line="360" w:lineRule="auto"/>
        <w:rPr>
          <w:rFonts w:ascii="仿宋_GB2312" w:hAnsi="宋体" w:eastAsia="仿宋_GB2312" w:cs="宋体"/>
          <w:b/>
          <w:color w:val="auto"/>
          <w:szCs w:val="21"/>
        </w:rPr>
      </w:pPr>
    </w:p>
    <w:p>
      <w:pPr>
        <w:snapToGrid w:val="0"/>
        <w:spacing w:line="360" w:lineRule="auto"/>
        <w:rPr>
          <w:rFonts w:ascii="仿宋_GB2312" w:hAnsi="宋体" w:eastAsia="仿宋_GB2312" w:cs="宋体"/>
          <w:color w:val="auto"/>
          <w:szCs w:val="21"/>
        </w:rPr>
      </w:pPr>
      <w:r>
        <w:rPr>
          <w:rFonts w:hint="eastAsia" w:ascii="仿宋_GB2312" w:hAnsi="宋体" w:eastAsia="仿宋_GB2312" w:cs="宋体"/>
          <w:color w:val="auto"/>
          <w:szCs w:val="21"/>
        </w:rPr>
        <w:t>__________________________：</w:t>
      </w:r>
    </w:p>
    <w:p>
      <w:pPr>
        <w:snapToGrid w:val="0"/>
        <w:spacing w:line="360" w:lineRule="auto"/>
        <w:ind w:firstLine="480"/>
        <w:rPr>
          <w:rFonts w:ascii="仿宋_GB2312" w:hAnsi="宋体" w:eastAsia="仿宋_GB2312" w:cs="宋体"/>
          <w:color w:val="auto"/>
          <w:szCs w:val="21"/>
        </w:rPr>
      </w:pPr>
      <w:r>
        <w:rPr>
          <w:rFonts w:hint="eastAsia" w:ascii="仿宋_GB2312" w:hAnsi="宋体" w:eastAsia="仿宋_GB2312" w:cs="宋体"/>
          <w:color w:val="auto"/>
          <w:szCs w:val="21"/>
        </w:rPr>
        <w:t>我以______________________（公司名称）法定代表人的身份授权________（姓名）、身份证号___________________，为我单位的全权代表，以我单位的名义签署________________________的投标文件及其它文件，参加开标、澄清、商签合同以及处理与之有关的其它事务，我单位均予承认。</w:t>
      </w:r>
    </w:p>
    <w:p>
      <w:pPr>
        <w:snapToGrid w:val="0"/>
        <w:spacing w:line="360" w:lineRule="auto"/>
        <w:rPr>
          <w:rFonts w:ascii="仿宋_GB2312" w:hAnsi="宋体" w:eastAsia="仿宋_GB2312" w:cs="宋体"/>
          <w:color w:val="auto"/>
          <w:szCs w:val="21"/>
        </w:rPr>
      </w:pPr>
    </w:p>
    <w:p>
      <w:pPr>
        <w:snapToGrid w:val="0"/>
        <w:spacing w:line="360" w:lineRule="auto"/>
        <w:ind w:firstLine="310" w:firstLineChars="147"/>
        <w:rPr>
          <w:rFonts w:ascii="仿宋_GB2312" w:hAnsi="宋体" w:eastAsia="仿宋_GB2312" w:cs="宋体"/>
          <w:b/>
          <w:color w:val="auto"/>
          <w:szCs w:val="21"/>
        </w:rPr>
      </w:pPr>
      <w:r>
        <w:rPr>
          <w:rFonts w:hint="eastAsia" w:ascii="仿宋_GB2312" w:hAnsi="宋体" w:eastAsia="仿宋_GB2312" w:cs="宋体"/>
          <w:b/>
          <w:color w:val="auto"/>
          <w:szCs w:val="21"/>
        </w:rPr>
        <w:t>（本委托书应与受托人身份证一并在开标会上出示）。</w:t>
      </w:r>
    </w:p>
    <w:p>
      <w:pPr>
        <w:snapToGrid w:val="0"/>
        <w:spacing w:line="360" w:lineRule="auto"/>
        <w:rPr>
          <w:rFonts w:ascii="仿宋_GB2312" w:hAnsi="宋体" w:eastAsia="仿宋_GB2312" w:cs="宋体"/>
          <w:color w:val="auto"/>
          <w:szCs w:val="21"/>
        </w:rPr>
      </w:pPr>
    </w:p>
    <w:p>
      <w:pPr>
        <w:snapToGrid w:val="0"/>
        <w:spacing w:line="360" w:lineRule="auto"/>
        <w:rPr>
          <w:rFonts w:ascii="仿宋_GB2312" w:hAnsi="宋体" w:eastAsia="仿宋_GB2312" w:cs="宋体"/>
          <w:color w:val="auto"/>
          <w:szCs w:val="21"/>
        </w:rPr>
      </w:pPr>
    </w:p>
    <w:p>
      <w:pPr>
        <w:snapToGrid w:val="0"/>
        <w:spacing w:line="360" w:lineRule="auto"/>
        <w:rPr>
          <w:rFonts w:ascii="仿宋_GB2312" w:hAnsi="宋体" w:eastAsia="仿宋_GB2312" w:cs="宋体"/>
          <w:color w:val="auto"/>
          <w:szCs w:val="21"/>
        </w:rPr>
      </w:pPr>
    </w:p>
    <w:p>
      <w:pPr>
        <w:snapToGrid w:val="0"/>
        <w:spacing w:line="360" w:lineRule="auto"/>
        <w:rPr>
          <w:rFonts w:ascii="仿宋_GB2312" w:hAnsi="宋体" w:eastAsia="仿宋_GB2312" w:cs="宋体"/>
          <w:color w:val="auto"/>
          <w:szCs w:val="21"/>
        </w:rPr>
      </w:pPr>
    </w:p>
    <w:p>
      <w:pPr>
        <w:snapToGrid w:val="0"/>
        <w:spacing w:line="360" w:lineRule="auto"/>
        <w:rPr>
          <w:rFonts w:ascii="仿宋_GB2312" w:hAnsi="宋体" w:eastAsia="仿宋_GB2312" w:cs="宋体"/>
          <w:color w:val="auto"/>
          <w:szCs w:val="21"/>
        </w:rPr>
      </w:pPr>
    </w:p>
    <w:p>
      <w:pPr>
        <w:snapToGrid w:val="0"/>
        <w:spacing w:line="360" w:lineRule="auto"/>
        <w:rPr>
          <w:rFonts w:ascii="仿宋_GB2312" w:hAnsi="宋体" w:eastAsia="仿宋_GB2312" w:cs="宋体"/>
          <w:color w:val="auto"/>
          <w:szCs w:val="21"/>
        </w:rPr>
      </w:pPr>
    </w:p>
    <w:p>
      <w:pPr>
        <w:snapToGrid w:val="0"/>
        <w:spacing w:line="360" w:lineRule="auto"/>
        <w:rPr>
          <w:rFonts w:ascii="仿宋_GB2312" w:hAnsi="宋体" w:eastAsia="仿宋_GB2312" w:cs="宋体"/>
          <w:color w:val="auto"/>
          <w:szCs w:val="21"/>
        </w:rPr>
      </w:pPr>
    </w:p>
    <w:p>
      <w:pPr>
        <w:snapToGrid w:val="0"/>
        <w:spacing w:line="360" w:lineRule="auto"/>
        <w:ind w:firstLine="420" w:firstLineChars="200"/>
        <w:jc w:val="left"/>
        <w:rPr>
          <w:rFonts w:ascii="仿宋_GB2312" w:hAnsi="宋体" w:eastAsia="仿宋_GB2312" w:cs="宋体"/>
          <w:color w:val="auto"/>
          <w:szCs w:val="21"/>
          <w:u w:val="single"/>
        </w:rPr>
      </w:pPr>
      <w:r>
        <w:rPr>
          <w:rFonts w:hint="eastAsia" w:ascii="仿宋_GB2312" w:hAnsi="宋体" w:eastAsia="仿宋_GB2312" w:cs="宋体"/>
          <w:color w:val="auto"/>
          <w:szCs w:val="21"/>
        </w:rPr>
        <w:t>投  标  人：（盖公章）</w:t>
      </w:r>
      <w:r>
        <w:rPr>
          <w:rFonts w:hint="eastAsia" w:ascii="仿宋_GB2312" w:hAnsi="宋体" w:eastAsia="仿宋_GB2312" w:cs="宋体"/>
          <w:color w:val="auto"/>
          <w:szCs w:val="21"/>
          <w:u w:val="single"/>
        </w:rPr>
        <w:t xml:space="preserve">                      </w:t>
      </w:r>
    </w:p>
    <w:p>
      <w:pPr>
        <w:snapToGrid w:val="0"/>
        <w:spacing w:line="360" w:lineRule="auto"/>
        <w:ind w:firstLine="3045" w:firstLineChars="1450"/>
        <w:jc w:val="left"/>
        <w:rPr>
          <w:rFonts w:ascii="仿宋_GB2312" w:hAnsi="宋体" w:eastAsia="仿宋_GB2312" w:cs="宋体"/>
          <w:color w:val="auto"/>
          <w:szCs w:val="21"/>
          <w:u w:val="single"/>
        </w:rPr>
      </w:pPr>
    </w:p>
    <w:p>
      <w:pPr>
        <w:snapToGrid w:val="0"/>
        <w:spacing w:line="360" w:lineRule="auto"/>
        <w:ind w:firstLine="420" w:firstLineChars="200"/>
        <w:jc w:val="left"/>
        <w:rPr>
          <w:rFonts w:ascii="仿宋_GB2312" w:hAnsi="宋体" w:eastAsia="仿宋_GB2312" w:cs="宋体"/>
          <w:color w:val="auto"/>
          <w:szCs w:val="21"/>
          <w:u w:val="single"/>
        </w:rPr>
      </w:pPr>
      <w:r>
        <w:rPr>
          <w:rFonts w:hint="eastAsia" w:ascii="仿宋_GB2312" w:hAnsi="宋体" w:eastAsia="仿宋_GB2312" w:cs="宋体"/>
          <w:color w:val="auto"/>
          <w:szCs w:val="21"/>
        </w:rPr>
        <w:t>法定代表人：（签字或盖章）</w:t>
      </w:r>
      <w:r>
        <w:rPr>
          <w:rFonts w:hint="eastAsia" w:ascii="仿宋_GB2312" w:hAnsi="宋体" w:eastAsia="仿宋_GB2312" w:cs="宋体"/>
          <w:color w:val="auto"/>
          <w:szCs w:val="21"/>
          <w:u w:val="single"/>
        </w:rPr>
        <w:t xml:space="preserve">                   </w:t>
      </w:r>
    </w:p>
    <w:p>
      <w:pPr>
        <w:snapToGrid w:val="0"/>
        <w:spacing w:line="360" w:lineRule="auto"/>
        <w:ind w:firstLine="3045" w:firstLineChars="1450"/>
        <w:jc w:val="left"/>
        <w:rPr>
          <w:rFonts w:ascii="仿宋_GB2312" w:hAnsi="宋体" w:eastAsia="仿宋_GB2312" w:cs="宋体"/>
          <w:color w:val="auto"/>
          <w:szCs w:val="21"/>
          <w:u w:val="single"/>
        </w:rPr>
      </w:pPr>
    </w:p>
    <w:p>
      <w:pPr>
        <w:snapToGrid w:val="0"/>
        <w:spacing w:line="360" w:lineRule="auto"/>
        <w:ind w:firstLine="480"/>
        <w:rPr>
          <w:rFonts w:ascii="仿宋_GB2312" w:hAnsi="宋体" w:eastAsia="仿宋_GB2312" w:cs="宋体"/>
          <w:color w:val="auto"/>
          <w:szCs w:val="21"/>
        </w:rPr>
      </w:pPr>
      <w:r>
        <w:rPr>
          <w:rFonts w:hint="eastAsia" w:ascii="仿宋_GB2312" w:hAnsi="宋体" w:eastAsia="仿宋_GB2312" w:cs="宋体"/>
          <w:color w:val="auto"/>
          <w:szCs w:val="21"/>
        </w:rPr>
        <w:t>日      期：</w:t>
      </w:r>
      <w:r>
        <w:rPr>
          <w:rFonts w:hint="eastAsia" w:ascii="仿宋_GB2312" w:hAnsi="宋体" w:eastAsia="仿宋_GB2312" w:cs="宋体"/>
          <w:color w:val="auto"/>
          <w:szCs w:val="21"/>
          <w:u w:val="single"/>
        </w:rPr>
        <w:t xml:space="preserve">          </w:t>
      </w:r>
      <w:r>
        <w:rPr>
          <w:rFonts w:hint="eastAsia" w:ascii="仿宋_GB2312" w:hAnsi="宋体" w:eastAsia="仿宋_GB2312" w:cs="宋体"/>
          <w:color w:val="auto"/>
          <w:szCs w:val="21"/>
        </w:rPr>
        <w:t>年</w:t>
      </w:r>
      <w:r>
        <w:rPr>
          <w:rFonts w:hint="eastAsia" w:ascii="仿宋_GB2312" w:hAnsi="宋体" w:eastAsia="仿宋_GB2312" w:cs="宋体"/>
          <w:color w:val="auto"/>
          <w:szCs w:val="21"/>
          <w:u w:val="single"/>
        </w:rPr>
        <w:t xml:space="preserve">        </w:t>
      </w:r>
      <w:r>
        <w:rPr>
          <w:rFonts w:hint="eastAsia" w:ascii="仿宋_GB2312" w:hAnsi="宋体" w:eastAsia="仿宋_GB2312" w:cs="宋体"/>
          <w:color w:val="auto"/>
          <w:szCs w:val="21"/>
        </w:rPr>
        <w:t>月</w:t>
      </w:r>
      <w:r>
        <w:rPr>
          <w:rFonts w:hint="eastAsia" w:ascii="仿宋_GB2312" w:hAnsi="宋体" w:eastAsia="仿宋_GB2312" w:cs="宋体"/>
          <w:color w:val="auto"/>
          <w:szCs w:val="21"/>
          <w:u w:val="single"/>
        </w:rPr>
        <w:t xml:space="preserve">        </w:t>
      </w:r>
      <w:r>
        <w:rPr>
          <w:rFonts w:hint="eastAsia" w:ascii="仿宋_GB2312" w:hAnsi="宋体" w:eastAsia="仿宋_GB2312" w:cs="宋体"/>
          <w:color w:val="auto"/>
          <w:szCs w:val="21"/>
        </w:rPr>
        <w:t xml:space="preserve">日                      </w:t>
      </w:r>
    </w:p>
    <w:p>
      <w:pPr>
        <w:snapToGrid w:val="0"/>
        <w:spacing w:line="360" w:lineRule="auto"/>
        <w:rPr>
          <w:rFonts w:ascii="仿宋_GB2312" w:hAnsi="宋体" w:eastAsia="仿宋_GB2312" w:cs="宋体"/>
          <w:color w:val="auto"/>
          <w:szCs w:val="21"/>
        </w:rPr>
      </w:pPr>
      <w:r>
        <w:rPr>
          <w:rFonts w:hint="eastAsia" w:ascii="仿宋_GB2312" w:hAnsi="宋体" w:eastAsia="仿宋_GB2312" w:cs="宋体"/>
          <w:color w:val="auto"/>
          <w:szCs w:val="21"/>
        </w:rPr>
        <w:t xml:space="preserve">                                   </w:t>
      </w:r>
    </w:p>
    <w:p>
      <w:pPr>
        <w:snapToGrid w:val="0"/>
        <w:spacing w:line="360" w:lineRule="auto"/>
        <w:jc w:val="center"/>
        <w:rPr>
          <w:rFonts w:ascii="仿宋_GB2312" w:hAnsi="宋体" w:eastAsia="仿宋_GB2312" w:cs="宋体"/>
          <w:color w:val="auto"/>
          <w:szCs w:val="21"/>
        </w:rPr>
      </w:pPr>
      <w:r>
        <w:rPr>
          <w:rFonts w:hint="eastAsia" w:ascii="仿宋_GB2312" w:hAnsi="宋体" w:eastAsia="仿宋_GB2312" w:cs="宋体"/>
          <w:color w:val="auto"/>
          <w:szCs w:val="21"/>
        </w:rPr>
        <w:t xml:space="preserve">                           </w:t>
      </w:r>
    </w:p>
    <w:p>
      <w:pPr>
        <w:snapToGrid w:val="0"/>
        <w:spacing w:line="360" w:lineRule="auto"/>
        <w:jc w:val="center"/>
        <w:rPr>
          <w:rFonts w:ascii="仿宋_GB2312" w:hAnsi="宋体" w:eastAsia="仿宋_GB2312" w:cs="宋体"/>
          <w:color w:val="auto"/>
          <w:szCs w:val="21"/>
        </w:rPr>
      </w:pPr>
    </w:p>
    <w:p>
      <w:pPr>
        <w:snapToGrid w:val="0"/>
        <w:spacing w:line="360" w:lineRule="auto"/>
        <w:jc w:val="center"/>
        <w:rPr>
          <w:rFonts w:ascii="仿宋_GB2312" w:hAnsi="宋体" w:eastAsia="仿宋_GB2312" w:cs="宋体"/>
          <w:color w:val="auto"/>
          <w:szCs w:val="21"/>
        </w:rPr>
      </w:pPr>
    </w:p>
    <w:p>
      <w:pPr>
        <w:snapToGrid w:val="0"/>
        <w:spacing w:line="360" w:lineRule="auto"/>
        <w:jc w:val="center"/>
        <w:rPr>
          <w:rFonts w:ascii="仿宋_GB2312" w:hAnsi="宋体" w:eastAsia="仿宋_GB2312" w:cs="宋体"/>
          <w:color w:val="auto"/>
          <w:szCs w:val="21"/>
        </w:rPr>
      </w:pPr>
    </w:p>
    <w:p>
      <w:pPr>
        <w:snapToGrid w:val="0"/>
        <w:spacing w:line="360" w:lineRule="auto"/>
        <w:jc w:val="center"/>
        <w:rPr>
          <w:rFonts w:ascii="仿宋_GB2312" w:hAnsi="宋体" w:eastAsia="仿宋_GB2312" w:cs="宋体"/>
          <w:color w:val="auto"/>
          <w:szCs w:val="21"/>
        </w:rPr>
      </w:pPr>
    </w:p>
    <w:p>
      <w:pPr>
        <w:snapToGrid w:val="0"/>
        <w:spacing w:line="360" w:lineRule="auto"/>
        <w:jc w:val="center"/>
        <w:rPr>
          <w:rFonts w:ascii="仿宋_GB2312" w:hAnsi="宋体" w:eastAsia="仿宋_GB2312" w:cs="宋体"/>
          <w:color w:val="auto"/>
          <w:szCs w:val="21"/>
        </w:rPr>
      </w:pPr>
    </w:p>
    <w:p>
      <w:pPr>
        <w:snapToGrid w:val="0"/>
        <w:spacing w:line="360" w:lineRule="auto"/>
        <w:jc w:val="center"/>
        <w:rPr>
          <w:rFonts w:ascii="仿宋_GB2312" w:hAnsi="宋体" w:eastAsia="仿宋_GB2312" w:cs="宋体"/>
          <w:color w:val="auto"/>
          <w:szCs w:val="21"/>
        </w:rPr>
      </w:pPr>
    </w:p>
    <w:p>
      <w:pPr>
        <w:snapToGrid w:val="0"/>
        <w:spacing w:line="360" w:lineRule="auto"/>
        <w:jc w:val="center"/>
        <w:rPr>
          <w:rFonts w:ascii="仿宋_GB2312" w:hAnsi="宋体" w:eastAsia="仿宋_GB2312" w:cs="宋体"/>
          <w:color w:val="auto"/>
          <w:szCs w:val="21"/>
        </w:rPr>
      </w:pPr>
    </w:p>
    <w:p>
      <w:pPr>
        <w:snapToGrid w:val="0"/>
        <w:spacing w:line="360" w:lineRule="auto"/>
        <w:jc w:val="center"/>
        <w:rPr>
          <w:rFonts w:ascii="仿宋_GB2312" w:hAnsi="宋体" w:eastAsia="仿宋_GB2312" w:cs="宋体"/>
          <w:color w:val="auto"/>
          <w:szCs w:val="21"/>
        </w:rPr>
      </w:pPr>
    </w:p>
    <w:p>
      <w:pPr>
        <w:snapToGrid w:val="0"/>
        <w:spacing w:line="360" w:lineRule="auto"/>
        <w:jc w:val="center"/>
        <w:rPr>
          <w:rFonts w:ascii="仿宋_GB2312" w:hAnsi="宋体" w:eastAsia="仿宋_GB2312" w:cs="宋体"/>
          <w:color w:val="auto"/>
          <w:szCs w:val="21"/>
        </w:rPr>
      </w:pPr>
    </w:p>
    <w:p>
      <w:pPr>
        <w:snapToGrid w:val="0"/>
        <w:spacing w:line="360" w:lineRule="auto"/>
        <w:jc w:val="center"/>
        <w:rPr>
          <w:rFonts w:ascii="仿宋_GB2312" w:hAnsi="宋体" w:eastAsia="仿宋_GB2312" w:cs="宋体"/>
          <w:color w:val="auto"/>
          <w:szCs w:val="21"/>
        </w:rPr>
      </w:pPr>
    </w:p>
    <w:p>
      <w:pPr>
        <w:snapToGrid w:val="0"/>
        <w:spacing w:line="360" w:lineRule="auto"/>
        <w:jc w:val="center"/>
        <w:rPr>
          <w:rFonts w:ascii="仿宋_GB2312" w:hAnsi="宋体" w:eastAsia="仿宋_GB2312" w:cs="宋体"/>
          <w:color w:val="auto"/>
          <w:szCs w:val="21"/>
        </w:rPr>
      </w:pPr>
    </w:p>
    <w:p>
      <w:pPr>
        <w:adjustRightInd/>
        <w:jc w:val="center"/>
        <w:rPr>
          <w:rFonts w:ascii="仿宋_GB2312" w:hAnsi="宋体" w:eastAsia="仿宋_GB2312"/>
          <w:color w:val="auto"/>
          <w:sz w:val="24"/>
        </w:rPr>
      </w:pPr>
    </w:p>
    <w:p>
      <w:pPr>
        <w:rPr>
          <w:rFonts w:ascii="仿宋_GB2312" w:hAnsi="宋体" w:eastAsia="仿宋_GB2312"/>
          <w:b/>
          <w:bCs/>
          <w:color w:val="auto"/>
          <w:sz w:val="24"/>
        </w:rPr>
      </w:pPr>
      <w:r>
        <w:rPr>
          <w:rFonts w:hint="eastAsia" w:ascii="仿宋_GB2312" w:hAnsi="宋体" w:eastAsia="仿宋_GB2312"/>
          <w:b/>
          <w:bCs/>
          <w:color w:val="auto"/>
          <w:sz w:val="24"/>
        </w:rPr>
        <w:br w:type="page"/>
      </w:r>
    </w:p>
    <w:p>
      <w:pPr>
        <w:adjustRightInd/>
        <w:jc w:val="center"/>
        <w:rPr>
          <w:rFonts w:ascii="仿宋_GB2312" w:hAnsi="宋体" w:eastAsia="仿宋_GB2312"/>
          <w:b/>
          <w:bCs/>
          <w:color w:val="auto"/>
          <w:sz w:val="24"/>
        </w:rPr>
      </w:pPr>
      <w:r>
        <w:rPr>
          <w:rFonts w:hint="eastAsia" w:ascii="仿宋_GB2312" w:hAnsi="宋体" w:eastAsia="仿宋_GB2312"/>
          <w:b/>
          <w:bCs/>
          <w:color w:val="auto"/>
          <w:sz w:val="24"/>
        </w:rPr>
        <w:t>承  诺 书</w:t>
      </w:r>
    </w:p>
    <w:p>
      <w:pPr>
        <w:adjustRightInd/>
        <w:jc w:val="center"/>
        <w:rPr>
          <w:rFonts w:ascii="仿宋_GB2312" w:hAnsi="宋体" w:eastAsia="仿宋_GB2312"/>
          <w:bCs/>
          <w:color w:val="auto"/>
          <w:sz w:val="28"/>
          <w:szCs w:val="28"/>
        </w:rPr>
      </w:pPr>
    </w:p>
    <w:p>
      <w:pPr>
        <w:adjustRightInd/>
        <w:jc w:val="center"/>
        <w:rPr>
          <w:rFonts w:ascii="仿宋_GB2312" w:hAnsi="宋体" w:eastAsia="仿宋_GB2312"/>
          <w:bCs/>
          <w:color w:val="auto"/>
          <w:sz w:val="28"/>
          <w:szCs w:val="28"/>
        </w:rPr>
      </w:pPr>
    </w:p>
    <w:p>
      <w:pPr>
        <w:adjustRightInd/>
        <w:rPr>
          <w:rFonts w:ascii="仿宋_GB2312" w:hAnsi="宋体" w:eastAsia="仿宋_GB2312"/>
          <w:bCs/>
          <w:color w:val="auto"/>
          <w:sz w:val="24"/>
        </w:rPr>
      </w:pPr>
      <w:r>
        <w:rPr>
          <w:rFonts w:hint="eastAsia" w:ascii="仿宋_GB2312" w:hAnsi="宋体" w:eastAsia="仿宋_GB2312"/>
          <w:bCs/>
          <w:color w:val="auto"/>
          <w:sz w:val="24"/>
        </w:rPr>
        <w:t>致：</w:t>
      </w:r>
      <w:r>
        <w:rPr>
          <w:rFonts w:hint="eastAsia" w:ascii="仿宋_GB2312" w:hAnsi="宋体" w:eastAsia="仿宋_GB2312"/>
          <w:color w:val="auto"/>
          <w:sz w:val="24"/>
          <w:u w:val="single"/>
        </w:rPr>
        <w:t xml:space="preserve">   （招  标  人  名  称）  </w:t>
      </w:r>
    </w:p>
    <w:p>
      <w:pPr>
        <w:adjustRightInd/>
        <w:ind w:firstLine="570"/>
        <w:rPr>
          <w:rFonts w:ascii="仿宋_GB2312" w:hAnsi="宋体" w:eastAsia="仿宋_GB2312"/>
          <w:bCs/>
          <w:color w:val="auto"/>
          <w:sz w:val="24"/>
        </w:rPr>
      </w:pPr>
      <w:r>
        <w:rPr>
          <w:rFonts w:hint="eastAsia" w:ascii="仿宋_GB2312" w:hAnsi="宋体" w:eastAsia="仿宋_GB2312"/>
          <w:bCs/>
          <w:color w:val="auto"/>
          <w:sz w:val="24"/>
        </w:rPr>
        <w:t>如中标，参与</w:t>
      </w:r>
      <w:r>
        <w:rPr>
          <w:rFonts w:hint="eastAsia" w:ascii="仿宋_GB2312" w:hAnsi="宋体" w:eastAsia="仿宋_GB2312"/>
          <w:bCs/>
          <w:color w:val="auto"/>
          <w:sz w:val="24"/>
          <w:u w:val="single"/>
        </w:rPr>
        <w:t xml:space="preserve">                     </w:t>
      </w:r>
      <w:r>
        <w:rPr>
          <w:rFonts w:hint="eastAsia" w:ascii="仿宋_GB2312" w:hAnsi="宋体" w:eastAsia="仿宋_GB2312"/>
          <w:bCs/>
          <w:color w:val="auto"/>
          <w:sz w:val="24"/>
        </w:rPr>
        <w:t>项目的招标代理单位服务，我公司将派具有类似服务经验的</w:t>
      </w:r>
      <w:r>
        <w:rPr>
          <w:rFonts w:hint="eastAsia" w:ascii="仿宋_GB2312" w:hAnsi="宋体" w:eastAsia="仿宋_GB2312"/>
          <w:bCs/>
          <w:color w:val="auto"/>
          <w:sz w:val="24"/>
          <w:u w:val="single"/>
        </w:rPr>
        <w:t xml:space="preserve">       </w:t>
      </w:r>
      <w:r>
        <w:rPr>
          <w:rFonts w:hint="eastAsia" w:ascii="仿宋_GB2312" w:hAnsi="宋体" w:eastAsia="仿宋_GB2312"/>
          <w:bCs/>
          <w:color w:val="auto"/>
          <w:sz w:val="24"/>
        </w:rPr>
        <w:t>（填写项目负责人姓名、性别、年龄、资格证书编号）为本项目的入库单位负责人。如违反此承诺，愿按合同有关规定接受处罚。</w:t>
      </w:r>
    </w:p>
    <w:p>
      <w:pPr>
        <w:adjustRightInd/>
        <w:ind w:firstLine="570"/>
        <w:rPr>
          <w:rFonts w:ascii="仿宋_GB2312" w:hAnsi="宋体" w:eastAsia="仿宋_GB2312"/>
          <w:bCs/>
          <w:color w:val="auto"/>
          <w:sz w:val="24"/>
        </w:rPr>
      </w:pPr>
    </w:p>
    <w:p>
      <w:pPr>
        <w:adjustRightInd/>
        <w:ind w:firstLine="570"/>
        <w:rPr>
          <w:rFonts w:ascii="仿宋_GB2312" w:hAnsi="宋体" w:eastAsia="仿宋_GB2312"/>
          <w:bCs/>
          <w:color w:val="auto"/>
          <w:sz w:val="24"/>
        </w:rPr>
      </w:pPr>
    </w:p>
    <w:p>
      <w:pPr>
        <w:adjustRightInd/>
        <w:ind w:firstLine="570"/>
        <w:rPr>
          <w:rFonts w:ascii="仿宋_GB2312" w:hAnsi="宋体" w:eastAsia="仿宋_GB2312"/>
          <w:bCs/>
          <w:color w:val="auto"/>
          <w:sz w:val="24"/>
        </w:rPr>
      </w:pPr>
    </w:p>
    <w:p>
      <w:pPr>
        <w:adjustRightInd/>
        <w:ind w:firstLine="570"/>
        <w:rPr>
          <w:rFonts w:ascii="仿宋_GB2312" w:hAnsi="宋体" w:eastAsia="仿宋_GB2312"/>
          <w:bCs/>
          <w:color w:val="auto"/>
          <w:sz w:val="24"/>
        </w:rPr>
      </w:pPr>
      <w:r>
        <w:rPr>
          <w:rFonts w:hint="eastAsia" w:ascii="仿宋_GB2312" w:hAnsi="宋体" w:eastAsia="仿宋_GB2312"/>
          <w:bCs/>
          <w:color w:val="auto"/>
          <w:sz w:val="24"/>
        </w:rPr>
        <w:t>投标人名称（盖章）：</w:t>
      </w:r>
    </w:p>
    <w:p>
      <w:pPr>
        <w:adjustRightInd/>
        <w:ind w:firstLine="570"/>
        <w:rPr>
          <w:rFonts w:ascii="仿宋_GB2312" w:hAnsi="宋体" w:eastAsia="仿宋_GB2312"/>
          <w:bCs/>
          <w:color w:val="auto"/>
          <w:sz w:val="24"/>
        </w:rPr>
      </w:pPr>
      <w:r>
        <w:rPr>
          <w:rFonts w:hint="eastAsia" w:ascii="仿宋_GB2312" w:hAnsi="宋体" w:eastAsia="仿宋_GB2312"/>
          <w:color w:val="auto"/>
          <w:sz w:val="24"/>
        </w:rPr>
        <w:t>法定代表人签名</w:t>
      </w:r>
      <w:r>
        <w:rPr>
          <w:rFonts w:hint="eastAsia" w:ascii="仿宋_GB2312" w:hAnsi="宋体" w:eastAsia="仿宋_GB2312"/>
          <w:bCs/>
          <w:color w:val="auto"/>
          <w:sz w:val="24"/>
        </w:rPr>
        <w:t>：</w:t>
      </w:r>
    </w:p>
    <w:p>
      <w:pPr>
        <w:adjustRightInd/>
        <w:spacing w:line="300" w:lineRule="exact"/>
        <w:rPr>
          <w:rFonts w:ascii="仿宋_GB2312" w:hAnsi="宋体" w:eastAsia="仿宋_GB2312"/>
          <w:color w:val="auto"/>
          <w:sz w:val="24"/>
        </w:rPr>
      </w:pPr>
      <w:r>
        <w:rPr>
          <w:rFonts w:hint="eastAsia" w:ascii="仿宋_GB2312" w:hAnsi="宋体" w:eastAsia="仿宋_GB2312"/>
          <w:bCs/>
          <w:color w:val="auto"/>
          <w:sz w:val="24"/>
        </w:rPr>
        <w:t xml:space="preserve">     日             期：    年     月    日</w:t>
      </w:r>
    </w:p>
    <w:p>
      <w:pPr>
        <w:adjustRightInd/>
        <w:snapToGrid w:val="0"/>
        <w:spacing w:before="120" w:beforeLines="50" w:after="50"/>
        <w:rPr>
          <w:rFonts w:ascii="仿宋_GB2312" w:hAnsi="宋体" w:eastAsia="仿宋_GB2312"/>
          <w:color w:val="auto"/>
          <w:sz w:val="24"/>
          <w:szCs w:val="20"/>
        </w:rPr>
      </w:pPr>
    </w:p>
    <w:p>
      <w:pPr>
        <w:adjustRightInd/>
        <w:snapToGrid w:val="0"/>
        <w:spacing w:before="120" w:beforeLines="50" w:after="50"/>
        <w:rPr>
          <w:rFonts w:ascii="仿宋_GB2312" w:hAnsi="宋体" w:eastAsia="仿宋_GB2312"/>
          <w:color w:val="auto"/>
          <w:sz w:val="24"/>
          <w:szCs w:val="20"/>
        </w:rPr>
      </w:pPr>
    </w:p>
    <w:p>
      <w:pPr>
        <w:adjustRightInd/>
        <w:snapToGrid w:val="0"/>
        <w:spacing w:before="50" w:after="120" w:afterLines="50"/>
        <w:jc w:val="left"/>
        <w:rPr>
          <w:rFonts w:ascii="仿宋_GB2312" w:hAnsi="宋体" w:eastAsia="仿宋_GB2312"/>
          <w:color w:val="auto"/>
          <w:sz w:val="24"/>
        </w:rPr>
      </w:pPr>
      <w:r>
        <w:rPr>
          <w:rFonts w:hint="eastAsia" w:ascii="仿宋_GB2312" w:hAnsi="宋体" w:eastAsia="仿宋_GB2312"/>
          <w:color w:val="auto"/>
          <w:sz w:val="24"/>
        </w:rPr>
        <w:t>5.投标声明书格式：</w:t>
      </w:r>
    </w:p>
    <w:p>
      <w:pPr>
        <w:adjustRightInd/>
        <w:snapToGrid w:val="0"/>
        <w:spacing w:before="50" w:after="120" w:afterLines="50"/>
        <w:jc w:val="left"/>
        <w:rPr>
          <w:rFonts w:ascii="仿宋_GB2312" w:hAnsi="宋体" w:eastAsia="仿宋_GB2312"/>
          <w:color w:val="auto"/>
          <w:sz w:val="24"/>
        </w:rPr>
      </w:pPr>
    </w:p>
    <w:p>
      <w:pPr>
        <w:tabs>
          <w:tab w:val="left" w:pos="8100"/>
          <w:tab w:val="left" w:pos="9360"/>
        </w:tabs>
        <w:adjustRightInd/>
        <w:spacing w:line="400" w:lineRule="exact"/>
        <w:ind w:left="840" w:hanging="840"/>
        <w:jc w:val="center"/>
        <w:rPr>
          <w:rFonts w:ascii="仿宋_GB2312" w:hAnsi="宋体" w:eastAsia="仿宋_GB2312"/>
          <w:b/>
          <w:bCs/>
          <w:color w:val="auto"/>
          <w:sz w:val="24"/>
        </w:rPr>
      </w:pPr>
      <w:r>
        <w:rPr>
          <w:rFonts w:hint="eastAsia" w:ascii="仿宋_GB2312" w:hAnsi="宋体" w:eastAsia="仿宋_GB2312"/>
          <w:b/>
          <w:bCs/>
          <w:color w:val="auto"/>
          <w:sz w:val="24"/>
        </w:rPr>
        <w:t>投 标 人 声 明</w:t>
      </w:r>
    </w:p>
    <w:p>
      <w:pPr>
        <w:tabs>
          <w:tab w:val="left" w:pos="8100"/>
          <w:tab w:val="left" w:pos="9360"/>
        </w:tabs>
        <w:adjustRightInd/>
        <w:spacing w:line="360" w:lineRule="auto"/>
        <w:rPr>
          <w:rFonts w:ascii="仿宋_GB2312" w:eastAsia="仿宋_GB2312"/>
          <w:color w:val="auto"/>
          <w:sz w:val="28"/>
          <w:szCs w:val="28"/>
        </w:rPr>
      </w:pPr>
      <w:r>
        <w:rPr>
          <w:rFonts w:hint="eastAsia" w:ascii="仿宋_GB2312" w:eastAsia="仿宋_GB2312"/>
          <w:color w:val="auto"/>
          <w:sz w:val="24"/>
        </w:rPr>
        <w:t xml:space="preserve">   </w:t>
      </w:r>
      <w:r>
        <w:rPr>
          <w:rFonts w:hint="eastAsia" w:ascii="仿宋_GB2312" w:eastAsia="仿宋_GB2312"/>
          <w:color w:val="auto"/>
          <w:sz w:val="28"/>
          <w:szCs w:val="28"/>
        </w:rPr>
        <w:t xml:space="preserve"> </w:t>
      </w:r>
    </w:p>
    <w:p>
      <w:pPr>
        <w:tabs>
          <w:tab w:val="left" w:pos="8100"/>
          <w:tab w:val="left" w:pos="9360"/>
        </w:tabs>
        <w:adjustRightInd/>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本单位在本投标文件中所提供的资信业绩材料和所投标的其他一切材料均为真实有效，可随时提供材料原件，接受招投标监督管理机构的核查，如有弄虚作假，同意招标人罚没我方投标保证金，并愿按有关法律、法规接受处罚。</w:t>
      </w:r>
    </w:p>
    <w:p>
      <w:pPr>
        <w:tabs>
          <w:tab w:val="left" w:pos="8100"/>
          <w:tab w:val="left" w:pos="9360"/>
        </w:tabs>
        <w:adjustRightInd/>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特此声明。</w:t>
      </w:r>
    </w:p>
    <w:p>
      <w:pPr>
        <w:tabs>
          <w:tab w:val="left" w:pos="8100"/>
          <w:tab w:val="left" w:pos="9360"/>
        </w:tabs>
        <w:adjustRightInd/>
        <w:spacing w:line="360" w:lineRule="auto"/>
        <w:ind w:firstLine="480"/>
        <w:rPr>
          <w:rFonts w:ascii="仿宋_GB2312" w:eastAsia="仿宋_GB2312"/>
          <w:color w:val="auto"/>
          <w:sz w:val="28"/>
          <w:szCs w:val="28"/>
        </w:rPr>
      </w:pPr>
    </w:p>
    <w:p>
      <w:pPr>
        <w:adjustRightInd/>
        <w:snapToGrid w:val="0"/>
        <w:spacing w:before="120" w:beforeLines="50"/>
        <w:ind w:firstLine="200"/>
        <w:rPr>
          <w:rFonts w:ascii="仿宋_GB2312" w:hAnsi="宋体" w:eastAsia="仿宋_GB2312"/>
          <w:color w:val="auto"/>
          <w:sz w:val="24"/>
          <w:szCs w:val="20"/>
          <w:u w:val="single"/>
        </w:rPr>
      </w:pPr>
      <w:r>
        <w:rPr>
          <w:rFonts w:hint="eastAsia" w:ascii="仿宋_GB2312" w:hAnsi="宋体" w:eastAsia="仿宋_GB2312"/>
          <w:color w:val="auto"/>
          <w:sz w:val="24"/>
        </w:rPr>
        <w:t>法定代表人签字：</w:t>
      </w:r>
      <w:r>
        <w:rPr>
          <w:rFonts w:hint="eastAsia" w:ascii="仿宋_GB2312" w:hAnsi="宋体" w:eastAsia="仿宋_GB2312"/>
          <w:color w:val="auto"/>
          <w:sz w:val="24"/>
          <w:u w:val="single"/>
        </w:rPr>
        <w:t xml:space="preserve">             </w:t>
      </w:r>
    </w:p>
    <w:p>
      <w:pPr>
        <w:adjustRightInd/>
        <w:snapToGrid w:val="0"/>
        <w:spacing w:before="120" w:beforeLines="50" w:after="50"/>
        <w:ind w:firstLine="240" w:firstLineChars="100"/>
        <w:rPr>
          <w:rFonts w:ascii="仿宋_GB2312" w:hAnsi="宋体" w:eastAsia="仿宋_GB2312"/>
          <w:color w:val="auto"/>
          <w:sz w:val="24"/>
          <w:szCs w:val="20"/>
        </w:rPr>
      </w:pPr>
      <w:r>
        <w:rPr>
          <w:rFonts w:hint="eastAsia" w:ascii="仿宋_GB2312" w:hAnsi="宋体" w:eastAsia="仿宋_GB2312"/>
          <w:color w:val="auto"/>
          <w:sz w:val="24"/>
        </w:rPr>
        <w:t>投标人公章：</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年    月    日</w:t>
      </w:r>
    </w:p>
    <w:p>
      <w:pPr>
        <w:adjustRightInd/>
        <w:snapToGrid w:val="0"/>
        <w:spacing w:before="120" w:beforeLines="50" w:after="50"/>
        <w:jc w:val="left"/>
        <w:rPr>
          <w:rFonts w:ascii="仿宋_GB2312" w:hAnsi="宋体" w:eastAsia="仿宋_GB2312"/>
          <w:color w:val="auto"/>
          <w:sz w:val="24"/>
        </w:rPr>
      </w:pPr>
    </w:p>
    <w:p>
      <w:pPr>
        <w:adjustRightInd/>
        <w:snapToGrid w:val="0"/>
        <w:spacing w:line="360" w:lineRule="exact"/>
        <w:jc w:val="center"/>
        <w:outlineLvl w:val="1"/>
        <w:rPr>
          <w:rFonts w:ascii="仿宋_GB2312" w:hAnsi="宋体" w:eastAsia="仿宋_GB2312"/>
          <w:b/>
          <w:bCs/>
          <w:color w:val="auto"/>
          <w:sz w:val="24"/>
        </w:rPr>
      </w:pPr>
    </w:p>
    <w:p>
      <w:pPr>
        <w:adjustRightInd/>
        <w:snapToGrid w:val="0"/>
        <w:spacing w:line="360" w:lineRule="exact"/>
        <w:jc w:val="center"/>
        <w:outlineLvl w:val="1"/>
        <w:rPr>
          <w:rFonts w:ascii="仿宋_GB2312" w:hAnsi="宋体" w:eastAsia="仿宋_GB2312"/>
          <w:b/>
          <w:bCs/>
          <w:color w:val="auto"/>
          <w:sz w:val="24"/>
        </w:rPr>
      </w:pPr>
    </w:p>
    <w:p>
      <w:pPr>
        <w:adjustRightInd/>
        <w:snapToGrid w:val="0"/>
        <w:spacing w:line="360" w:lineRule="exact"/>
        <w:jc w:val="center"/>
        <w:outlineLvl w:val="1"/>
        <w:rPr>
          <w:rFonts w:ascii="仿宋_GB2312" w:hAnsi="宋体" w:eastAsia="仿宋_GB2312"/>
          <w:b/>
          <w:bCs/>
          <w:color w:val="auto"/>
          <w:sz w:val="24"/>
        </w:rPr>
      </w:pPr>
    </w:p>
    <w:p>
      <w:pPr>
        <w:rPr>
          <w:rFonts w:ascii="仿宋_GB2312" w:hAnsi="宋体" w:eastAsia="仿宋_GB2312"/>
          <w:b/>
          <w:bCs/>
          <w:color w:val="auto"/>
          <w:sz w:val="24"/>
        </w:rPr>
      </w:pPr>
      <w:r>
        <w:rPr>
          <w:rFonts w:hint="eastAsia" w:ascii="仿宋_GB2312" w:hAnsi="宋体" w:eastAsia="仿宋_GB2312"/>
          <w:b/>
          <w:bCs/>
          <w:color w:val="auto"/>
          <w:sz w:val="24"/>
        </w:rPr>
        <w:br w:type="page"/>
      </w:r>
    </w:p>
    <w:p>
      <w:pPr>
        <w:adjustRightInd/>
        <w:snapToGrid w:val="0"/>
        <w:spacing w:line="360" w:lineRule="exact"/>
        <w:jc w:val="center"/>
        <w:outlineLvl w:val="1"/>
        <w:rPr>
          <w:rFonts w:ascii="仿宋_GB2312" w:hAnsi="宋体" w:eastAsia="仿宋_GB2312"/>
          <w:b/>
          <w:bCs/>
          <w:color w:val="auto"/>
          <w:sz w:val="24"/>
        </w:rPr>
      </w:pPr>
      <w:r>
        <w:rPr>
          <w:rFonts w:hint="eastAsia" w:ascii="仿宋_GB2312" w:hAnsi="宋体" w:eastAsia="仿宋_GB2312"/>
          <w:b/>
          <w:bCs/>
          <w:color w:val="auto"/>
          <w:sz w:val="24"/>
        </w:rPr>
        <w:t>三、技术、资信、业绩及能力文件格式（参考）</w:t>
      </w:r>
    </w:p>
    <w:p>
      <w:pPr>
        <w:adjustRightInd/>
        <w:snapToGrid w:val="0"/>
        <w:spacing w:before="120" w:beforeLines="50" w:after="50"/>
        <w:rPr>
          <w:rFonts w:ascii="仿宋_GB2312" w:hAnsi="宋体" w:eastAsia="仿宋_GB2312"/>
          <w:bCs/>
          <w:color w:val="auto"/>
          <w:sz w:val="24"/>
          <w:szCs w:val="20"/>
        </w:rPr>
      </w:pPr>
      <w:r>
        <w:rPr>
          <w:rFonts w:hint="eastAsia" w:ascii="仿宋_GB2312" w:hAnsi="宋体" w:eastAsia="仿宋_GB2312"/>
          <w:color w:val="auto"/>
          <w:sz w:val="24"/>
        </w:rPr>
        <w:t>技术、资信、业绩及能力</w:t>
      </w:r>
      <w:r>
        <w:rPr>
          <w:rFonts w:hint="eastAsia" w:ascii="仿宋_GB2312" w:hAnsi="宋体" w:eastAsia="仿宋_GB2312"/>
          <w:bCs/>
          <w:color w:val="auto"/>
          <w:sz w:val="24"/>
        </w:rPr>
        <w:t>文件的外包装封面格式（不可缺）：</w:t>
      </w:r>
    </w:p>
    <w:p>
      <w:pPr>
        <w:adjustRightInd/>
        <w:snapToGrid w:val="0"/>
        <w:spacing w:before="120" w:beforeLines="50" w:after="50"/>
        <w:jc w:val="center"/>
        <w:rPr>
          <w:rFonts w:ascii="仿宋_GB2312" w:hAnsi="宋体" w:eastAsia="仿宋_GB2312"/>
          <w:bCs/>
          <w:color w:val="auto"/>
          <w:sz w:val="24"/>
          <w:szCs w:val="20"/>
        </w:rPr>
      </w:pPr>
    </w:p>
    <w:p>
      <w:pPr>
        <w:adjustRightInd/>
        <w:snapToGrid w:val="0"/>
        <w:spacing w:before="120" w:beforeLines="50" w:after="50"/>
        <w:jc w:val="center"/>
        <w:rPr>
          <w:rFonts w:ascii="仿宋_GB2312" w:hAnsi="宋体" w:eastAsia="仿宋_GB2312"/>
          <w:bCs/>
          <w:color w:val="auto"/>
          <w:sz w:val="24"/>
          <w:szCs w:val="20"/>
        </w:rPr>
      </w:pPr>
      <w:r>
        <w:rPr>
          <w:rFonts w:hint="eastAsia" w:ascii="仿宋_GB2312" w:hAnsi="宋体" w:eastAsia="仿宋_GB2312"/>
          <w:color w:val="auto"/>
          <w:sz w:val="24"/>
        </w:rPr>
        <w:t>技术、资信、业绩及能力</w:t>
      </w:r>
      <w:r>
        <w:rPr>
          <w:rFonts w:hint="eastAsia" w:ascii="仿宋_GB2312" w:hAnsi="宋体" w:eastAsia="仿宋_GB2312"/>
          <w:bCs/>
          <w:color w:val="auto"/>
          <w:sz w:val="24"/>
        </w:rPr>
        <w:t>文件</w:t>
      </w:r>
    </w:p>
    <w:p>
      <w:pPr>
        <w:adjustRightInd/>
        <w:snapToGrid w:val="0"/>
        <w:spacing w:before="120" w:beforeLines="50" w:after="50"/>
        <w:rPr>
          <w:rFonts w:ascii="仿宋_GB2312" w:hAnsi="宋体" w:eastAsia="仿宋_GB2312"/>
          <w:bCs/>
          <w:color w:val="auto"/>
          <w:sz w:val="24"/>
          <w:szCs w:val="20"/>
        </w:rPr>
      </w:pPr>
    </w:p>
    <w:p>
      <w:pPr>
        <w:adjustRightInd/>
        <w:snapToGrid w:val="0"/>
        <w:spacing w:line="360" w:lineRule="exact"/>
        <w:ind w:firstLine="900" w:firstLineChars="375"/>
        <w:rPr>
          <w:rFonts w:ascii="仿宋_GB2312" w:hAnsi="宋体" w:eastAsia="仿宋_GB2312"/>
          <w:bCs/>
          <w:color w:val="auto"/>
          <w:sz w:val="24"/>
          <w:szCs w:val="20"/>
        </w:rPr>
      </w:pPr>
      <w:r>
        <w:rPr>
          <w:rFonts w:hint="eastAsia" w:ascii="仿宋_GB2312" w:hAnsi="宋体" w:eastAsia="仿宋_GB2312"/>
          <w:bCs/>
          <w:color w:val="auto"/>
          <w:sz w:val="24"/>
        </w:rPr>
        <w:t>项目名称（注明标项）：</w:t>
      </w:r>
    </w:p>
    <w:p>
      <w:pPr>
        <w:adjustRightInd/>
        <w:snapToGrid w:val="0"/>
        <w:spacing w:line="360" w:lineRule="exact"/>
        <w:ind w:firstLine="900" w:firstLineChars="375"/>
        <w:rPr>
          <w:rFonts w:ascii="仿宋_GB2312" w:hAnsi="宋体" w:eastAsia="仿宋_GB2312"/>
          <w:bCs/>
          <w:color w:val="auto"/>
          <w:sz w:val="24"/>
        </w:rPr>
      </w:pPr>
      <w:r>
        <w:rPr>
          <w:rFonts w:hint="eastAsia" w:ascii="仿宋_GB2312" w:hAnsi="宋体" w:eastAsia="仿宋_GB2312"/>
          <w:bCs/>
          <w:color w:val="auto"/>
          <w:sz w:val="24"/>
        </w:rPr>
        <w:t xml:space="preserve">项目编号： </w:t>
      </w:r>
    </w:p>
    <w:p>
      <w:pPr>
        <w:adjustRightInd/>
        <w:snapToGrid w:val="0"/>
        <w:spacing w:line="360" w:lineRule="exact"/>
        <w:ind w:firstLine="900" w:firstLineChars="375"/>
        <w:rPr>
          <w:rFonts w:ascii="仿宋_GB2312" w:hAnsi="宋体" w:eastAsia="仿宋_GB2312"/>
          <w:bCs/>
          <w:color w:val="auto"/>
          <w:sz w:val="24"/>
        </w:rPr>
      </w:pPr>
      <w:r>
        <w:rPr>
          <w:rFonts w:hint="eastAsia" w:ascii="仿宋_GB2312" w:hAnsi="宋体" w:eastAsia="仿宋_GB2312"/>
          <w:bCs/>
          <w:color w:val="auto"/>
          <w:sz w:val="24"/>
        </w:rPr>
        <w:t>投标人名称：</w:t>
      </w:r>
    </w:p>
    <w:p>
      <w:pPr>
        <w:adjustRightInd/>
        <w:snapToGrid w:val="0"/>
        <w:spacing w:line="360" w:lineRule="exact"/>
        <w:ind w:firstLine="900" w:firstLineChars="375"/>
        <w:rPr>
          <w:rFonts w:ascii="仿宋_GB2312" w:hAnsi="宋体" w:eastAsia="仿宋_GB2312"/>
          <w:bCs/>
          <w:color w:val="auto"/>
          <w:sz w:val="24"/>
        </w:rPr>
      </w:pPr>
      <w:r>
        <w:rPr>
          <w:rFonts w:hint="eastAsia" w:ascii="仿宋_GB2312" w:hAnsi="宋体" w:eastAsia="仿宋_GB2312"/>
          <w:bCs/>
          <w:color w:val="auto"/>
          <w:sz w:val="24"/>
        </w:rPr>
        <w:t>投标人地址：</w:t>
      </w:r>
    </w:p>
    <w:p>
      <w:pPr>
        <w:adjustRightInd/>
        <w:snapToGrid w:val="0"/>
        <w:spacing w:line="360" w:lineRule="exact"/>
        <w:ind w:firstLine="900" w:firstLineChars="375"/>
        <w:rPr>
          <w:rFonts w:ascii="仿宋_GB2312" w:hAnsi="宋体" w:eastAsia="仿宋_GB2312"/>
          <w:bCs/>
          <w:color w:val="auto"/>
          <w:sz w:val="24"/>
        </w:rPr>
      </w:pPr>
      <w:r>
        <w:rPr>
          <w:rFonts w:hint="eastAsia" w:ascii="仿宋_GB2312" w:hAnsi="宋体" w:eastAsia="仿宋_GB2312"/>
          <w:bCs/>
          <w:color w:val="auto"/>
          <w:sz w:val="24"/>
        </w:rPr>
        <w:t>在  年  月  日  时  分之前不得启封</w:t>
      </w:r>
    </w:p>
    <w:p>
      <w:pPr>
        <w:adjustRightInd/>
        <w:snapToGrid w:val="0"/>
        <w:spacing w:line="360" w:lineRule="exact"/>
        <w:ind w:firstLine="645"/>
        <w:jc w:val="center"/>
        <w:rPr>
          <w:rFonts w:ascii="仿宋_GB2312" w:hAnsi="宋体" w:eastAsia="仿宋_GB2312"/>
          <w:color w:val="auto"/>
          <w:sz w:val="24"/>
          <w:szCs w:val="20"/>
        </w:rPr>
      </w:pPr>
      <w:r>
        <w:rPr>
          <w:rFonts w:hint="eastAsia" w:ascii="仿宋_GB2312" w:hAnsi="宋体" w:eastAsia="仿宋_GB2312"/>
          <w:color w:val="auto"/>
          <w:sz w:val="24"/>
        </w:rPr>
        <w:t xml:space="preserve">                        年  月  日</w:t>
      </w:r>
    </w:p>
    <w:p>
      <w:pPr>
        <w:adjustRightInd/>
        <w:snapToGrid w:val="0"/>
        <w:spacing w:line="360" w:lineRule="exact"/>
        <w:rPr>
          <w:rFonts w:ascii="仿宋_GB2312" w:hAnsi="宋体" w:eastAsia="仿宋_GB2312"/>
          <w:color w:val="auto"/>
          <w:sz w:val="24"/>
        </w:rPr>
      </w:pPr>
    </w:p>
    <w:p>
      <w:pPr>
        <w:adjustRightInd/>
        <w:snapToGrid w:val="0"/>
        <w:spacing w:line="360" w:lineRule="exact"/>
        <w:rPr>
          <w:rFonts w:ascii="仿宋_GB2312" w:hAnsi="宋体" w:eastAsia="仿宋_GB2312"/>
          <w:color w:val="auto"/>
          <w:sz w:val="24"/>
          <w:szCs w:val="20"/>
        </w:rPr>
      </w:pPr>
      <w:r>
        <w:rPr>
          <w:rFonts w:hint="eastAsia" w:ascii="仿宋_GB2312" w:hAnsi="宋体" w:eastAsia="仿宋_GB2312"/>
          <w:color w:val="auto"/>
          <w:sz w:val="24"/>
        </w:rPr>
        <w:t xml:space="preserve">技术、资信、业绩及能力文件封面格式： </w:t>
      </w:r>
    </w:p>
    <w:p>
      <w:pPr>
        <w:adjustRightInd/>
        <w:snapToGrid w:val="0"/>
        <w:spacing w:line="360" w:lineRule="exact"/>
        <w:rPr>
          <w:rFonts w:ascii="仿宋_GB2312" w:hAnsi="宋体" w:eastAsia="仿宋_GB2312"/>
          <w:b/>
          <w:bCs/>
          <w:color w:val="auto"/>
          <w:sz w:val="32"/>
          <w:szCs w:val="20"/>
        </w:rPr>
      </w:pPr>
      <w:r>
        <w:rPr>
          <w:rFonts w:hint="eastAsia" w:ascii="仿宋_GB2312" w:hAnsi="宋体" w:eastAsia="仿宋_GB2312"/>
          <w:color w:val="auto"/>
          <w:sz w:val="24"/>
        </w:rPr>
        <w:t xml:space="preserve">                                                    </w:t>
      </w:r>
      <w:r>
        <w:rPr>
          <w:rFonts w:hint="eastAsia" w:ascii="仿宋_GB2312" w:hAnsi="宋体" w:eastAsia="仿宋_GB2312"/>
          <w:b/>
          <w:bCs/>
          <w:color w:val="auto"/>
        </w:rPr>
        <w:t>正本/或副本</w:t>
      </w:r>
    </w:p>
    <w:p>
      <w:pPr>
        <w:adjustRightInd/>
        <w:snapToGrid w:val="0"/>
        <w:spacing w:line="360" w:lineRule="exact"/>
        <w:jc w:val="center"/>
        <w:rPr>
          <w:rFonts w:ascii="仿宋_GB2312" w:hAnsi="宋体" w:eastAsia="仿宋_GB2312"/>
          <w:bCs/>
          <w:color w:val="auto"/>
          <w:sz w:val="24"/>
          <w:szCs w:val="20"/>
        </w:rPr>
      </w:pPr>
    </w:p>
    <w:p>
      <w:pPr>
        <w:adjustRightInd/>
        <w:snapToGrid w:val="0"/>
        <w:spacing w:line="360" w:lineRule="exact"/>
        <w:jc w:val="center"/>
        <w:rPr>
          <w:rFonts w:ascii="仿宋_GB2312" w:hAnsi="宋体" w:eastAsia="仿宋_GB2312"/>
          <w:bCs/>
          <w:color w:val="auto"/>
          <w:sz w:val="24"/>
          <w:szCs w:val="20"/>
        </w:rPr>
      </w:pPr>
      <w:r>
        <w:rPr>
          <w:rFonts w:hint="eastAsia" w:ascii="仿宋_GB2312" w:hAnsi="宋体" w:eastAsia="仿宋_GB2312"/>
          <w:color w:val="auto"/>
          <w:sz w:val="24"/>
        </w:rPr>
        <w:t>技术、资信、业绩及能力</w:t>
      </w:r>
      <w:r>
        <w:rPr>
          <w:rFonts w:hint="eastAsia" w:ascii="仿宋_GB2312" w:hAnsi="宋体" w:eastAsia="仿宋_GB2312"/>
          <w:bCs/>
          <w:color w:val="auto"/>
          <w:sz w:val="24"/>
        </w:rPr>
        <w:t xml:space="preserve"> 文 件</w:t>
      </w:r>
    </w:p>
    <w:p>
      <w:pPr>
        <w:adjustRightInd/>
        <w:snapToGrid w:val="0"/>
        <w:spacing w:line="360" w:lineRule="exact"/>
        <w:rPr>
          <w:rFonts w:ascii="仿宋_GB2312" w:hAnsi="宋体" w:eastAsia="仿宋_GB2312"/>
          <w:bCs/>
          <w:color w:val="auto"/>
          <w:sz w:val="24"/>
          <w:szCs w:val="20"/>
        </w:rPr>
      </w:pPr>
    </w:p>
    <w:p>
      <w:pPr>
        <w:adjustRightInd/>
        <w:snapToGrid w:val="0"/>
        <w:spacing w:line="360" w:lineRule="exact"/>
        <w:ind w:firstLine="720" w:firstLineChars="300"/>
        <w:rPr>
          <w:rFonts w:ascii="仿宋_GB2312" w:hAnsi="宋体" w:eastAsia="仿宋_GB2312"/>
          <w:bCs/>
          <w:color w:val="auto"/>
          <w:sz w:val="24"/>
          <w:szCs w:val="20"/>
        </w:rPr>
      </w:pPr>
      <w:r>
        <w:rPr>
          <w:rFonts w:hint="eastAsia" w:ascii="仿宋_GB2312" w:hAnsi="宋体" w:eastAsia="仿宋_GB2312"/>
          <w:bCs/>
          <w:color w:val="auto"/>
          <w:sz w:val="24"/>
        </w:rPr>
        <w:t>项目名称：</w:t>
      </w:r>
    </w:p>
    <w:p>
      <w:pPr>
        <w:adjustRightInd/>
        <w:snapToGrid w:val="0"/>
        <w:spacing w:line="360" w:lineRule="exact"/>
        <w:ind w:firstLine="720" w:firstLineChars="300"/>
        <w:rPr>
          <w:rFonts w:ascii="仿宋_GB2312" w:hAnsi="宋体" w:eastAsia="仿宋_GB2312"/>
          <w:bCs/>
          <w:color w:val="auto"/>
          <w:sz w:val="24"/>
        </w:rPr>
      </w:pPr>
      <w:r>
        <w:rPr>
          <w:rFonts w:hint="eastAsia" w:ascii="仿宋_GB2312" w:hAnsi="宋体" w:eastAsia="仿宋_GB2312"/>
          <w:bCs/>
          <w:color w:val="auto"/>
          <w:sz w:val="24"/>
        </w:rPr>
        <w:t xml:space="preserve">项目编号： </w:t>
      </w:r>
    </w:p>
    <w:p>
      <w:pPr>
        <w:adjustRightInd/>
        <w:snapToGrid w:val="0"/>
        <w:spacing w:line="360" w:lineRule="exact"/>
        <w:ind w:firstLine="720" w:firstLineChars="300"/>
        <w:rPr>
          <w:rFonts w:ascii="仿宋_GB2312" w:hAnsi="宋体" w:eastAsia="仿宋_GB2312"/>
          <w:bCs/>
          <w:color w:val="auto"/>
          <w:sz w:val="24"/>
        </w:rPr>
      </w:pPr>
      <w:r>
        <w:rPr>
          <w:rFonts w:hint="eastAsia" w:ascii="仿宋_GB2312" w:hAnsi="宋体" w:eastAsia="仿宋_GB2312"/>
          <w:bCs/>
          <w:color w:val="auto"/>
          <w:sz w:val="24"/>
        </w:rPr>
        <w:t>投标人名称：</w:t>
      </w:r>
    </w:p>
    <w:p>
      <w:pPr>
        <w:adjustRightInd/>
        <w:snapToGrid w:val="0"/>
        <w:spacing w:line="360" w:lineRule="exact"/>
        <w:ind w:firstLine="720" w:firstLineChars="300"/>
        <w:rPr>
          <w:rFonts w:ascii="仿宋_GB2312" w:hAnsi="宋体" w:eastAsia="仿宋_GB2312"/>
          <w:bCs/>
          <w:color w:val="auto"/>
          <w:sz w:val="24"/>
        </w:rPr>
      </w:pPr>
      <w:r>
        <w:rPr>
          <w:rFonts w:hint="eastAsia" w:ascii="仿宋_GB2312" w:hAnsi="宋体" w:eastAsia="仿宋_GB2312"/>
          <w:bCs/>
          <w:color w:val="auto"/>
          <w:sz w:val="24"/>
        </w:rPr>
        <w:t>投标人地址：</w:t>
      </w:r>
    </w:p>
    <w:p>
      <w:pPr>
        <w:adjustRightInd/>
        <w:snapToGrid w:val="0"/>
        <w:spacing w:line="360" w:lineRule="exact"/>
        <w:rPr>
          <w:rFonts w:ascii="仿宋_GB2312" w:hAnsi="宋体" w:eastAsia="仿宋_GB2312"/>
          <w:color w:val="auto"/>
          <w:sz w:val="24"/>
          <w:szCs w:val="20"/>
        </w:rPr>
      </w:pPr>
    </w:p>
    <w:p>
      <w:pPr>
        <w:adjustRightInd/>
        <w:spacing w:line="400" w:lineRule="exact"/>
        <w:ind w:firstLine="472" w:firstLineChars="196"/>
        <w:rPr>
          <w:rFonts w:ascii="仿宋_GB2312" w:hAnsi="宋体" w:eastAsia="仿宋_GB2312"/>
          <w:b/>
          <w:color w:val="auto"/>
          <w:sz w:val="24"/>
        </w:rPr>
      </w:pPr>
      <w:r>
        <w:rPr>
          <w:rFonts w:hint="eastAsia" w:ascii="仿宋_GB2312" w:hAnsi="宋体" w:eastAsia="仿宋_GB2312"/>
          <w:b/>
          <w:color w:val="auto"/>
          <w:sz w:val="24"/>
        </w:rPr>
        <w:t>该部分内容按“第三章 投标人须知”中“三、投标文件的编制”“技术标、资信、业绩及能力”的要求及顺序编制。说明如下：</w:t>
      </w:r>
    </w:p>
    <w:p>
      <w:pPr>
        <w:adjustRightInd/>
        <w:spacing w:line="400" w:lineRule="exact"/>
        <w:ind w:firstLine="470" w:firstLineChars="196"/>
        <w:rPr>
          <w:rFonts w:ascii="仿宋_GB2312" w:hAnsi="宋体" w:eastAsia="仿宋_GB2312"/>
          <w:color w:val="auto"/>
          <w:sz w:val="24"/>
        </w:rPr>
      </w:pPr>
      <w:r>
        <w:rPr>
          <w:rFonts w:hint="eastAsia" w:ascii="仿宋_GB2312" w:hAnsi="宋体" w:eastAsia="仿宋_GB2312"/>
          <w:color w:val="auto"/>
          <w:sz w:val="24"/>
        </w:rPr>
        <w:t>1.有相关格式提供的按提供的格式编制；</w:t>
      </w:r>
    </w:p>
    <w:p>
      <w:pPr>
        <w:adjustRightInd/>
        <w:snapToGrid w:val="0"/>
        <w:spacing w:before="120" w:beforeLines="50" w:after="50"/>
        <w:ind w:firstLine="470" w:firstLineChars="196"/>
        <w:rPr>
          <w:rFonts w:ascii="仿宋_GB2312" w:hAnsi="宋体" w:eastAsia="仿宋_GB2312"/>
          <w:color w:val="auto"/>
          <w:sz w:val="24"/>
          <w:szCs w:val="20"/>
        </w:rPr>
      </w:pPr>
      <w:r>
        <w:rPr>
          <w:rFonts w:hint="eastAsia" w:ascii="仿宋_GB2312" w:hAnsi="宋体" w:eastAsia="仿宋_GB2312"/>
          <w:color w:val="auto"/>
          <w:sz w:val="24"/>
        </w:rPr>
        <w:t>2．（1）投标人最近一个季度依法纳税的完税凭证（复印件，格式略），</w:t>
      </w:r>
      <w:r>
        <w:rPr>
          <w:rFonts w:hint="eastAsia" w:ascii="仿宋_GB2312" w:hAnsi="宋体" w:eastAsia="仿宋_GB2312"/>
          <w:color w:val="auto"/>
          <w:sz w:val="24"/>
          <w:szCs w:val="20"/>
        </w:rPr>
        <w:t>无纳税记录的，应提供由投标人所在地主管国税、地税部门出具的《依法纳税或依法免税证明》（格式自拟，复印件，原件备查），《依法纳税或依法免税证明》原件一年内均保持有效。</w:t>
      </w:r>
    </w:p>
    <w:p>
      <w:pPr>
        <w:adjustRightInd/>
        <w:snapToGrid w:val="0"/>
        <w:spacing w:line="300" w:lineRule="exact"/>
        <w:ind w:firstLine="240" w:firstLineChars="100"/>
        <w:rPr>
          <w:rFonts w:ascii="仿宋_GB2312" w:hAnsi="宋体" w:eastAsia="仿宋_GB2312"/>
          <w:color w:val="auto"/>
          <w:sz w:val="24"/>
          <w:szCs w:val="20"/>
        </w:rPr>
      </w:pPr>
      <w:r>
        <w:rPr>
          <w:rFonts w:hint="eastAsia" w:ascii="仿宋_GB2312" w:hAnsi="宋体" w:eastAsia="仿宋_GB2312"/>
          <w:color w:val="auto"/>
          <w:sz w:val="24"/>
        </w:rPr>
        <w:t>（2）投标人最近一个季度依法缴纳社保费的凭证（复印件，格式略），</w:t>
      </w:r>
      <w:r>
        <w:rPr>
          <w:rFonts w:hint="eastAsia" w:ascii="仿宋_GB2312" w:hAnsi="宋体" w:eastAsia="仿宋_GB2312"/>
          <w:color w:val="auto"/>
          <w:sz w:val="24"/>
          <w:szCs w:val="20"/>
        </w:rPr>
        <w:t>无缴费记录的，应提供由投标人所在地社保部门出具的《依法缴纳或依法免缴社保费证明》（格式自拟，复印件，原件备查），《依法缴纳或依法免缴社保费证明》原件一年内均保持有效。</w:t>
      </w:r>
    </w:p>
    <w:p>
      <w:pPr>
        <w:adjustRightInd/>
        <w:snapToGrid w:val="0"/>
        <w:spacing w:line="300" w:lineRule="exact"/>
        <w:ind w:firstLine="482"/>
        <w:rPr>
          <w:rFonts w:ascii="仿宋_GB2312" w:hAnsi="宋体" w:eastAsia="仿宋_GB2312"/>
          <w:color w:val="auto"/>
          <w:sz w:val="24"/>
          <w:u w:val="single"/>
        </w:rPr>
      </w:pPr>
    </w:p>
    <w:p>
      <w:pPr>
        <w:adjustRightInd/>
        <w:snapToGrid w:val="0"/>
        <w:spacing w:line="300" w:lineRule="exact"/>
        <w:ind w:firstLine="480" w:firstLineChars="200"/>
        <w:jc w:val="left"/>
        <w:rPr>
          <w:rFonts w:ascii="仿宋_GB2312" w:hAnsi="宋体" w:eastAsia="仿宋_GB2312"/>
          <w:color w:val="auto"/>
          <w:sz w:val="24"/>
          <w:szCs w:val="20"/>
        </w:rPr>
      </w:pPr>
      <w:r>
        <w:rPr>
          <w:rFonts w:hint="eastAsia" w:ascii="仿宋_GB2312" w:hAnsi="宋体" w:eastAsia="仿宋_GB2312"/>
          <w:color w:val="auto"/>
          <w:sz w:val="24"/>
        </w:rPr>
        <w:t>3．企业法人营业执照副本复印件（副本，带有经年检合格的标志），税务登记证复印件（副本，带有经年检合格的标志）；</w:t>
      </w:r>
      <w:r>
        <w:rPr>
          <w:rFonts w:hint="eastAsia" w:ascii="仿宋_GB2312" w:hAnsi="宋体" w:eastAsia="仿宋_GB2312"/>
          <w:color w:val="auto"/>
          <w:sz w:val="24"/>
          <w:szCs w:val="20"/>
        </w:rPr>
        <w:t xml:space="preserve"> </w:t>
      </w:r>
    </w:p>
    <w:p>
      <w:pPr>
        <w:adjustRightInd/>
        <w:snapToGrid w:val="0"/>
        <w:spacing w:line="300" w:lineRule="exact"/>
        <w:jc w:val="left"/>
        <w:rPr>
          <w:rFonts w:ascii="仿宋_GB2312" w:hAnsi="宋体" w:eastAsia="仿宋_GB2312"/>
          <w:color w:val="auto"/>
          <w:sz w:val="24"/>
        </w:rPr>
      </w:pPr>
    </w:p>
    <w:p>
      <w:pPr>
        <w:adjustRightInd/>
        <w:spacing w:line="300" w:lineRule="exact"/>
        <w:ind w:firstLine="480" w:firstLineChars="200"/>
        <w:rPr>
          <w:rFonts w:ascii="仿宋_GB2312" w:hAnsi="宋体" w:eastAsia="仿宋_GB2312"/>
          <w:color w:val="auto"/>
          <w:sz w:val="24"/>
        </w:rPr>
      </w:pPr>
      <w:r>
        <w:rPr>
          <w:rFonts w:hint="eastAsia" w:ascii="仿宋_GB2312" w:hAnsi="宋体" w:eastAsia="仿宋_GB2312"/>
          <w:color w:val="auto"/>
          <w:sz w:val="24"/>
          <w:szCs w:val="20"/>
        </w:rPr>
        <w:t>4.</w:t>
      </w:r>
      <w:r>
        <w:rPr>
          <w:rFonts w:hint="eastAsia" w:ascii="仿宋_GB2312" w:hAnsi="宋体" w:eastAsia="仿宋_GB2312"/>
          <w:color w:val="auto"/>
          <w:sz w:val="24"/>
        </w:rPr>
        <w:t xml:space="preserve"> 资信业绩材料清单：中介机构资质证书、类似服务业绩证明材料、企业荣誉证书及其他与评标得分有关的证书等复印件（复印件盖公章，开标时须携带原件备查)；</w:t>
      </w:r>
    </w:p>
    <w:p>
      <w:pPr>
        <w:adjustRightInd/>
        <w:snapToGrid w:val="0"/>
        <w:spacing w:line="300" w:lineRule="exact"/>
        <w:jc w:val="left"/>
        <w:rPr>
          <w:rFonts w:ascii="仿宋_GB2312" w:hAnsi="宋体" w:eastAsia="仿宋_GB2312"/>
          <w:color w:val="auto"/>
          <w:sz w:val="24"/>
          <w:szCs w:val="20"/>
        </w:rPr>
      </w:pPr>
    </w:p>
    <w:p>
      <w:pPr>
        <w:adjustRightInd/>
        <w:spacing w:line="30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5．近三年来业绩表 (主要有业主名称、联系电话、地址、项目名称及规模)；</w:t>
      </w:r>
    </w:p>
    <w:p>
      <w:pPr>
        <w:adjustRightInd/>
        <w:spacing w:line="400" w:lineRule="exact"/>
        <w:ind w:firstLine="472" w:firstLineChars="196"/>
        <w:rPr>
          <w:rFonts w:ascii="仿宋_GB2312" w:hAnsi="宋体" w:eastAsia="仿宋_GB2312"/>
          <w:b/>
          <w:color w:val="auto"/>
          <w:sz w:val="24"/>
        </w:rPr>
      </w:pPr>
    </w:p>
    <w:p>
      <w:pPr>
        <w:adjustRightInd/>
        <w:spacing w:line="400" w:lineRule="exact"/>
        <w:jc w:val="center"/>
        <w:rPr>
          <w:rFonts w:ascii="仿宋_GB2312" w:hAnsi="宋体" w:eastAsia="仿宋_GB2312"/>
          <w:b/>
          <w:color w:val="auto"/>
          <w:sz w:val="24"/>
        </w:rPr>
      </w:pPr>
    </w:p>
    <w:p>
      <w:pPr>
        <w:rPr>
          <w:rFonts w:ascii="仿宋_GB2312" w:hAnsi="宋体" w:eastAsia="仿宋_GB2312"/>
          <w:b/>
          <w:color w:val="auto"/>
          <w:sz w:val="24"/>
        </w:rPr>
      </w:pPr>
      <w:r>
        <w:rPr>
          <w:rFonts w:hint="eastAsia" w:ascii="仿宋_GB2312" w:hAnsi="宋体" w:eastAsia="仿宋_GB2312"/>
          <w:b/>
          <w:color w:val="auto"/>
          <w:sz w:val="24"/>
        </w:rPr>
        <w:br w:type="page"/>
      </w:r>
    </w:p>
    <w:p>
      <w:pPr>
        <w:adjustRightInd/>
        <w:spacing w:line="400" w:lineRule="exact"/>
        <w:jc w:val="center"/>
        <w:rPr>
          <w:rFonts w:ascii="仿宋_GB2312" w:hAnsi="宋体" w:eastAsia="仿宋_GB2312"/>
          <w:b/>
          <w:color w:val="auto"/>
          <w:sz w:val="32"/>
          <w:szCs w:val="32"/>
        </w:rPr>
      </w:pPr>
      <w:r>
        <w:rPr>
          <w:rFonts w:hint="eastAsia" w:ascii="仿宋_GB2312" w:hAnsi="宋体" w:eastAsia="仿宋_GB2312"/>
          <w:b/>
          <w:color w:val="auto"/>
          <w:sz w:val="24"/>
        </w:rPr>
        <w:t>企业近三年已完成类似服务项目合同一览表</w:t>
      </w:r>
    </w:p>
    <w:p>
      <w:pPr>
        <w:adjustRightInd/>
        <w:spacing w:line="400" w:lineRule="exact"/>
        <w:rPr>
          <w:rFonts w:ascii="仿宋_GB2312" w:hAnsi="宋体" w:eastAsia="仿宋_GB2312"/>
          <w:b/>
          <w:color w:val="auto"/>
          <w:sz w:val="28"/>
        </w:rPr>
      </w:pPr>
    </w:p>
    <w:tbl>
      <w:tblPr>
        <w:tblStyle w:val="14"/>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980"/>
        <w:gridCol w:w="2700"/>
        <w:gridCol w:w="1849"/>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项目名称</w:t>
            </w:r>
          </w:p>
        </w:tc>
        <w:tc>
          <w:tcPr>
            <w:tcW w:w="6560" w:type="dxa"/>
            <w:gridSpan w:val="3"/>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项目地点</w:t>
            </w:r>
          </w:p>
        </w:tc>
        <w:tc>
          <w:tcPr>
            <w:tcW w:w="6560" w:type="dxa"/>
            <w:gridSpan w:val="3"/>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项目规模</w:t>
            </w:r>
          </w:p>
        </w:tc>
        <w:tc>
          <w:tcPr>
            <w:tcW w:w="6560" w:type="dxa"/>
            <w:gridSpan w:val="3"/>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项目类别</w:t>
            </w:r>
          </w:p>
        </w:tc>
        <w:tc>
          <w:tcPr>
            <w:tcW w:w="2700" w:type="dxa"/>
          </w:tcPr>
          <w:p>
            <w:pPr>
              <w:adjustRightInd/>
              <w:spacing w:line="400" w:lineRule="exact"/>
              <w:jc w:val="center"/>
              <w:rPr>
                <w:rFonts w:ascii="仿宋_GB2312" w:hAnsi="宋体" w:eastAsia="仿宋_GB2312"/>
                <w:color w:val="auto"/>
                <w:sz w:val="24"/>
              </w:rPr>
            </w:pPr>
          </w:p>
        </w:tc>
        <w:tc>
          <w:tcPr>
            <w:tcW w:w="1849" w:type="dxa"/>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项目金额</w:t>
            </w:r>
          </w:p>
        </w:tc>
        <w:tc>
          <w:tcPr>
            <w:tcW w:w="2011" w:type="dxa"/>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服务起止时间</w:t>
            </w:r>
          </w:p>
        </w:tc>
        <w:tc>
          <w:tcPr>
            <w:tcW w:w="2700" w:type="dxa"/>
          </w:tcPr>
          <w:p>
            <w:pPr>
              <w:adjustRightInd/>
              <w:spacing w:line="400" w:lineRule="exact"/>
              <w:jc w:val="center"/>
              <w:rPr>
                <w:rFonts w:ascii="仿宋_GB2312" w:hAnsi="宋体" w:eastAsia="仿宋_GB2312"/>
                <w:color w:val="auto"/>
                <w:sz w:val="24"/>
              </w:rPr>
            </w:pPr>
          </w:p>
        </w:tc>
        <w:tc>
          <w:tcPr>
            <w:tcW w:w="1849" w:type="dxa"/>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服务费</w:t>
            </w:r>
          </w:p>
        </w:tc>
        <w:tc>
          <w:tcPr>
            <w:tcW w:w="2011" w:type="dxa"/>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vAlign w:val="center"/>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项目</w:t>
            </w:r>
            <w:r>
              <w:rPr>
                <w:rFonts w:hint="eastAsia" w:ascii="仿宋_GB2312" w:hAnsi="宋体" w:eastAsia="仿宋_GB2312" w:cs="宋体"/>
                <w:color w:val="auto"/>
                <w:sz w:val="24"/>
              </w:rPr>
              <w:t>服务</w:t>
            </w:r>
            <w:r>
              <w:rPr>
                <w:rFonts w:hint="eastAsia" w:ascii="仿宋_GB2312" w:hAnsi="宋体" w:eastAsia="仿宋_GB2312"/>
                <w:color w:val="auto"/>
                <w:sz w:val="24"/>
              </w:rPr>
              <w:t>负责人</w:t>
            </w:r>
          </w:p>
        </w:tc>
        <w:tc>
          <w:tcPr>
            <w:tcW w:w="2700" w:type="dxa"/>
          </w:tcPr>
          <w:p>
            <w:pPr>
              <w:adjustRightInd/>
              <w:spacing w:line="400" w:lineRule="exact"/>
              <w:jc w:val="center"/>
              <w:rPr>
                <w:rFonts w:ascii="仿宋_GB2312" w:hAnsi="宋体" w:eastAsia="仿宋_GB2312"/>
                <w:color w:val="auto"/>
                <w:sz w:val="24"/>
              </w:rPr>
            </w:pPr>
          </w:p>
        </w:tc>
        <w:tc>
          <w:tcPr>
            <w:tcW w:w="1849" w:type="dxa"/>
          </w:tcPr>
          <w:p>
            <w:pPr>
              <w:adjustRightInd/>
              <w:spacing w:line="400" w:lineRule="exact"/>
              <w:jc w:val="center"/>
              <w:rPr>
                <w:rFonts w:ascii="仿宋_GB2312" w:hAnsi="宋体" w:eastAsia="仿宋_GB2312"/>
                <w:color w:val="auto"/>
                <w:sz w:val="24"/>
              </w:rPr>
            </w:pPr>
            <w:r>
              <w:rPr>
                <w:rFonts w:hint="eastAsia" w:ascii="仿宋_GB2312" w:hAnsi="宋体" w:eastAsia="仿宋_GB2312" w:cs="宋体"/>
                <w:color w:val="auto"/>
                <w:sz w:val="24"/>
              </w:rPr>
              <w:t>服务</w:t>
            </w:r>
            <w:r>
              <w:rPr>
                <w:rFonts w:hint="eastAsia" w:ascii="仿宋_GB2312" w:hAnsi="宋体" w:eastAsia="仿宋_GB2312"/>
                <w:color w:val="auto"/>
                <w:sz w:val="24"/>
              </w:rPr>
              <w:t>人员总数</w:t>
            </w:r>
          </w:p>
        </w:tc>
        <w:tc>
          <w:tcPr>
            <w:tcW w:w="2011" w:type="dxa"/>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结构形式</w:t>
            </w:r>
          </w:p>
        </w:tc>
        <w:tc>
          <w:tcPr>
            <w:tcW w:w="6560" w:type="dxa"/>
            <w:gridSpan w:val="3"/>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受奖罚情况</w:t>
            </w:r>
          </w:p>
        </w:tc>
        <w:tc>
          <w:tcPr>
            <w:tcW w:w="6560" w:type="dxa"/>
            <w:gridSpan w:val="3"/>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4" w:type="dxa"/>
            <w:gridSpan w:val="5"/>
          </w:tcPr>
          <w:p>
            <w:pPr>
              <w:adjustRightInd/>
              <w:spacing w:line="400" w:lineRule="exact"/>
              <w:rPr>
                <w:rFonts w:ascii="仿宋_GB2312" w:hAnsi="宋体" w:eastAsia="仿宋_GB2312"/>
                <w:color w:val="auto"/>
                <w:sz w:val="24"/>
              </w:rPr>
            </w:pPr>
            <w:r>
              <w:rPr>
                <w:rFonts w:hint="eastAsia" w:ascii="仿宋_GB2312" w:hAnsi="宋体" w:eastAsia="仿宋_GB2312" w:cs="宋体"/>
                <w:color w:val="auto"/>
                <w:sz w:val="24"/>
              </w:rPr>
              <w:t>服务</w:t>
            </w:r>
            <w:r>
              <w:rPr>
                <w:rFonts w:hint="eastAsia" w:ascii="仿宋_GB2312" w:hAnsi="宋体" w:eastAsia="仿宋_GB2312"/>
                <w:color w:val="auto"/>
                <w:sz w:val="24"/>
              </w:rPr>
              <w:t>主要内容：</w:t>
            </w:r>
          </w:p>
          <w:p>
            <w:pPr>
              <w:adjustRightInd/>
              <w:spacing w:line="400" w:lineRule="exact"/>
              <w:rPr>
                <w:rFonts w:ascii="仿宋_GB2312" w:hAnsi="宋体" w:eastAsia="仿宋_GB2312"/>
                <w:color w:val="auto"/>
                <w:sz w:val="24"/>
              </w:rPr>
            </w:pPr>
          </w:p>
          <w:p>
            <w:pPr>
              <w:adjustRightInd/>
              <w:spacing w:line="400" w:lineRule="exact"/>
              <w:rPr>
                <w:rFonts w:ascii="仿宋_GB2312" w:hAnsi="宋体" w:eastAsia="仿宋_GB2312"/>
                <w:color w:val="auto"/>
                <w:sz w:val="24"/>
              </w:rPr>
            </w:pPr>
          </w:p>
          <w:p>
            <w:pPr>
              <w:adjustRightInd/>
              <w:spacing w:line="400" w:lineRule="exact"/>
              <w:rPr>
                <w:rFonts w:ascii="仿宋_GB2312" w:hAnsi="宋体" w:eastAsia="仿宋_GB2312"/>
                <w:color w:val="auto"/>
                <w:sz w:val="24"/>
              </w:rPr>
            </w:pPr>
          </w:p>
          <w:p>
            <w:pPr>
              <w:adjustRightInd/>
              <w:spacing w:line="400" w:lineRule="exact"/>
              <w:rPr>
                <w:rFonts w:ascii="仿宋_GB2312" w:hAnsi="宋体" w:eastAsia="仿宋_GB2312"/>
                <w:color w:val="auto"/>
                <w:sz w:val="24"/>
              </w:rPr>
            </w:pPr>
          </w:p>
          <w:p>
            <w:pPr>
              <w:adjustRightInd/>
              <w:spacing w:line="400" w:lineRule="exact"/>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委托单位</w:t>
            </w:r>
          </w:p>
        </w:tc>
        <w:tc>
          <w:tcPr>
            <w:tcW w:w="6560" w:type="dxa"/>
            <w:gridSpan w:val="3"/>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送审单位</w:t>
            </w:r>
          </w:p>
        </w:tc>
        <w:tc>
          <w:tcPr>
            <w:tcW w:w="6560" w:type="dxa"/>
            <w:gridSpan w:val="3"/>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restart"/>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业</w:t>
            </w:r>
          </w:p>
          <w:p>
            <w:pPr>
              <w:adjustRightInd/>
              <w:spacing w:line="400" w:lineRule="exact"/>
              <w:jc w:val="center"/>
              <w:rPr>
                <w:rFonts w:ascii="仿宋_GB2312" w:hAnsi="宋体" w:eastAsia="仿宋_GB2312"/>
                <w:color w:val="auto"/>
                <w:sz w:val="24"/>
              </w:rPr>
            </w:pPr>
          </w:p>
          <w:p>
            <w:pPr>
              <w:adjustRightInd/>
              <w:spacing w:line="400" w:lineRule="exact"/>
              <w:jc w:val="center"/>
              <w:rPr>
                <w:rFonts w:ascii="仿宋_GB2312" w:hAnsi="宋体" w:eastAsia="仿宋_GB2312"/>
                <w:color w:val="auto"/>
                <w:sz w:val="24"/>
              </w:rPr>
            </w:pPr>
          </w:p>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主</w:t>
            </w:r>
          </w:p>
        </w:tc>
        <w:tc>
          <w:tcPr>
            <w:tcW w:w="1980" w:type="dxa"/>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单位名称</w:t>
            </w:r>
          </w:p>
        </w:tc>
        <w:tc>
          <w:tcPr>
            <w:tcW w:w="6560" w:type="dxa"/>
            <w:gridSpan w:val="3"/>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tcPr>
          <w:p>
            <w:pPr>
              <w:adjustRightInd/>
              <w:spacing w:line="400" w:lineRule="exact"/>
              <w:jc w:val="center"/>
              <w:rPr>
                <w:rFonts w:ascii="仿宋_GB2312" w:hAnsi="宋体" w:eastAsia="仿宋_GB2312"/>
                <w:color w:val="auto"/>
                <w:sz w:val="24"/>
              </w:rPr>
            </w:pPr>
          </w:p>
        </w:tc>
        <w:tc>
          <w:tcPr>
            <w:tcW w:w="1980" w:type="dxa"/>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单位地址</w:t>
            </w:r>
          </w:p>
        </w:tc>
        <w:tc>
          <w:tcPr>
            <w:tcW w:w="6560" w:type="dxa"/>
            <w:gridSpan w:val="3"/>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tcPr>
          <w:p>
            <w:pPr>
              <w:adjustRightInd/>
              <w:spacing w:line="400" w:lineRule="exact"/>
              <w:jc w:val="center"/>
              <w:rPr>
                <w:rFonts w:ascii="仿宋_GB2312" w:hAnsi="宋体" w:eastAsia="仿宋_GB2312"/>
                <w:color w:val="auto"/>
                <w:sz w:val="24"/>
              </w:rPr>
            </w:pPr>
          </w:p>
        </w:tc>
        <w:tc>
          <w:tcPr>
            <w:tcW w:w="1980" w:type="dxa"/>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联 系 人</w:t>
            </w:r>
          </w:p>
        </w:tc>
        <w:tc>
          <w:tcPr>
            <w:tcW w:w="6560" w:type="dxa"/>
            <w:gridSpan w:val="3"/>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tcPr>
          <w:p>
            <w:pPr>
              <w:adjustRightInd/>
              <w:spacing w:line="400" w:lineRule="exact"/>
              <w:jc w:val="center"/>
              <w:rPr>
                <w:rFonts w:ascii="仿宋_GB2312" w:hAnsi="宋体" w:eastAsia="仿宋_GB2312"/>
                <w:color w:val="auto"/>
                <w:sz w:val="24"/>
              </w:rPr>
            </w:pPr>
          </w:p>
        </w:tc>
        <w:tc>
          <w:tcPr>
            <w:tcW w:w="1980" w:type="dxa"/>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联系电话</w:t>
            </w:r>
          </w:p>
        </w:tc>
        <w:tc>
          <w:tcPr>
            <w:tcW w:w="6560" w:type="dxa"/>
            <w:gridSpan w:val="3"/>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594" w:type="dxa"/>
            <w:vMerge w:val="continue"/>
          </w:tcPr>
          <w:p>
            <w:pPr>
              <w:adjustRightInd/>
              <w:spacing w:line="400" w:lineRule="exact"/>
              <w:jc w:val="center"/>
              <w:rPr>
                <w:rFonts w:ascii="仿宋_GB2312" w:hAnsi="宋体" w:eastAsia="仿宋_GB2312"/>
                <w:color w:val="auto"/>
                <w:sz w:val="24"/>
              </w:rPr>
            </w:pPr>
          </w:p>
        </w:tc>
        <w:tc>
          <w:tcPr>
            <w:tcW w:w="1980" w:type="dxa"/>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传真号码</w:t>
            </w:r>
          </w:p>
        </w:tc>
        <w:tc>
          <w:tcPr>
            <w:tcW w:w="6560" w:type="dxa"/>
            <w:gridSpan w:val="3"/>
          </w:tcPr>
          <w:p>
            <w:pPr>
              <w:adjustRightInd/>
              <w:spacing w:line="400" w:lineRule="exact"/>
              <w:jc w:val="center"/>
              <w:rPr>
                <w:rFonts w:ascii="仿宋_GB2312" w:hAnsi="宋体" w:eastAsia="仿宋_GB2312"/>
                <w:color w:val="auto"/>
                <w:sz w:val="24"/>
              </w:rPr>
            </w:pPr>
          </w:p>
        </w:tc>
      </w:tr>
    </w:tbl>
    <w:p>
      <w:pPr>
        <w:adjustRightInd/>
        <w:spacing w:line="400" w:lineRule="exact"/>
        <w:rPr>
          <w:rFonts w:ascii="仿宋_GB2312" w:hAnsi="宋体" w:eastAsia="仿宋_GB2312"/>
          <w:bCs/>
          <w:color w:val="auto"/>
          <w:szCs w:val="21"/>
        </w:rPr>
      </w:pPr>
      <w:r>
        <w:rPr>
          <w:rFonts w:hint="eastAsia" w:ascii="仿宋_GB2312" w:hAnsi="宋体" w:eastAsia="仿宋_GB2312"/>
          <w:bCs/>
          <w:color w:val="auto"/>
          <w:szCs w:val="21"/>
        </w:rPr>
        <w:t>注：需提供委托咨询合同复印件（开标时携带原件备查）。</w:t>
      </w:r>
    </w:p>
    <w:p>
      <w:pPr>
        <w:adjustRightInd/>
        <w:spacing w:line="400" w:lineRule="exact"/>
        <w:jc w:val="right"/>
        <w:rPr>
          <w:rFonts w:ascii="仿宋_GB2312" w:hAnsi="宋体" w:eastAsia="仿宋_GB2312"/>
          <w:bCs/>
          <w:color w:val="auto"/>
          <w:sz w:val="24"/>
        </w:rPr>
      </w:pPr>
    </w:p>
    <w:p>
      <w:pPr>
        <w:adjustRightInd/>
        <w:spacing w:line="400" w:lineRule="exact"/>
        <w:jc w:val="right"/>
        <w:rPr>
          <w:rFonts w:ascii="仿宋_GB2312" w:hAnsi="宋体" w:eastAsia="仿宋_GB2312"/>
          <w:bCs/>
          <w:color w:val="auto"/>
          <w:sz w:val="24"/>
        </w:rPr>
      </w:pPr>
    </w:p>
    <w:p>
      <w:pPr>
        <w:adjustRightInd/>
        <w:spacing w:line="400" w:lineRule="exact"/>
        <w:jc w:val="right"/>
        <w:rPr>
          <w:rFonts w:ascii="仿宋_GB2312" w:hAnsi="宋体" w:eastAsia="仿宋_GB2312"/>
          <w:bCs/>
          <w:color w:val="auto"/>
          <w:sz w:val="24"/>
        </w:rPr>
      </w:pPr>
    </w:p>
    <w:p>
      <w:pPr>
        <w:adjustRightInd/>
        <w:spacing w:line="400" w:lineRule="exact"/>
        <w:jc w:val="right"/>
        <w:rPr>
          <w:rFonts w:ascii="仿宋_GB2312" w:hAnsi="宋体" w:eastAsia="仿宋_GB2312"/>
          <w:bCs/>
          <w:color w:val="auto"/>
          <w:sz w:val="24"/>
        </w:rPr>
      </w:pPr>
    </w:p>
    <w:p>
      <w:pPr>
        <w:adjustRightInd/>
        <w:spacing w:line="400" w:lineRule="exact"/>
        <w:jc w:val="right"/>
        <w:rPr>
          <w:rFonts w:ascii="仿宋_GB2312" w:hAnsi="宋体" w:eastAsia="仿宋_GB2312"/>
          <w:bCs/>
          <w:color w:val="auto"/>
          <w:sz w:val="24"/>
        </w:rPr>
      </w:pPr>
    </w:p>
    <w:p>
      <w:pPr>
        <w:adjustRightInd/>
        <w:snapToGrid w:val="0"/>
        <w:spacing w:before="50" w:after="120" w:afterLines="50"/>
        <w:jc w:val="left"/>
        <w:rPr>
          <w:rFonts w:ascii="仿宋_GB2312" w:hAnsi="宋体" w:eastAsia="仿宋_GB2312"/>
          <w:color w:val="auto"/>
          <w:sz w:val="24"/>
        </w:rPr>
        <w:sectPr>
          <w:headerReference r:id="rId14" w:type="default"/>
          <w:footerReference r:id="rId15" w:type="default"/>
          <w:footerReference r:id="rId16" w:type="even"/>
          <w:pgSz w:w="11906" w:h="16838"/>
          <w:pgMar w:top="1134" w:right="1133" w:bottom="1134" w:left="1134" w:header="851" w:footer="851" w:gutter="0"/>
          <w:cols w:space="720" w:num="1"/>
          <w:docGrid w:linePitch="312" w:charSpace="0"/>
        </w:sectPr>
      </w:pPr>
      <w:r>
        <w:rPr>
          <w:rFonts w:hint="eastAsia" w:ascii="仿宋_GB2312" w:hAnsi="宋体" w:eastAsia="仿宋_GB2312"/>
          <w:bCs/>
          <w:color w:val="auto"/>
          <w:sz w:val="24"/>
        </w:rPr>
        <w:t>投标单位：(盖章)                   法定代表人或委托代理人：(签字或盖章)                   日期：</w:t>
      </w:r>
    </w:p>
    <w:p>
      <w:pPr>
        <w:adjustRightInd/>
        <w:spacing w:line="400" w:lineRule="exact"/>
        <w:jc w:val="center"/>
        <w:rPr>
          <w:rFonts w:ascii="仿宋_GB2312" w:hAnsi="宋体" w:eastAsia="仿宋_GB2312"/>
          <w:b/>
          <w:color w:val="auto"/>
          <w:sz w:val="28"/>
        </w:rPr>
      </w:pPr>
      <w:r>
        <w:rPr>
          <w:rFonts w:hint="eastAsia" w:ascii="仿宋_GB2312" w:hAnsi="宋体" w:eastAsia="仿宋_GB2312"/>
          <w:b/>
          <w:color w:val="auto"/>
          <w:sz w:val="28"/>
        </w:rPr>
        <w:t>招标代理人员汇总表</w:t>
      </w:r>
    </w:p>
    <w:p>
      <w:pPr>
        <w:adjustRightInd/>
        <w:spacing w:line="400" w:lineRule="exact"/>
        <w:rPr>
          <w:rFonts w:ascii="仿宋_GB2312" w:hAnsi="宋体" w:eastAsia="仿宋_GB2312"/>
          <w:b/>
          <w:color w:val="auto"/>
          <w:sz w:val="24"/>
        </w:rPr>
      </w:pPr>
      <w:r>
        <w:rPr>
          <w:rFonts w:hint="eastAsia" w:ascii="仿宋_GB2312" w:hAnsi="宋体" w:eastAsia="仿宋_GB2312"/>
          <w:b/>
          <w:color w:val="auto"/>
          <w:sz w:val="24"/>
        </w:rPr>
        <w:t>项目名称：</w:t>
      </w:r>
    </w:p>
    <w:tbl>
      <w:tblPr>
        <w:tblStyle w:val="14"/>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208"/>
        <w:gridCol w:w="876"/>
        <w:gridCol w:w="1170"/>
        <w:gridCol w:w="876"/>
        <w:gridCol w:w="1365"/>
        <w:gridCol w:w="212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姓  名</w:t>
            </w: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拟任岗位</w:t>
            </w: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年龄</w:t>
            </w: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专业工作年限</w:t>
            </w: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职务</w:t>
            </w: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技术职称</w:t>
            </w: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获得资格证书</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类似业绩（项）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u w:val="single"/>
              </w:rPr>
            </w:pPr>
            <w:r>
              <w:rPr>
                <w:rFonts w:hint="eastAsia" w:ascii="仿宋_GB2312" w:hAnsi="宋体" w:eastAsia="仿宋_GB2312"/>
                <w:color w:val="auto"/>
                <w:sz w:val="24"/>
              </w:rPr>
              <w:t>证号：</w:t>
            </w:r>
            <w:r>
              <w:rPr>
                <w:rFonts w:hint="eastAsia" w:ascii="仿宋_GB2312" w:hAnsi="宋体" w:eastAsia="仿宋_GB2312"/>
                <w:color w:val="auto"/>
                <w:sz w:val="24"/>
                <w:u w:val="single"/>
              </w:rPr>
              <w:t xml:space="preserve">             </w:t>
            </w:r>
          </w:p>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年限：</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u w:val="single"/>
              </w:rPr>
            </w:pPr>
            <w:r>
              <w:rPr>
                <w:rFonts w:hint="eastAsia" w:ascii="仿宋_GB2312" w:hAnsi="宋体" w:eastAsia="仿宋_GB2312"/>
                <w:color w:val="auto"/>
                <w:sz w:val="24"/>
              </w:rPr>
              <w:t>证号：</w:t>
            </w:r>
            <w:r>
              <w:rPr>
                <w:rFonts w:hint="eastAsia" w:ascii="仿宋_GB2312" w:hAnsi="宋体" w:eastAsia="仿宋_GB2312"/>
                <w:color w:val="auto"/>
                <w:sz w:val="24"/>
                <w:u w:val="single"/>
              </w:rPr>
              <w:t xml:space="preserve">             </w:t>
            </w:r>
          </w:p>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年限：</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u w:val="single"/>
              </w:rPr>
            </w:pPr>
            <w:r>
              <w:rPr>
                <w:rFonts w:hint="eastAsia" w:ascii="仿宋_GB2312" w:hAnsi="宋体" w:eastAsia="仿宋_GB2312"/>
                <w:color w:val="auto"/>
                <w:sz w:val="24"/>
              </w:rPr>
              <w:t>证号：</w:t>
            </w:r>
            <w:r>
              <w:rPr>
                <w:rFonts w:hint="eastAsia" w:ascii="仿宋_GB2312" w:hAnsi="宋体" w:eastAsia="仿宋_GB2312"/>
                <w:color w:val="auto"/>
                <w:sz w:val="24"/>
                <w:u w:val="single"/>
              </w:rPr>
              <w:t xml:space="preserve">             </w:t>
            </w:r>
          </w:p>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年限：</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u w:val="single"/>
              </w:rPr>
            </w:pPr>
            <w:r>
              <w:rPr>
                <w:rFonts w:hint="eastAsia" w:ascii="仿宋_GB2312" w:hAnsi="宋体" w:eastAsia="仿宋_GB2312"/>
                <w:color w:val="auto"/>
                <w:sz w:val="24"/>
              </w:rPr>
              <w:t>证号：</w:t>
            </w:r>
            <w:r>
              <w:rPr>
                <w:rFonts w:hint="eastAsia" w:ascii="仿宋_GB2312" w:hAnsi="宋体" w:eastAsia="仿宋_GB2312"/>
                <w:color w:val="auto"/>
                <w:sz w:val="24"/>
                <w:u w:val="single"/>
              </w:rPr>
              <w:t xml:space="preserve">             </w:t>
            </w:r>
          </w:p>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年限：</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u w:val="single"/>
              </w:rPr>
            </w:pPr>
            <w:r>
              <w:rPr>
                <w:rFonts w:hint="eastAsia" w:ascii="仿宋_GB2312" w:hAnsi="宋体" w:eastAsia="仿宋_GB2312"/>
                <w:color w:val="auto"/>
                <w:sz w:val="24"/>
              </w:rPr>
              <w:t>证号：</w:t>
            </w:r>
            <w:r>
              <w:rPr>
                <w:rFonts w:hint="eastAsia" w:ascii="仿宋_GB2312" w:hAnsi="宋体" w:eastAsia="仿宋_GB2312"/>
                <w:color w:val="auto"/>
                <w:sz w:val="24"/>
                <w:u w:val="single"/>
              </w:rPr>
              <w:t xml:space="preserve">             </w:t>
            </w:r>
          </w:p>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年限：</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u w:val="single"/>
              </w:rPr>
            </w:pPr>
            <w:r>
              <w:rPr>
                <w:rFonts w:hint="eastAsia" w:ascii="仿宋_GB2312" w:hAnsi="宋体" w:eastAsia="仿宋_GB2312"/>
                <w:color w:val="auto"/>
                <w:sz w:val="24"/>
              </w:rPr>
              <w:t>证号：</w:t>
            </w:r>
            <w:r>
              <w:rPr>
                <w:rFonts w:hint="eastAsia" w:ascii="仿宋_GB2312" w:hAnsi="宋体" w:eastAsia="仿宋_GB2312"/>
                <w:color w:val="auto"/>
                <w:sz w:val="24"/>
                <w:u w:val="single"/>
              </w:rPr>
              <w:t xml:space="preserve">             </w:t>
            </w:r>
          </w:p>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年限：</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u w:val="single"/>
              </w:rPr>
            </w:pPr>
            <w:r>
              <w:rPr>
                <w:rFonts w:hint="eastAsia" w:ascii="仿宋_GB2312" w:hAnsi="宋体" w:eastAsia="仿宋_GB2312"/>
                <w:color w:val="auto"/>
                <w:sz w:val="24"/>
              </w:rPr>
              <w:t>证号：</w:t>
            </w:r>
            <w:r>
              <w:rPr>
                <w:rFonts w:hint="eastAsia" w:ascii="仿宋_GB2312" w:hAnsi="宋体" w:eastAsia="仿宋_GB2312"/>
                <w:color w:val="auto"/>
                <w:sz w:val="24"/>
                <w:u w:val="single"/>
              </w:rPr>
              <w:t xml:space="preserve">             </w:t>
            </w:r>
          </w:p>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年限：</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u w:val="single"/>
              </w:rPr>
            </w:pPr>
            <w:r>
              <w:rPr>
                <w:rFonts w:hint="eastAsia" w:ascii="仿宋_GB2312" w:hAnsi="宋体" w:eastAsia="仿宋_GB2312"/>
                <w:color w:val="auto"/>
                <w:sz w:val="24"/>
              </w:rPr>
              <w:t>证号：</w:t>
            </w:r>
            <w:r>
              <w:rPr>
                <w:rFonts w:hint="eastAsia" w:ascii="仿宋_GB2312" w:hAnsi="宋体" w:eastAsia="仿宋_GB2312"/>
                <w:color w:val="auto"/>
                <w:sz w:val="24"/>
                <w:u w:val="single"/>
              </w:rPr>
              <w:t xml:space="preserve">             </w:t>
            </w:r>
          </w:p>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年限：</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u w:val="single"/>
              </w:rPr>
            </w:pPr>
            <w:r>
              <w:rPr>
                <w:rFonts w:hint="eastAsia" w:ascii="仿宋_GB2312" w:hAnsi="宋体" w:eastAsia="仿宋_GB2312"/>
                <w:color w:val="auto"/>
                <w:sz w:val="24"/>
              </w:rPr>
              <w:t>证号：</w:t>
            </w:r>
            <w:r>
              <w:rPr>
                <w:rFonts w:hint="eastAsia" w:ascii="仿宋_GB2312" w:hAnsi="宋体" w:eastAsia="仿宋_GB2312"/>
                <w:color w:val="auto"/>
                <w:sz w:val="24"/>
                <w:u w:val="single"/>
              </w:rPr>
              <w:t xml:space="preserve">             </w:t>
            </w:r>
          </w:p>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年限：</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u w:val="single"/>
              </w:rPr>
            </w:pPr>
            <w:r>
              <w:rPr>
                <w:rFonts w:hint="eastAsia" w:ascii="仿宋_GB2312" w:hAnsi="宋体" w:eastAsia="仿宋_GB2312"/>
                <w:color w:val="auto"/>
                <w:sz w:val="24"/>
              </w:rPr>
              <w:t>证号：</w:t>
            </w:r>
            <w:r>
              <w:rPr>
                <w:rFonts w:hint="eastAsia" w:ascii="仿宋_GB2312" w:hAnsi="宋体" w:eastAsia="仿宋_GB2312"/>
                <w:color w:val="auto"/>
                <w:sz w:val="24"/>
                <w:u w:val="single"/>
              </w:rPr>
              <w:t xml:space="preserve">             </w:t>
            </w:r>
          </w:p>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年限：</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9704" w:type="dxa"/>
            <w:gridSpan w:val="8"/>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color w:val="auto"/>
                <w:sz w:val="24"/>
              </w:rPr>
            </w:pPr>
          </w:p>
        </w:tc>
      </w:tr>
    </w:tbl>
    <w:p>
      <w:pPr>
        <w:adjustRightInd/>
        <w:spacing w:line="400" w:lineRule="exact"/>
        <w:rPr>
          <w:rFonts w:ascii="仿宋_GB2312" w:hAnsi="宋体" w:eastAsia="仿宋_GB2312"/>
          <w:color w:val="auto"/>
          <w:sz w:val="24"/>
        </w:rPr>
      </w:pPr>
      <w:r>
        <w:rPr>
          <w:rFonts w:hint="eastAsia" w:ascii="仿宋_GB2312" w:hAnsi="宋体" w:eastAsia="仿宋_GB2312"/>
          <w:color w:val="auto"/>
          <w:sz w:val="24"/>
        </w:rPr>
        <w:t>注：1、列入本表人员不得更换，如须更换，需经业主单位同意。擅自更换属违约行为。</w:t>
      </w:r>
    </w:p>
    <w:p>
      <w:pPr>
        <w:adjustRightInd/>
        <w:spacing w:line="400" w:lineRule="exact"/>
        <w:ind w:firstLine="480"/>
        <w:jc w:val="center"/>
        <w:rPr>
          <w:rFonts w:ascii="仿宋_GB2312" w:hAnsi="宋体" w:eastAsia="仿宋_GB2312"/>
          <w:color w:val="auto"/>
          <w:sz w:val="24"/>
        </w:rPr>
      </w:pPr>
      <w:r>
        <w:rPr>
          <w:rFonts w:hint="eastAsia" w:ascii="仿宋_GB2312" w:hAnsi="宋体" w:eastAsia="仿宋_GB2312"/>
          <w:color w:val="auto"/>
          <w:sz w:val="24"/>
        </w:rPr>
        <w:t>2、列入本表人员需提供养老保险缴费证明复印件（开标时携带原件备查），以证明其为</w:t>
      </w:r>
    </w:p>
    <w:p>
      <w:pPr>
        <w:adjustRightInd/>
        <w:spacing w:line="400" w:lineRule="exact"/>
        <w:rPr>
          <w:rFonts w:ascii="仿宋_GB2312" w:hAnsi="宋体" w:eastAsia="仿宋_GB2312"/>
          <w:color w:val="auto"/>
          <w:sz w:val="24"/>
        </w:rPr>
      </w:pPr>
      <w:r>
        <w:rPr>
          <w:rFonts w:hint="eastAsia" w:ascii="仿宋_GB2312" w:hAnsi="宋体" w:eastAsia="仿宋_GB2312"/>
          <w:color w:val="auto"/>
          <w:sz w:val="24"/>
        </w:rPr>
        <w:t>本单位正式职工。</w:t>
      </w:r>
    </w:p>
    <w:p>
      <w:pPr>
        <w:adjustRightInd/>
        <w:spacing w:line="400" w:lineRule="exact"/>
        <w:jc w:val="center"/>
        <w:rPr>
          <w:rFonts w:ascii="仿宋_GB2312" w:hAnsi="宋体" w:eastAsia="仿宋_GB2312"/>
          <w:color w:val="auto"/>
          <w:sz w:val="24"/>
        </w:rPr>
      </w:pPr>
      <w:r>
        <w:rPr>
          <w:rFonts w:hint="eastAsia" w:ascii="仿宋_GB2312" w:hAnsi="宋体" w:eastAsia="仿宋_GB2312"/>
          <w:bCs/>
          <w:color w:val="auto"/>
          <w:sz w:val="24"/>
        </w:rPr>
        <w:t>投标单位：(盖章)      法定代表人或委托代理人：(签字或盖章)</w:t>
      </w:r>
    </w:p>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 xml:space="preserve">                        年  月  日</w:t>
      </w:r>
    </w:p>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 xml:space="preserve">  </w:t>
      </w:r>
    </w:p>
    <w:p>
      <w:pPr>
        <w:adjustRightInd/>
        <w:spacing w:line="400" w:lineRule="exact"/>
        <w:jc w:val="center"/>
        <w:rPr>
          <w:rFonts w:ascii="仿宋_GB2312" w:hAnsi="宋体" w:eastAsia="仿宋_GB2312"/>
          <w:color w:val="auto"/>
          <w:sz w:val="24"/>
        </w:rPr>
      </w:pPr>
    </w:p>
    <w:p>
      <w:pPr>
        <w:adjustRightInd/>
        <w:spacing w:line="400" w:lineRule="exact"/>
        <w:jc w:val="center"/>
        <w:rPr>
          <w:rFonts w:ascii="仿宋_GB2312" w:hAnsi="宋体" w:eastAsia="仿宋_GB2312"/>
          <w:color w:val="auto"/>
          <w:sz w:val="24"/>
        </w:rPr>
      </w:pPr>
    </w:p>
    <w:p>
      <w:pPr>
        <w:adjustRightInd/>
        <w:spacing w:line="400" w:lineRule="exact"/>
        <w:jc w:val="center"/>
        <w:rPr>
          <w:rFonts w:ascii="仿宋_GB2312" w:hAnsi="宋体" w:eastAsia="仿宋_GB2312"/>
          <w:color w:val="auto"/>
          <w:sz w:val="24"/>
        </w:rPr>
      </w:pPr>
    </w:p>
    <w:p>
      <w:pPr>
        <w:adjustRightInd/>
        <w:spacing w:line="400" w:lineRule="exact"/>
        <w:jc w:val="center"/>
        <w:rPr>
          <w:rFonts w:ascii="仿宋_GB2312" w:hAnsi="宋体" w:eastAsia="仿宋_GB2312"/>
          <w:b/>
          <w:color w:val="auto"/>
          <w:sz w:val="24"/>
        </w:rPr>
      </w:pPr>
    </w:p>
    <w:p>
      <w:pPr>
        <w:adjustRightInd/>
        <w:spacing w:line="400" w:lineRule="exact"/>
        <w:jc w:val="center"/>
        <w:rPr>
          <w:rFonts w:ascii="仿宋_GB2312" w:hAnsi="宋体" w:eastAsia="仿宋_GB2312"/>
          <w:b/>
          <w:color w:val="auto"/>
          <w:sz w:val="24"/>
        </w:rPr>
      </w:pPr>
      <w:r>
        <w:rPr>
          <w:rFonts w:hint="eastAsia" w:ascii="仿宋_GB2312" w:hAnsi="宋体" w:eastAsia="仿宋_GB2312"/>
          <w:b/>
          <w:color w:val="auto"/>
          <w:sz w:val="24"/>
        </w:rPr>
        <w:t>普通服务人员简历表</w:t>
      </w:r>
    </w:p>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 xml:space="preserve"> </w:t>
      </w:r>
    </w:p>
    <w:tbl>
      <w:tblPr>
        <w:tblStyle w:val="1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520"/>
        <w:gridCol w:w="2160"/>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vAlign w:val="center"/>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姓       名</w:t>
            </w:r>
          </w:p>
        </w:tc>
        <w:tc>
          <w:tcPr>
            <w:tcW w:w="2520" w:type="dxa"/>
            <w:vAlign w:val="center"/>
          </w:tcPr>
          <w:p>
            <w:pPr>
              <w:adjustRightInd/>
              <w:spacing w:line="400" w:lineRule="exact"/>
              <w:jc w:val="center"/>
              <w:rPr>
                <w:rFonts w:ascii="仿宋_GB2312" w:hAnsi="宋体" w:eastAsia="仿宋_GB2312"/>
                <w:color w:val="auto"/>
                <w:sz w:val="24"/>
              </w:rPr>
            </w:pPr>
          </w:p>
        </w:tc>
        <w:tc>
          <w:tcPr>
            <w:tcW w:w="2160" w:type="dxa"/>
            <w:vAlign w:val="center"/>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出 生 年 月</w:t>
            </w:r>
          </w:p>
        </w:tc>
        <w:tc>
          <w:tcPr>
            <w:tcW w:w="1932" w:type="dxa"/>
            <w:vAlign w:val="center"/>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vAlign w:val="center"/>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文 化 程 度</w:t>
            </w:r>
          </w:p>
        </w:tc>
        <w:tc>
          <w:tcPr>
            <w:tcW w:w="2520" w:type="dxa"/>
            <w:vAlign w:val="center"/>
          </w:tcPr>
          <w:p>
            <w:pPr>
              <w:adjustRightInd/>
              <w:spacing w:line="400" w:lineRule="exact"/>
              <w:jc w:val="center"/>
              <w:rPr>
                <w:rFonts w:ascii="仿宋_GB2312" w:hAnsi="宋体" w:eastAsia="仿宋_GB2312"/>
                <w:color w:val="auto"/>
                <w:sz w:val="24"/>
              </w:rPr>
            </w:pPr>
          </w:p>
        </w:tc>
        <w:tc>
          <w:tcPr>
            <w:tcW w:w="2160" w:type="dxa"/>
            <w:vAlign w:val="center"/>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技 术 职 称</w:t>
            </w:r>
          </w:p>
        </w:tc>
        <w:tc>
          <w:tcPr>
            <w:tcW w:w="1932" w:type="dxa"/>
            <w:vAlign w:val="center"/>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vAlign w:val="center"/>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毕业院校、专业</w:t>
            </w:r>
          </w:p>
        </w:tc>
        <w:tc>
          <w:tcPr>
            <w:tcW w:w="2520" w:type="dxa"/>
            <w:vAlign w:val="center"/>
          </w:tcPr>
          <w:p>
            <w:pPr>
              <w:adjustRightInd/>
              <w:spacing w:line="400" w:lineRule="exact"/>
              <w:jc w:val="center"/>
              <w:rPr>
                <w:rFonts w:ascii="仿宋_GB2312" w:hAnsi="宋体" w:eastAsia="仿宋_GB2312"/>
                <w:color w:val="auto"/>
                <w:sz w:val="24"/>
              </w:rPr>
            </w:pPr>
          </w:p>
        </w:tc>
        <w:tc>
          <w:tcPr>
            <w:tcW w:w="2160" w:type="dxa"/>
            <w:vAlign w:val="center"/>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毕 业 时 间</w:t>
            </w:r>
          </w:p>
        </w:tc>
        <w:tc>
          <w:tcPr>
            <w:tcW w:w="1932" w:type="dxa"/>
            <w:vAlign w:val="center"/>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vAlign w:val="center"/>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现 任 职 务</w:t>
            </w:r>
          </w:p>
        </w:tc>
        <w:tc>
          <w:tcPr>
            <w:tcW w:w="2520" w:type="dxa"/>
            <w:vAlign w:val="center"/>
          </w:tcPr>
          <w:p>
            <w:pPr>
              <w:adjustRightInd/>
              <w:spacing w:line="400" w:lineRule="exact"/>
              <w:jc w:val="center"/>
              <w:rPr>
                <w:rFonts w:ascii="仿宋_GB2312" w:hAnsi="宋体" w:eastAsia="仿宋_GB2312"/>
                <w:color w:val="auto"/>
                <w:sz w:val="24"/>
              </w:rPr>
            </w:pPr>
          </w:p>
        </w:tc>
        <w:tc>
          <w:tcPr>
            <w:tcW w:w="2160" w:type="dxa"/>
            <w:vAlign w:val="center"/>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从事咨询服务工作时间</w:t>
            </w:r>
          </w:p>
        </w:tc>
        <w:tc>
          <w:tcPr>
            <w:tcW w:w="1932" w:type="dxa"/>
            <w:vAlign w:val="center"/>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vAlign w:val="center"/>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执业资格证号</w:t>
            </w:r>
          </w:p>
        </w:tc>
        <w:tc>
          <w:tcPr>
            <w:tcW w:w="2520" w:type="dxa"/>
            <w:vAlign w:val="center"/>
          </w:tcPr>
          <w:p>
            <w:pPr>
              <w:adjustRightInd/>
              <w:spacing w:line="400" w:lineRule="exact"/>
              <w:jc w:val="center"/>
              <w:rPr>
                <w:rFonts w:ascii="仿宋_GB2312" w:hAnsi="宋体" w:eastAsia="仿宋_GB2312"/>
                <w:color w:val="auto"/>
                <w:sz w:val="24"/>
              </w:rPr>
            </w:pPr>
          </w:p>
        </w:tc>
        <w:tc>
          <w:tcPr>
            <w:tcW w:w="2160" w:type="dxa"/>
            <w:vAlign w:val="center"/>
          </w:tcPr>
          <w:p>
            <w:pPr>
              <w:adjustRightInd/>
              <w:spacing w:line="400" w:lineRule="exact"/>
              <w:jc w:val="center"/>
              <w:rPr>
                <w:rFonts w:ascii="仿宋_GB2312" w:hAnsi="宋体" w:eastAsia="仿宋_GB2312"/>
                <w:color w:val="auto"/>
                <w:sz w:val="24"/>
              </w:rPr>
            </w:pPr>
          </w:p>
        </w:tc>
        <w:tc>
          <w:tcPr>
            <w:tcW w:w="1932" w:type="dxa"/>
            <w:vAlign w:val="center"/>
          </w:tcPr>
          <w:p>
            <w:pPr>
              <w:adjustRightInd/>
              <w:spacing w:line="40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6" w:hRule="atLeast"/>
          <w:jc w:val="center"/>
        </w:trPr>
        <w:tc>
          <w:tcPr>
            <w:tcW w:w="8520" w:type="dxa"/>
            <w:gridSpan w:val="4"/>
          </w:tcPr>
          <w:p>
            <w:pPr>
              <w:adjustRightInd/>
              <w:spacing w:line="400" w:lineRule="exact"/>
              <w:jc w:val="center"/>
              <w:rPr>
                <w:rFonts w:ascii="仿宋_GB2312" w:hAnsi="宋体" w:eastAsia="仿宋_GB2312"/>
                <w:color w:val="auto"/>
                <w:sz w:val="24"/>
              </w:rPr>
            </w:pPr>
            <w:r>
              <w:rPr>
                <w:rFonts w:hint="eastAsia" w:ascii="仿宋_GB2312" w:hAnsi="宋体" w:eastAsia="仿宋_GB2312"/>
                <w:color w:val="auto"/>
                <w:sz w:val="24"/>
              </w:rPr>
              <w:t>工作简历（含类似业绩说明）：</w:t>
            </w:r>
          </w:p>
        </w:tc>
      </w:tr>
    </w:tbl>
    <w:p>
      <w:pPr>
        <w:adjustRightInd/>
        <w:spacing w:line="400" w:lineRule="exact"/>
        <w:jc w:val="center"/>
        <w:rPr>
          <w:rFonts w:ascii="仿宋_GB2312" w:hAnsi="宋体" w:eastAsia="仿宋_GB2312"/>
          <w:b/>
          <w:color w:val="auto"/>
          <w:sz w:val="24"/>
        </w:rPr>
      </w:pPr>
      <w:r>
        <w:rPr>
          <w:rFonts w:hint="eastAsia" w:ascii="仿宋_GB2312" w:hAnsi="宋体" w:eastAsia="仿宋_GB2312"/>
          <w:b/>
          <w:color w:val="auto"/>
          <w:sz w:val="24"/>
        </w:rPr>
        <w:t xml:space="preserve"> 注：每表一人。包括类似业绩证明材料复印件，开标时携带原件，未提供者视作业绩无效。</w:t>
      </w:r>
    </w:p>
    <w:p>
      <w:pPr>
        <w:adjustRightInd/>
        <w:spacing w:line="400" w:lineRule="exact"/>
        <w:jc w:val="center"/>
        <w:rPr>
          <w:rFonts w:ascii="仿宋_GB2312" w:hAnsi="宋体" w:eastAsia="仿宋_GB2312"/>
          <w:bCs/>
          <w:color w:val="auto"/>
          <w:sz w:val="24"/>
        </w:rPr>
      </w:pPr>
    </w:p>
    <w:p>
      <w:pPr>
        <w:adjustRightInd/>
        <w:spacing w:line="400" w:lineRule="exact"/>
        <w:jc w:val="center"/>
        <w:rPr>
          <w:rFonts w:ascii="仿宋_GB2312" w:hAnsi="宋体" w:eastAsia="仿宋_GB2312"/>
          <w:bCs/>
          <w:color w:val="auto"/>
          <w:sz w:val="24"/>
        </w:rPr>
      </w:pPr>
      <w:r>
        <w:rPr>
          <w:rFonts w:hint="eastAsia" w:ascii="仿宋_GB2312" w:hAnsi="宋体" w:eastAsia="仿宋_GB2312"/>
          <w:bCs/>
          <w:color w:val="auto"/>
          <w:sz w:val="24"/>
        </w:rPr>
        <w:t xml:space="preserve">投标单位：(盖章)                   法定代表人或委托代理人：(签字或盖章)                 </w:t>
      </w:r>
    </w:p>
    <w:p>
      <w:pPr>
        <w:adjustRightInd/>
        <w:spacing w:line="400" w:lineRule="exact"/>
        <w:jc w:val="center"/>
        <w:rPr>
          <w:rFonts w:ascii="仿宋_GB2312" w:eastAsia="仿宋_GB2312"/>
          <w:color w:val="auto"/>
        </w:rPr>
      </w:pPr>
      <w:r>
        <w:rPr>
          <w:rFonts w:hint="eastAsia" w:ascii="仿宋_GB2312" w:hAnsi="宋体" w:eastAsia="仿宋_GB2312"/>
          <w:bCs/>
          <w:color w:val="auto"/>
          <w:sz w:val="24"/>
        </w:rPr>
        <w:t xml:space="preserve">    日期：</w:t>
      </w:r>
      <w:r>
        <w:rPr>
          <w:rFonts w:hint="eastAsia" w:ascii="仿宋_GB2312" w:eastAsia="仿宋_GB2312"/>
          <w:color w:val="auto"/>
        </w:rPr>
        <w:t xml:space="preserve"> </w:t>
      </w:r>
      <w:r>
        <w:rPr>
          <w:rFonts w:hint="eastAsia" w:ascii="仿宋_GB2312" w:eastAsia="仿宋_GB2312"/>
          <w:color w:val="auto"/>
          <w:sz w:val="24"/>
        </w:rPr>
        <w:t xml:space="preserve">        </w:t>
      </w:r>
    </w:p>
    <w:p>
      <w:pPr>
        <w:snapToGrid w:val="0"/>
        <w:spacing w:line="360" w:lineRule="auto"/>
        <w:rPr>
          <w:rFonts w:ascii="仿宋_GB2312" w:hAnsi="仿宋" w:eastAsia="仿宋_GB2312"/>
          <w:b/>
          <w:color w:val="auto"/>
          <w:sz w:val="36"/>
          <w:szCs w:val="20"/>
        </w:rPr>
      </w:pPr>
    </w:p>
    <w:p>
      <w:pPr>
        <w:rPr>
          <w:color w:val="auto"/>
        </w:rPr>
      </w:pPr>
    </w:p>
    <w:sectPr>
      <w:headerReference r:id="rId18" w:type="first"/>
      <w:footerReference r:id="rId21" w:type="first"/>
      <w:headerReference r:id="rId17" w:type="default"/>
      <w:footerReference r:id="rId19" w:type="default"/>
      <w:footerReference r:id="rId20" w:type="even"/>
      <w:pgSz w:w="11906" w:h="16838"/>
      <w:pgMar w:top="779" w:right="1418" w:bottom="935"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Vrinda">
    <w:panose1 w:val="020B0502040204020203"/>
    <w:charset w:val="00"/>
    <w:family w:val="swiss"/>
    <w:pitch w:val="default"/>
    <w:sig w:usb0="00010003"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Bodoni MT">
    <w:panose1 w:val="02070603080606020203"/>
    <w:charset w:val="00"/>
    <w:family w:val="roman"/>
    <w:pitch w:val="default"/>
    <w:sig w:usb0="00000003" w:usb1="00000000" w:usb2="00000000" w:usb3="00000000" w:csb0="2000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fldChar w:fldCharType="end"/>
    </w:r>
  </w:p>
  <w:p>
    <w:pPr>
      <w:pStyle w:val="10"/>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38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39</w:t>
    </w:r>
    <w:r>
      <w:rPr>
        <w:rFonts w:hint="eastAsia" w:ascii="仿宋_GB2312" w:eastAsia="仿宋_GB2312"/>
        <w:kern w:val="0"/>
        <w:szCs w:val="21"/>
      </w:rPr>
      <w:fldChar w:fldCharType="end"/>
    </w:r>
    <w:bookmarkStart w:id="427" w:name="_Toc91899912"/>
    <w:bookmarkStart w:id="428" w:name="_Toc131845147"/>
    <w:bookmarkStart w:id="429" w:name="_Toc36110187"/>
    <w:bookmarkStart w:id="430" w:name="_Toc164085800"/>
    <w:r>
      <w:rPr>
        <w:rFonts w:hint="eastAsia" w:ascii="仿宋_GB2312" w:eastAsia="仿宋_GB2312"/>
        <w:kern w:val="0"/>
        <w:szCs w:val="21"/>
      </w:rPr>
      <w:t xml:space="preserve"> 页</w:t>
    </w:r>
    <w:bookmarkEnd w:id="427"/>
    <w:bookmarkEnd w:id="428"/>
    <w:bookmarkEnd w:id="429"/>
    <w:bookmarkEnd w:id="43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45</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39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仿宋_GB2312" w:eastAsia="仿宋_GB2312"/>
        <w:b w:val="0"/>
        <w:sz w:val="1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right="360"/>
      <w:jc w:val="both"/>
      <w:rPr>
        <w:rFonts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10" w:firstLineChars="100"/>
      <w:jc w:val="both"/>
      <w:rPr>
        <w:rFonts w:ascii="仿宋_GB2312" w:eastAsia="仿宋_GB2312"/>
        <w:b w:val="0"/>
        <w:i/>
        <w:sz w:val="1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eastAsia="仿宋_GB2312"/>
        <w:i/>
      </w:rPr>
    </w:pPr>
    <w:r>
      <w:rPr>
        <w:rFonts w:hint="eastAsia" w:eastAsia="仿宋_GB2312"/>
        <w:i/>
      </w:rPr>
      <w:t>杭州高新区（滨江）政府采购公开招标文件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10" w:firstLineChars="100"/>
      <w:jc w:val="both"/>
      <w:rPr>
        <w:rFonts w:ascii="仿宋_GB2312" w:eastAsia="仿宋_GB2312"/>
        <w:b w:val="0"/>
        <w:i/>
        <w:sz w:val="11"/>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80" w:firstLineChars="100"/>
      <w:jc w:val="both"/>
      <w:rPr>
        <w:rFonts w:ascii="仿宋_GB2312" w:eastAsia="仿宋_GB2312"/>
        <w:b w:val="0"/>
        <w:i/>
        <w:sz w:val="11"/>
        <w:u w:val="single"/>
      </w:rPr>
    </w:pPr>
    <w:r>
      <w:rPr>
        <w:rFonts w:hint="eastAsia" w:eastAsia="仿宋_GB2312"/>
        <w:b w:val="0"/>
        <w:i/>
        <w:sz w:val="18"/>
        <w:u w:val="single"/>
      </w:rPr>
      <w:t xml:space="preserve">                                                         </w:t>
    </w:r>
  </w:p>
  <w:p>
    <w:pPr>
      <w:pStyle w:val="13"/>
      <w:ind w:firstLine="110" w:firstLineChars="100"/>
      <w:jc w:val="both"/>
      <w:rPr>
        <w:rFonts w:ascii="仿宋_GB2312" w:eastAsia="仿宋_GB2312"/>
        <w:b w:val="0"/>
        <w:i/>
        <w:sz w:val="11"/>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80" w:firstLineChars="100"/>
      <w:jc w:val="both"/>
      <w:rPr>
        <w:rFonts w:ascii="仿宋_GB2312" w:eastAsia="仿宋_GB2312"/>
        <w:b w:val="0"/>
        <w:i/>
        <w:sz w:val="11"/>
        <w:u w:val="single"/>
      </w:rPr>
    </w:pPr>
    <w:r>
      <w:rPr>
        <w:rFonts w:hint="eastAsia" w:eastAsia="仿宋_GB2312"/>
        <w:b w:val="0"/>
        <w:i/>
        <w:sz w:val="18"/>
        <w:u w:val="single"/>
      </w:rPr>
      <w:t xml:space="preserve">                                                           </w:t>
    </w:r>
    <w:r>
      <w:rPr>
        <w:rFonts w:hint="eastAsia" w:eastAsia="仿宋_GB2312"/>
        <w:i/>
        <w:sz w:val="18"/>
        <w:u w:val="single"/>
      </w:rPr>
      <w:t>浙医四院招标代理服务（2017年度）招标文件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000000D"/>
    <w:multiLevelType w:val="singleLevel"/>
    <w:tmpl w:val="0000000D"/>
    <w:lvl w:ilvl="0" w:tentative="0">
      <w:start w:val="1"/>
      <w:numFmt w:val="chineseCounting"/>
      <w:suff w:val="nothing"/>
      <w:lvlText w:val="%1、"/>
      <w:lvlJc w:val="left"/>
      <w:pPr>
        <w:ind w:left="0" w:firstLine="420"/>
      </w:pPr>
      <w:rPr>
        <w:rFonts w:hint="eastAsia" w:eastAsia="黑体"/>
        <w:b/>
        <w:sz w:val="30"/>
      </w:rPr>
    </w:lvl>
  </w:abstractNum>
  <w:abstractNum w:abstractNumId="2">
    <w:nsid w:val="11744E57"/>
    <w:multiLevelType w:val="multilevel"/>
    <w:tmpl w:val="11744E5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573D92D9"/>
    <w:multiLevelType w:val="singleLevel"/>
    <w:tmpl w:val="573D92D9"/>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OTA1MWE0OGE2NmRiY2UxNzAxMjhhM2JjZjZiOGEifQ=="/>
  </w:docVars>
  <w:rsids>
    <w:rsidRoot w:val="18035F0E"/>
    <w:rsid w:val="000D57A8"/>
    <w:rsid w:val="000F5978"/>
    <w:rsid w:val="00206612"/>
    <w:rsid w:val="002E51F1"/>
    <w:rsid w:val="00332C4C"/>
    <w:rsid w:val="00551C8C"/>
    <w:rsid w:val="00620B78"/>
    <w:rsid w:val="0063140A"/>
    <w:rsid w:val="00820F5E"/>
    <w:rsid w:val="00850C14"/>
    <w:rsid w:val="009D1C45"/>
    <w:rsid w:val="009D4844"/>
    <w:rsid w:val="00D5088C"/>
    <w:rsid w:val="00EC0713"/>
    <w:rsid w:val="00EE25C9"/>
    <w:rsid w:val="00FD1CE3"/>
    <w:rsid w:val="07337047"/>
    <w:rsid w:val="0E3377CA"/>
    <w:rsid w:val="114A5FCF"/>
    <w:rsid w:val="14E7267B"/>
    <w:rsid w:val="15455BE0"/>
    <w:rsid w:val="18035F0E"/>
    <w:rsid w:val="19082D7E"/>
    <w:rsid w:val="1C623E90"/>
    <w:rsid w:val="1CFA6D64"/>
    <w:rsid w:val="1FC1613F"/>
    <w:rsid w:val="1FD21DDE"/>
    <w:rsid w:val="25064EBD"/>
    <w:rsid w:val="27D97F5A"/>
    <w:rsid w:val="281F4FDA"/>
    <w:rsid w:val="28492B3C"/>
    <w:rsid w:val="2F807DA9"/>
    <w:rsid w:val="32963E77"/>
    <w:rsid w:val="354436E3"/>
    <w:rsid w:val="36F86D6D"/>
    <w:rsid w:val="36FE6833"/>
    <w:rsid w:val="39375990"/>
    <w:rsid w:val="3B1E5D0A"/>
    <w:rsid w:val="3B271454"/>
    <w:rsid w:val="3B272698"/>
    <w:rsid w:val="3BB0367F"/>
    <w:rsid w:val="3C17253C"/>
    <w:rsid w:val="3C470588"/>
    <w:rsid w:val="3CC40A01"/>
    <w:rsid w:val="3D4F5BA0"/>
    <w:rsid w:val="442A792B"/>
    <w:rsid w:val="45A62135"/>
    <w:rsid w:val="47EC79BF"/>
    <w:rsid w:val="488965FD"/>
    <w:rsid w:val="4ACD44D4"/>
    <w:rsid w:val="4C860F93"/>
    <w:rsid w:val="4E7F43E4"/>
    <w:rsid w:val="509E6E46"/>
    <w:rsid w:val="56D20521"/>
    <w:rsid w:val="5CB20F5E"/>
    <w:rsid w:val="5D5835AF"/>
    <w:rsid w:val="5E4F7159"/>
    <w:rsid w:val="5EEA0776"/>
    <w:rsid w:val="5F2C4F5B"/>
    <w:rsid w:val="624C0AEF"/>
    <w:rsid w:val="645C254E"/>
    <w:rsid w:val="650D731F"/>
    <w:rsid w:val="6654263E"/>
    <w:rsid w:val="6B29553C"/>
    <w:rsid w:val="6C46473D"/>
    <w:rsid w:val="6DD64746"/>
    <w:rsid w:val="6FB3450A"/>
    <w:rsid w:val="71F25D6B"/>
    <w:rsid w:val="78753F7C"/>
    <w:rsid w:val="7D9C79EB"/>
    <w:rsid w:val="7F792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
    <w:pPr>
      <w:keepNext/>
      <w:keepLines/>
      <w:numPr>
        <w:ilvl w:val="0"/>
        <w:numId w:val="1"/>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2"/>
      </w:numPr>
      <w:spacing w:before="260" w:after="260" w:line="416" w:lineRule="auto"/>
      <w:outlineLvl w:val="2"/>
    </w:pPr>
    <w:rPr>
      <w:b/>
      <w:bCs/>
      <w:sz w:val="32"/>
      <w:szCs w:val="32"/>
    </w:rPr>
  </w:style>
  <w:style w:type="paragraph" w:styleId="6">
    <w:name w:val="heading 4"/>
    <w:basedOn w:val="1"/>
    <w:next w:val="1"/>
    <w:qFormat/>
    <w:uiPriority w:val="0"/>
    <w:pPr>
      <w:keepNext/>
      <w:snapToGrid w:val="0"/>
      <w:spacing w:line="600" w:lineRule="exact"/>
      <w:ind w:firstLine="1928" w:firstLineChars="600"/>
      <w:outlineLvl w:val="3"/>
    </w:pPr>
    <w:rPr>
      <w:rFonts w:ascii="宋体" w:hAnsi="宋体"/>
      <w:b/>
      <w:bCs/>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qFormat/>
    <w:uiPriority w:val="0"/>
    <w:pPr>
      <w:autoSpaceDE w:val="0"/>
      <w:autoSpaceDN w:val="0"/>
      <w:spacing w:line="360" w:lineRule="auto"/>
    </w:pPr>
    <w:rPr>
      <w:rFonts w:ascii="宋体"/>
      <w:sz w:val="24"/>
      <w:szCs w:val="21"/>
      <w:lang w:val="zh-CN"/>
    </w:rPr>
  </w:style>
  <w:style w:type="paragraph" w:styleId="7">
    <w:name w:val="Normal Indent"/>
    <w:basedOn w:val="1"/>
    <w:qFormat/>
    <w:uiPriority w:val="0"/>
    <w:pPr>
      <w:widowControl/>
      <w:snapToGrid w:val="0"/>
      <w:spacing w:line="480" w:lineRule="exact"/>
      <w:ind w:firstLine="567"/>
    </w:pPr>
    <w:rPr>
      <w:rFonts w:ascii="宋体"/>
      <w:snapToGrid w:val="0"/>
      <w:color w:val="000000"/>
      <w:kern w:val="28"/>
      <w:sz w:val="28"/>
      <w:szCs w:val="20"/>
    </w:rPr>
  </w:style>
  <w:style w:type="paragraph" w:styleId="8">
    <w:name w:val="Body Text Indent"/>
    <w:basedOn w:val="1"/>
    <w:qFormat/>
    <w:uiPriority w:val="0"/>
    <w:pPr>
      <w:spacing w:line="480" w:lineRule="exact"/>
      <w:ind w:firstLine="480" w:firstLineChars="200"/>
    </w:pPr>
    <w:rPr>
      <w:rFonts w:ascii="宋体" w:hAnsi="宋体"/>
      <w:sz w:val="24"/>
    </w:r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Title"/>
    <w:basedOn w:val="1"/>
    <w:qFormat/>
    <w:uiPriority w:val="0"/>
    <w:pPr>
      <w:widowControl/>
      <w:overflowPunct w:val="0"/>
      <w:autoSpaceDE w:val="0"/>
      <w:autoSpaceDN w:val="0"/>
      <w:jc w:val="center"/>
      <w:textAlignment w:val="baseline"/>
    </w:pPr>
    <w:rPr>
      <w:b/>
      <w:kern w:val="0"/>
      <w:sz w:val="24"/>
      <w:szCs w:val="20"/>
      <w:lang w:val="en-GB"/>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正文2"/>
    <w:basedOn w:val="1"/>
    <w:qFormat/>
    <w:uiPriority w:val="0"/>
    <w:pPr>
      <w:spacing w:before="156" w:line="360" w:lineRule="auto"/>
      <w:ind w:firstLine="510" w:firstLineChars="200"/>
    </w:pPr>
    <w:rPr>
      <w:sz w:val="24"/>
      <w:szCs w:val="20"/>
    </w:rPr>
  </w:style>
  <w:style w:type="paragraph" w:customStyle="1" w:styleId="1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0">
    <w:name w:val="1"/>
    <w:basedOn w:val="1"/>
    <w:next w:val="12"/>
    <w:qFormat/>
    <w:uiPriority w:val="0"/>
    <w:pPr>
      <w:adjustRightInd/>
      <w:spacing w:line="360" w:lineRule="auto"/>
    </w:pPr>
    <w:rPr>
      <w:rFonts w:eastAsia="仿宋_GB2312"/>
      <w:sz w:val="24"/>
    </w:rPr>
  </w:style>
  <w:style w:type="paragraph" w:customStyle="1" w:styleId="21">
    <w:name w:val="Body text|1"/>
    <w:basedOn w:val="1"/>
    <w:qFormat/>
    <w:uiPriority w:val="0"/>
    <w:pPr>
      <w:spacing w:line="475" w:lineRule="auto"/>
    </w:pPr>
    <w:rPr>
      <w:rFonts w:ascii="宋体" w:hAnsi="宋体" w:cs="宋体"/>
      <w:color w:val="7A7F8C"/>
      <w:sz w:val="18"/>
      <w:szCs w:val="18"/>
      <w:lang w:val="zh-TW" w:eastAsia="zh-TW" w:bidi="zh-TW"/>
    </w:rPr>
  </w:style>
  <w:style w:type="paragraph" w:customStyle="1" w:styleId="22">
    <w:name w:val="Table caption|1"/>
    <w:basedOn w:val="1"/>
    <w:qFormat/>
    <w:uiPriority w:val="0"/>
    <w:rPr>
      <w:rFonts w:ascii="宋体" w:hAnsi="宋体" w:cs="宋体"/>
      <w:sz w:val="18"/>
      <w:szCs w:val="18"/>
      <w:lang w:val="zh-TW" w:eastAsia="zh-TW" w:bidi="zh-TW"/>
    </w:rPr>
  </w:style>
  <w:style w:type="paragraph" w:customStyle="1" w:styleId="23">
    <w:name w:val="Other|1"/>
    <w:basedOn w:val="1"/>
    <w:qFormat/>
    <w:uiPriority w:val="0"/>
    <w:pPr>
      <w:spacing w:line="475" w:lineRule="auto"/>
    </w:pPr>
    <w:rPr>
      <w:rFonts w:ascii="宋体" w:hAnsi="宋体" w:cs="宋体"/>
      <w:color w:val="7A7F8C"/>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4046</Words>
  <Characters>23065</Characters>
  <Lines>192</Lines>
  <Paragraphs>54</Paragraphs>
  <TotalTime>28</TotalTime>
  <ScaleCrop>false</ScaleCrop>
  <LinksUpToDate>false</LinksUpToDate>
  <CharactersWithSpaces>27057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2019-04-26T08:52:00Z</dcterms:created>
  <dc:creator>zju4h</dc:creator>
  <cp:lastModifiedBy>花冢</cp:lastModifiedBy>
  <cp:lastPrinted>2019-06-11T08:13:00Z</cp:lastPrinted>
  <dcterms:modified xsi:type="dcterms:W3CDTF">2022-08-24T03:10:35Z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40E6B24E58F64040916287B846FB7D16</vt:lpwstr>
  </property>
</Properties>
</file>