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b/>
          <w:sz w:val="32"/>
          <w:szCs w:val="32"/>
        </w:rPr>
      </w:pPr>
    </w:p>
    <w:p>
      <w:pPr>
        <w:jc w:val="center"/>
        <w:rPr>
          <w:rFonts w:hint="eastAsia" w:ascii="宋体" w:hAnsi="宋体"/>
          <w:b/>
          <w:sz w:val="36"/>
          <w:szCs w:val="36"/>
        </w:rPr>
      </w:pPr>
      <w:r>
        <w:rPr>
          <w:rFonts w:hint="eastAsia" w:ascii="宋体" w:hAnsi="宋体"/>
          <w:b/>
          <w:sz w:val="36"/>
          <w:szCs w:val="36"/>
        </w:rPr>
        <w:t>浙江大学医学院附属第四医院</w:t>
      </w:r>
    </w:p>
    <w:p>
      <w:pPr>
        <w:jc w:val="center"/>
        <w:rPr>
          <w:rFonts w:hint="eastAsia" w:ascii="宋体" w:hAnsi="宋体"/>
          <w:b/>
          <w:sz w:val="36"/>
          <w:szCs w:val="36"/>
        </w:rPr>
      </w:pPr>
      <w:r>
        <w:rPr>
          <w:rFonts w:hint="eastAsia" w:ascii="宋体" w:hAnsi="宋体"/>
          <w:b/>
          <w:sz w:val="36"/>
          <w:szCs w:val="36"/>
        </w:rPr>
        <w:t>2023年员工端午实物慰问品采购招标文件</w:t>
      </w:r>
    </w:p>
    <w:p>
      <w:pPr>
        <w:autoSpaceDE w:val="0"/>
        <w:autoSpaceDN w:val="0"/>
        <w:adjustRightInd w:val="0"/>
        <w:spacing w:line="360" w:lineRule="auto"/>
        <w:jc w:val="center"/>
        <w:rPr>
          <w:rFonts w:hint="eastAsia" w:ascii="宋体" w:hAnsi="宋体"/>
          <w:b/>
          <w:bCs/>
          <w:sz w:val="30"/>
          <w:szCs w:val="30"/>
          <w:lang w:val="zh-CN"/>
        </w:rPr>
      </w:pPr>
      <w:r>
        <w:rPr>
          <w:rFonts w:hint="eastAsia" w:ascii="宋体" w:hAnsi="宋体"/>
          <w:b/>
          <w:bCs/>
          <w:sz w:val="30"/>
          <w:szCs w:val="30"/>
          <w:lang w:val="zh-CN"/>
        </w:rPr>
        <w:t>第一章 招标公告</w:t>
      </w:r>
    </w:p>
    <w:p>
      <w:pPr>
        <w:spacing w:line="360" w:lineRule="auto"/>
        <w:ind w:firstLine="480" w:firstLineChars="200"/>
        <w:rPr>
          <w:rFonts w:hint="eastAsia" w:ascii="宋体" w:hAnsi="宋体"/>
          <w:sz w:val="24"/>
        </w:rPr>
      </w:pPr>
      <w:r>
        <w:rPr>
          <w:rFonts w:hint="eastAsia" w:ascii="宋体" w:hAnsi="宋体"/>
          <w:sz w:val="24"/>
        </w:rPr>
        <w:t>根据浙江大学医学院附属第四医院工会管理的要求, 对我院2023年员工端午实物慰问品进行公开的招标采购。投标单位在投标之前必须认真阅读本招标文件的说明、表格、条件及规范等所有内容，投标方因未能遵循此要求而造成的对本招标文件所要求投标方提供的任何资料、信息、数据的遗漏或任何非针对招标文件要求项目的报价，均须自担风险并承担可能导致其投标文件被招标方拒绝的后果。</w:t>
      </w:r>
    </w:p>
    <w:p>
      <w:pPr>
        <w:numPr>
          <w:ilvl w:val="0"/>
          <w:numId w:val="1"/>
        </w:numPr>
        <w:spacing w:line="360" w:lineRule="auto"/>
        <w:rPr>
          <w:rFonts w:ascii="宋体" w:hAnsi="宋体"/>
          <w:sz w:val="24"/>
          <w:highlight w:val="none"/>
          <w:u w:val="single"/>
        </w:rPr>
      </w:pPr>
      <w:r>
        <w:rPr>
          <w:rFonts w:hint="eastAsia" w:ascii="宋体" w:hAnsi="宋体"/>
          <w:sz w:val="24"/>
          <w:highlight w:val="none"/>
        </w:rPr>
        <w:t>项目编号: ZSGH-202</w:t>
      </w:r>
      <w:r>
        <w:rPr>
          <w:rFonts w:hint="eastAsia" w:ascii="宋体" w:hAnsi="宋体"/>
          <w:sz w:val="24"/>
          <w:highlight w:val="none"/>
          <w:lang w:val="en-US" w:eastAsia="zh-CN"/>
        </w:rPr>
        <w:t>3-01</w:t>
      </w:r>
    </w:p>
    <w:p>
      <w:pPr>
        <w:numPr>
          <w:ilvl w:val="0"/>
          <w:numId w:val="1"/>
        </w:numPr>
        <w:spacing w:line="360" w:lineRule="auto"/>
        <w:rPr>
          <w:rFonts w:ascii="宋体" w:hAnsi="宋体"/>
          <w:color w:val="auto"/>
          <w:sz w:val="24"/>
          <w:highlight w:val="none"/>
        </w:rPr>
      </w:pPr>
      <w:r>
        <w:rPr>
          <w:rFonts w:hint="eastAsia" w:ascii="宋体" w:hAnsi="宋体"/>
          <w:color w:val="auto"/>
          <w:sz w:val="24"/>
          <w:szCs w:val="24"/>
          <w:highlight w:val="none"/>
        </w:rPr>
        <w:t>采购组织类型：</w:t>
      </w:r>
      <w:r>
        <w:rPr>
          <w:rFonts w:hint="eastAsia" w:ascii="宋体" w:hAnsi="宋体"/>
          <w:color w:val="auto"/>
          <w:sz w:val="24"/>
          <w:szCs w:val="24"/>
          <w:highlight w:val="none"/>
          <w:lang w:val="en-US" w:eastAsia="zh-CN"/>
        </w:rPr>
        <w:t>自行</w:t>
      </w:r>
      <w:r>
        <w:rPr>
          <w:rFonts w:hint="eastAsia" w:ascii="宋体" w:hAnsi="宋体"/>
          <w:color w:val="auto"/>
          <w:sz w:val="24"/>
          <w:szCs w:val="24"/>
          <w:highlight w:val="none"/>
        </w:rPr>
        <w:t>采购</w:t>
      </w:r>
    </w:p>
    <w:p>
      <w:pPr>
        <w:numPr>
          <w:ilvl w:val="0"/>
          <w:numId w:val="1"/>
        </w:numPr>
        <w:spacing w:line="360" w:lineRule="auto"/>
        <w:rPr>
          <w:rFonts w:ascii="宋体" w:hAnsi="宋体"/>
          <w:color w:val="auto"/>
          <w:sz w:val="24"/>
          <w:highlight w:val="none"/>
        </w:rPr>
      </w:pPr>
      <w:r>
        <w:rPr>
          <w:rFonts w:hint="eastAsia" w:ascii="宋体" w:hAnsi="宋体"/>
          <w:color w:val="auto"/>
          <w:sz w:val="24"/>
          <w:highlight w:val="none"/>
        </w:rPr>
        <w:t>采购方式：竞争性磋商。</w:t>
      </w:r>
    </w:p>
    <w:p>
      <w:pPr>
        <w:numPr>
          <w:ilvl w:val="0"/>
          <w:numId w:val="1"/>
        </w:numPr>
        <w:spacing w:line="360" w:lineRule="auto"/>
        <w:rPr>
          <w:rFonts w:ascii="宋体" w:hAnsi="宋体"/>
          <w:sz w:val="24"/>
          <w:highlight w:val="none"/>
        </w:rPr>
      </w:pPr>
      <w:r>
        <w:rPr>
          <w:rFonts w:ascii="宋体" w:hAnsi="宋体"/>
          <w:sz w:val="24"/>
          <w:highlight w:val="none"/>
        </w:rPr>
        <w:t>采购人</w:t>
      </w:r>
      <w:r>
        <w:rPr>
          <w:rFonts w:hint="eastAsia" w:ascii="宋体" w:hAnsi="宋体"/>
          <w:sz w:val="24"/>
          <w:highlight w:val="none"/>
        </w:rPr>
        <w:t>：</w:t>
      </w:r>
      <w:r>
        <w:rPr>
          <w:rFonts w:hint="eastAsia" w:ascii="宋体" w:hAnsi="宋体" w:cs="宋体"/>
          <w:kern w:val="0"/>
          <w:sz w:val="24"/>
          <w:szCs w:val="24"/>
          <w:highlight w:val="none"/>
        </w:rPr>
        <w:t>浙江大学医学院附属第四医院</w:t>
      </w:r>
    </w:p>
    <w:p>
      <w:pPr>
        <w:numPr>
          <w:ilvl w:val="0"/>
          <w:numId w:val="1"/>
        </w:numPr>
        <w:spacing w:line="360" w:lineRule="auto"/>
        <w:rPr>
          <w:rFonts w:ascii="宋体" w:hAnsi="宋体"/>
          <w:sz w:val="24"/>
          <w:highlight w:val="none"/>
        </w:rPr>
      </w:pPr>
      <w:r>
        <w:rPr>
          <w:rFonts w:hint="eastAsia" w:ascii="宋体" w:hAnsi="宋体"/>
          <w:sz w:val="24"/>
          <w:highlight w:val="none"/>
        </w:rPr>
        <w:t>采购内容：2023年员工端午实物慰问品</w:t>
      </w:r>
    </w:p>
    <w:p>
      <w:pPr>
        <w:numPr>
          <w:ilvl w:val="0"/>
          <w:numId w:val="1"/>
        </w:numPr>
        <w:spacing w:line="360" w:lineRule="auto"/>
        <w:rPr>
          <w:rFonts w:ascii="宋体" w:hAnsi="宋体"/>
          <w:sz w:val="24"/>
          <w:highlight w:val="none"/>
        </w:rPr>
      </w:pPr>
      <w:r>
        <w:rPr>
          <w:rFonts w:ascii="宋体" w:hAnsi="宋体"/>
          <w:sz w:val="24"/>
          <w:highlight w:val="none"/>
        </w:rPr>
        <w:t>采购预算</w:t>
      </w:r>
      <w:r>
        <w:rPr>
          <w:rFonts w:hint="eastAsia" w:ascii="宋体" w:hAnsi="宋体"/>
          <w:sz w:val="24"/>
          <w:highlight w:val="none"/>
        </w:rPr>
        <w:t>及最高限价：</w:t>
      </w:r>
      <w:r>
        <w:rPr>
          <w:rFonts w:hint="eastAsia" w:ascii="宋体" w:hAnsi="宋体" w:cs="宋体"/>
          <w:b/>
          <w:kern w:val="0"/>
          <w:sz w:val="24"/>
          <w:szCs w:val="24"/>
          <w:highlight w:val="none"/>
        </w:rPr>
        <w:t>人均</w:t>
      </w:r>
      <w:r>
        <w:rPr>
          <w:rFonts w:hint="eastAsia" w:ascii="宋体" w:hAnsi="宋体" w:cs="宋体"/>
          <w:b/>
          <w:kern w:val="0"/>
          <w:sz w:val="24"/>
          <w:szCs w:val="24"/>
          <w:highlight w:val="none"/>
          <w:lang w:val="en-US" w:eastAsia="zh-CN"/>
        </w:rPr>
        <w:t>120</w:t>
      </w:r>
      <w:r>
        <w:rPr>
          <w:rFonts w:ascii="宋体" w:hAnsi="宋体" w:cs="宋体"/>
          <w:b/>
          <w:kern w:val="0"/>
          <w:sz w:val="24"/>
          <w:szCs w:val="24"/>
          <w:highlight w:val="none"/>
        </w:rPr>
        <w:t xml:space="preserve"> </w:t>
      </w:r>
      <w:r>
        <w:rPr>
          <w:rFonts w:hint="eastAsia" w:ascii="宋体" w:hAnsi="宋体" w:cs="宋体"/>
          <w:b/>
          <w:kern w:val="0"/>
          <w:sz w:val="24"/>
          <w:szCs w:val="24"/>
          <w:highlight w:val="none"/>
        </w:rPr>
        <w:t>元，</w:t>
      </w:r>
      <w:r>
        <w:rPr>
          <w:rFonts w:hint="eastAsia" w:ascii="宋体" w:hAnsi="宋体" w:cs="宋体"/>
          <w:b/>
          <w:kern w:val="0"/>
          <w:sz w:val="24"/>
          <w:szCs w:val="24"/>
          <w:highlight w:val="none"/>
          <w:lang w:val="en-US" w:eastAsia="zh-CN"/>
        </w:rPr>
        <w:t>2400</w:t>
      </w:r>
      <w:r>
        <w:rPr>
          <w:rFonts w:hint="eastAsia" w:ascii="宋体" w:hAnsi="宋体" w:cs="宋体"/>
          <w:b/>
          <w:kern w:val="0"/>
          <w:sz w:val="24"/>
          <w:szCs w:val="24"/>
          <w:highlight w:val="none"/>
        </w:rPr>
        <w:t>人，最高限价</w:t>
      </w:r>
      <w:r>
        <w:rPr>
          <w:rFonts w:hint="eastAsia" w:ascii="宋体" w:hAnsi="宋体" w:cs="宋体"/>
          <w:b/>
          <w:kern w:val="0"/>
          <w:sz w:val="24"/>
          <w:szCs w:val="24"/>
          <w:highlight w:val="none"/>
          <w:lang w:val="en-US" w:eastAsia="zh-CN"/>
        </w:rPr>
        <w:t>288000</w:t>
      </w:r>
      <w:r>
        <w:rPr>
          <w:rFonts w:hint="eastAsia" w:ascii="宋体" w:hAnsi="宋体" w:cs="宋体"/>
          <w:b/>
          <w:kern w:val="0"/>
          <w:sz w:val="24"/>
          <w:szCs w:val="24"/>
          <w:highlight w:val="none"/>
        </w:rPr>
        <w:t>元</w:t>
      </w:r>
      <w:r>
        <w:rPr>
          <w:rFonts w:hint="eastAsia" w:ascii="宋体" w:hAnsi="宋体" w:cs="宋体"/>
          <w:kern w:val="0"/>
          <w:sz w:val="24"/>
          <w:szCs w:val="24"/>
          <w:highlight w:val="none"/>
        </w:rPr>
        <w:t>，投标报价高于最高限价的，其投标均为无效标。</w:t>
      </w:r>
    </w:p>
    <w:p>
      <w:pPr>
        <w:numPr>
          <w:ilvl w:val="0"/>
          <w:numId w:val="1"/>
        </w:numPr>
        <w:spacing w:line="360" w:lineRule="auto"/>
        <w:rPr>
          <w:rFonts w:ascii="宋体" w:hAnsi="宋体"/>
          <w:color w:val="auto"/>
          <w:sz w:val="24"/>
          <w:highlight w:val="none"/>
        </w:rPr>
      </w:pPr>
      <w:r>
        <w:rPr>
          <w:rFonts w:ascii="宋体" w:hAnsi="宋体" w:cs="宋体"/>
          <w:color w:val="auto"/>
          <w:kern w:val="0"/>
          <w:sz w:val="24"/>
          <w:szCs w:val="24"/>
          <w:highlight w:val="none"/>
        </w:rPr>
        <w:t>评标方法</w:t>
      </w:r>
      <w:r>
        <w:rPr>
          <w:rFonts w:hint="eastAsia" w:ascii="宋体" w:hAnsi="宋体" w:cs="宋体"/>
          <w:color w:val="auto"/>
          <w:kern w:val="0"/>
          <w:sz w:val="24"/>
          <w:szCs w:val="24"/>
          <w:highlight w:val="none"/>
        </w:rPr>
        <w:t>：综合评分法。</w:t>
      </w:r>
    </w:p>
    <w:p>
      <w:pPr>
        <w:numPr>
          <w:ilvl w:val="0"/>
          <w:numId w:val="1"/>
        </w:numPr>
        <w:spacing w:line="360" w:lineRule="auto"/>
        <w:rPr>
          <w:rFonts w:ascii="宋体" w:hAnsi="宋体"/>
          <w:sz w:val="24"/>
          <w:highlight w:val="none"/>
        </w:rPr>
      </w:pPr>
      <w:r>
        <w:rPr>
          <w:rFonts w:ascii="宋体" w:hAnsi="宋体" w:cs="宋体"/>
          <w:kern w:val="0"/>
          <w:sz w:val="24"/>
          <w:szCs w:val="24"/>
          <w:highlight w:val="none"/>
        </w:rPr>
        <w:t>合作期限</w:t>
      </w:r>
      <w:r>
        <w:rPr>
          <w:rFonts w:hint="eastAsia" w:ascii="宋体" w:hAnsi="宋体" w:cs="宋体"/>
          <w:kern w:val="0"/>
          <w:sz w:val="24"/>
          <w:szCs w:val="24"/>
          <w:highlight w:val="none"/>
        </w:rPr>
        <w:t>：</w:t>
      </w:r>
      <w:r>
        <w:rPr>
          <w:rFonts w:ascii="宋体" w:hAnsi="宋体" w:cs="宋体"/>
          <w:kern w:val="0"/>
          <w:sz w:val="24"/>
          <w:szCs w:val="24"/>
          <w:highlight w:val="none"/>
        </w:rPr>
        <w:t>一次性供货</w:t>
      </w:r>
    </w:p>
    <w:p>
      <w:pPr>
        <w:numPr>
          <w:ilvl w:val="0"/>
          <w:numId w:val="1"/>
        </w:numPr>
        <w:spacing w:line="360" w:lineRule="auto"/>
        <w:rPr>
          <w:rFonts w:ascii="宋体" w:hAnsi="宋体"/>
          <w:color w:val="auto"/>
          <w:sz w:val="24"/>
          <w:highlight w:val="none"/>
        </w:rPr>
      </w:pPr>
      <w:r>
        <w:rPr>
          <w:rFonts w:hint="eastAsia" w:ascii="宋体" w:hAnsi="宋体"/>
          <w:color w:val="auto"/>
          <w:sz w:val="24"/>
          <w:highlight w:val="none"/>
        </w:rPr>
        <w:t>供应商的资格要求：</w:t>
      </w:r>
    </w:p>
    <w:p>
      <w:pPr>
        <w:pStyle w:val="22"/>
        <w:widowControl/>
        <w:spacing w:line="360" w:lineRule="auto"/>
        <w:ind w:left="480" w:firstLine="0" w:firstLineChars="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1．符合《中华人民共和国政府采购法》第二十二条的规定：</w:t>
      </w:r>
    </w:p>
    <w:p>
      <w:pPr>
        <w:pStyle w:val="22"/>
        <w:widowControl/>
        <w:spacing w:line="360" w:lineRule="auto"/>
        <w:ind w:left="480" w:firstLine="0" w:firstLineChars="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（1）具有独立法人资格，具备承担民事责任的能力；</w:t>
      </w:r>
    </w:p>
    <w:p>
      <w:pPr>
        <w:pStyle w:val="22"/>
        <w:widowControl/>
        <w:spacing w:line="360" w:lineRule="auto"/>
        <w:ind w:left="480" w:firstLine="0" w:firstLineChars="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（2）具有良好的商业信誉和健全的财务会计制度；</w:t>
      </w:r>
    </w:p>
    <w:p>
      <w:pPr>
        <w:pStyle w:val="22"/>
        <w:widowControl/>
        <w:spacing w:line="360" w:lineRule="auto"/>
        <w:ind w:left="480" w:firstLine="0" w:firstLineChars="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（3）具有履行合同所必需的设备和专业技术能力；</w:t>
      </w:r>
    </w:p>
    <w:p>
      <w:pPr>
        <w:pStyle w:val="22"/>
        <w:widowControl/>
        <w:spacing w:line="360" w:lineRule="auto"/>
        <w:ind w:left="480" w:firstLine="0" w:firstLineChars="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（4）有依法缴纳税收和社会保障资金的良好记录；</w:t>
      </w:r>
    </w:p>
    <w:p>
      <w:pPr>
        <w:pStyle w:val="22"/>
        <w:widowControl/>
        <w:spacing w:line="360" w:lineRule="auto"/>
        <w:ind w:left="480" w:firstLine="0" w:firstLineChars="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（5）参加政府采购活动前三年内，在经营活动中没有重大违法记录。</w:t>
      </w:r>
    </w:p>
    <w:p>
      <w:pPr>
        <w:pStyle w:val="22"/>
        <w:widowControl/>
        <w:numPr>
          <w:ilvl w:val="0"/>
          <w:numId w:val="2"/>
        </w:numPr>
        <w:spacing w:line="360" w:lineRule="auto"/>
        <w:ind w:firstLineChars="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供应商未被列入“信用中国”网(</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ascii="宋体" w:hAnsi="宋体" w:cs="宋体"/>
          <w:color w:val="auto"/>
          <w:kern w:val="0"/>
          <w:sz w:val="24"/>
          <w:szCs w:val="24"/>
          <w:highlight w:val="none"/>
        </w:rPr>
        <w:t>www.creditchina.gov.cn</w:t>
      </w:r>
      <w:r>
        <w:rPr>
          <w:rFonts w:hint="eastAsia" w:ascii="宋体" w:hAnsi="宋体" w:cs="宋体"/>
          <w:color w:val="auto"/>
          <w:kern w:val="0"/>
          <w:sz w:val="24"/>
          <w:szCs w:val="24"/>
          <w:highlight w:val="none"/>
        </w:rPr>
        <w:fldChar w:fldCharType="end"/>
      </w:r>
      <w:r>
        <w:rPr>
          <w:rFonts w:hint="eastAsia" w:ascii="宋体" w:hAnsi="宋体" w:cs="宋体"/>
          <w:color w:val="auto"/>
          <w:kern w:val="0"/>
          <w:sz w:val="24"/>
          <w:szCs w:val="24"/>
          <w:highlight w:val="none"/>
        </w:rPr>
        <w:t>)失信被执行人、重大税收违法案件当事人名单、“中国政府采购网”（www.ccgp.gov.cn）政府采购严重违法失信行为记录名单且尚处于禁止参加政府采购活动期内。</w:t>
      </w:r>
    </w:p>
    <w:p>
      <w:pPr>
        <w:pStyle w:val="22"/>
        <w:widowControl/>
        <w:numPr>
          <w:ilvl w:val="0"/>
          <w:numId w:val="2"/>
        </w:numPr>
        <w:spacing w:line="360" w:lineRule="auto"/>
        <w:ind w:firstLineChars="0"/>
        <w:jc w:val="left"/>
        <w:rPr>
          <w:rFonts w:ascii="宋体" w:hAnsi="宋体" w:cs="宋体"/>
          <w:color w:val="auto"/>
          <w:kern w:val="0"/>
          <w:sz w:val="24"/>
          <w:szCs w:val="24"/>
          <w:highlight w:val="none"/>
        </w:rPr>
      </w:pPr>
      <w:bookmarkStart w:id="0" w:name="OLE_LINK1"/>
      <w:bookmarkEnd w:id="0"/>
      <w:bookmarkStart w:id="1" w:name="OLE_LINK2"/>
      <w:bookmarkEnd w:id="1"/>
      <w:r>
        <w:rPr>
          <w:rFonts w:hint="eastAsia" w:ascii="宋体" w:hAnsi="宋体" w:cs="宋体"/>
          <w:color w:val="auto"/>
          <w:kern w:val="0"/>
          <w:sz w:val="24"/>
          <w:szCs w:val="24"/>
          <w:highlight w:val="none"/>
        </w:rPr>
        <w:t>本项目不接受联合体参加磋商，成交人不得分包或转包。</w:t>
      </w:r>
    </w:p>
    <w:p>
      <w:pPr>
        <w:pStyle w:val="22"/>
        <w:widowControl/>
        <w:numPr>
          <w:ilvl w:val="0"/>
          <w:numId w:val="2"/>
        </w:numPr>
        <w:spacing w:line="360" w:lineRule="auto"/>
        <w:ind w:firstLineChars="0"/>
        <w:jc w:val="left"/>
        <w:rPr>
          <w:rFonts w:ascii="宋体" w:hAnsi="宋体" w:cs="宋体"/>
          <w:color w:val="auto"/>
          <w:kern w:val="0"/>
          <w:sz w:val="24"/>
          <w:szCs w:val="24"/>
          <w:highlight w:val="none"/>
        </w:rPr>
      </w:pPr>
      <w:r>
        <w:rPr>
          <w:rFonts w:hint="eastAsia" w:ascii="宋体" w:hAnsi="宋体"/>
          <w:color w:val="auto"/>
          <w:sz w:val="24"/>
          <w:highlight w:val="none"/>
        </w:rPr>
        <w:t>该行业国家规定必备的资质、资格。</w:t>
      </w:r>
      <w:r>
        <w:rPr>
          <w:rFonts w:hint="eastAsia" w:ascii="宋体" w:hAnsi="宋体"/>
          <w:color w:val="auto"/>
          <w:sz w:val="24"/>
          <w:highlight w:val="none"/>
          <w:lang w:val="en-US" w:eastAsia="zh-CN"/>
        </w:rPr>
        <w:t>具有食品经营许可证。</w:t>
      </w:r>
    </w:p>
    <w:p>
      <w:pPr>
        <w:numPr>
          <w:ilvl w:val="0"/>
          <w:numId w:val="1"/>
        </w:numPr>
        <w:spacing w:line="360" w:lineRule="auto"/>
        <w:rPr>
          <w:rFonts w:ascii="宋体" w:hAnsi="宋体"/>
          <w:color w:val="auto"/>
          <w:sz w:val="24"/>
          <w:highlight w:val="none"/>
        </w:rPr>
      </w:pPr>
      <w:r>
        <w:rPr>
          <w:rFonts w:hint="eastAsia" w:ascii="宋体" w:hAnsi="宋体"/>
          <w:color w:val="auto"/>
          <w:sz w:val="24"/>
          <w:highlight w:val="none"/>
        </w:rPr>
        <w:t>磋商文件发放方式：浙江大学医学院附属第四医院网站免费下载</w:t>
      </w:r>
    </w:p>
    <w:p>
      <w:pPr>
        <w:pStyle w:val="22"/>
        <w:numPr>
          <w:ilvl w:val="0"/>
          <w:numId w:val="1"/>
        </w:numPr>
        <w:spacing w:line="360" w:lineRule="auto"/>
        <w:ind w:firstLineChars="0"/>
        <w:rPr>
          <w:rFonts w:ascii="宋体" w:hAnsi="宋体"/>
          <w:sz w:val="24"/>
          <w:highlight w:val="none"/>
        </w:rPr>
      </w:pPr>
      <w:r>
        <w:rPr>
          <w:rFonts w:hint="eastAsia" w:ascii="宋体" w:hAnsi="宋体"/>
          <w:sz w:val="24"/>
          <w:highlight w:val="none"/>
        </w:rPr>
        <w:t>报名方式</w:t>
      </w:r>
      <w:r>
        <w:rPr>
          <w:rFonts w:ascii="宋体" w:hAnsi="宋体"/>
          <w:sz w:val="24"/>
          <w:highlight w:val="none"/>
        </w:rPr>
        <w:t>：</w:t>
      </w:r>
      <w:r>
        <w:rPr>
          <w:rFonts w:hint="eastAsia" w:ascii="宋体" w:hAnsi="宋体"/>
          <w:sz w:val="24"/>
          <w:highlight w:val="none"/>
        </w:rPr>
        <w:t>投标单位必须于</w:t>
      </w:r>
      <w:r>
        <w:rPr>
          <w:rFonts w:hint="eastAsia" w:ascii="宋体" w:hAnsi="宋体"/>
          <w:sz w:val="24"/>
          <w:highlight w:val="none"/>
          <w:lang w:eastAsia="zh-CN"/>
        </w:rPr>
        <w:t>2023</w:t>
      </w:r>
      <w:r>
        <w:rPr>
          <w:rFonts w:hint="eastAsia" w:ascii="宋体" w:hAnsi="宋体"/>
          <w:sz w:val="24"/>
          <w:highlight w:val="none"/>
        </w:rPr>
        <w:t>年</w:t>
      </w:r>
      <w:r>
        <w:rPr>
          <w:rFonts w:hint="eastAsia" w:ascii="宋体" w:hAnsi="宋体" w:cs="Tahoma"/>
          <w:sz w:val="24"/>
          <w:highlight w:val="none"/>
          <w:lang w:val="en-US" w:eastAsia="zh-CN"/>
        </w:rPr>
        <w:t>5</w:t>
      </w:r>
      <w:r>
        <w:rPr>
          <w:rFonts w:hint="eastAsia" w:ascii="宋体" w:hAnsi="宋体"/>
          <w:sz w:val="24"/>
          <w:highlight w:val="none"/>
        </w:rPr>
        <w:t>月</w:t>
      </w:r>
      <w:r>
        <w:rPr>
          <w:rFonts w:hint="eastAsia" w:ascii="宋体" w:hAnsi="宋体"/>
          <w:sz w:val="24"/>
          <w:highlight w:val="none"/>
          <w:lang w:val="en-US" w:eastAsia="zh-CN"/>
        </w:rPr>
        <w:t>29</w:t>
      </w:r>
      <w:r>
        <w:rPr>
          <w:rFonts w:hint="eastAsia" w:ascii="宋体" w:hAnsi="宋体"/>
          <w:sz w:val="24"/>
          <w:highlight w:val="none"/>
        </w:rPr>
        <w:t>日17:00之前将</w:t>
      </w:r>
      <w:r>
        <w:rPr>
          <w:rFonts w:hint="eastAsia"/>
          <w:b/>
          <w:sz w:val="24"/>
          <w:highlight w:val="none"/>
        </w:rPr>
        <w:t>以下</w:t>
      </w:r>
      <w:r>
        <w:rPr>
          <w:b/>
          <w:sz w:val="24"/>
          <w:highlight w:val="none"/>
        </w:rPr>
        <w:t>报名资料</w:t>
      </w:r>
      <w:r>
        <w:rPr>
          <w:highlight w:val="none"/>
        </w:rPr>
        <w:fldChar w:fldCharType="begin"/>
      </w:r>
      <w:r>
        <w:rPr>
          <w:highlight w:val="none"/>
        </w:rPr>
        <w:instrText xml:space="preserve"> HYPERLINK "mailto:发送至邮箱zshqzb@163.com" </w:instrText>
      </w:r>
      <w:r>
        <w:rPr>
          <w:highlight w:val="none"/>
        </w:rPr>
        <w:fldChar w:fldCharType="separate"/>
      </w:r>
      <w:r>
        <w:rPr>
          <w:rStyle w:val="15"/>
          <w:rFonts w:hint="eastAsia" w:ascii="宋体" w:hAnsi="宋体"/>
          <w:sz w:val="24"/>
          <w:highlight w:val="none"/>
        </w:rPr>
        <w:t>发送至邮箱</w:t>
      </w:r>
      <w:r>
        <w:rPr>
          <w:rStyle w:val="15"/>
          <w:rFonts w:ascii="宋体" w:hAnsi="宋体"/>
          <w:b/>
          <w:sz w:val="24"/>
          <w:highlight w:val="none"/>
        </w:rPr>
        <w:t>zshqzb@163.com</w:t>
      </w:r>
      <w:r>
        <w:rPr>
          <w:rStyle w:val="15"/>
          <w:rFonts w:ascii="宋体" w:hAnsi="宋体"/>
          <w:b/>
          <w:sz w:val="24"/>
          <w:highlight w:val="none"/>
        </w:rPr>
        <w:fldChar w:fldCharType="end"/>
      </w:r>
      <w:r>
        <w:rPr>
          <w:rFonts w:hint="eastAsia" w:ascii="宋体" w:hAnsi="宋体"/>
          <w:b/>
          <w:sz w:val="24"/>
          <w:highlight w:val="none"/>
        </w:rPr>
        <w:t>（邮件标题以“投标项目+投标单位”格式命名），</w:t>
      </w:r>
      <w:r>
        <w:rPr>
          <w:rFonts w:hint="eastAsia" w:ascii="宋体" w:hAnsi="宋体"/>
          <w:sz w:val="24"/>
          <w:highlight w:val="none"/>
        </w:rPr>
        <w:t>复印件加盖公章的原件在开标当天补交。</w:t>
      </w:r>
    </w:p>
    <w:p>
      <w:pPr>
        <w:pStyle w:val="22"/>
        <w:numPr>
          <w:ilvl w:val="0"/>
          <w:numId w:val="3"/>
        </w:numPr>
        <w:spacing w:line="360" w:lineRule="auto"/>
        <w:ind w:firstLineChars="0"/>
        <w:rPr>
          <w:rFonts w:ascii="宋体" w:hAnsi="宋体"/>
          <w:sz w:val="24"/>
          <w:highlight w:val="none"/>
        </w:rPr>
      </w:pPr>
      <w:r>
        <w:rPr>
          <w:b/>
          <w:sz w:val="24"/>
          <w:highlight w:val="none"/>
        </w:rPr>
        <w:t>单位营业执照</w:t>
      </w:r>
      <w:r>
        <w:rPr>
          <w:rFonts w:hint="eastAsia" w:ascii="宋体" w:hAnsi="宋体"/>
          <w:sz w:val="24"/>
          <w:highlight w:val="none"/>
        </w:rPr>
        <w:t>（加盖单位公章 红章）；</w:t>
      </w:r>
    </w:p>
    <w:p>
      <w:pPr>
        <w:pStyle w:val="22"/>
        <w:numPr>
          <w:ilvl w:val="0"/>
          <w:numId w:val="3"/>
        </w:numPr>
        <w:spacing w:line="360" w:lineRule="auto"/>
        <w:ind w:firstLineChars="0"/>
        <w:rPr>
          <w:rFonts w:ascii="宋体" w:hAnsi="宋体"/>
          <w:sz w:val="24"/>
          <w:highlight w:val="none"/>
        </w:rPr>
      </w:pPr>
      <w:r>
        <w:rPr>
          <w:rFonts w:hint="eastAsia" w:ascii="宋体" w:hAnsi="宋体"/>
          <w:sz w:val="24"/>
          <w:highlight w:val="none"/>
        </w:rPr>
        <w:t>企业法定代表人或授权委托书及被委托人身份证复印件（加盖单位公章）；</w:t>
      </w:r>
    </w:p>
    <w:p>
      <w:pPr>
        <w:pStyle w:val="22"/>
        <w:numPr>
          <w:ilvl w:val="0"/>
          <w:numId w:val="3"/>
        </w:numPr>
        <w:spacing w:line="360" w:lineRule="auto"/>
        <w:ind w:firstLineChars="0"/>
        <w:rPr>
          <w:rFonts w:ascii="宋体" w:hAnsi="宋体"/>
          <w:color w:val="auto"/>
          <w:sz w:val="24"/>
          <w:highlight w:val="none"/>
        </w:rPr>
      </w:pPr>
      <w:r>
        <w:rPr>
          <w:rFonts w:hint="eastAsia" w:ascii="宋体" w:hAnsi="宋体"/>
          <w:sz w:val="24"/>
          <w:highlight w:val="none"/>
        </w:rPr>
        <w:t>投标人联系单（含电话、邮箱等）。</w:t>
      </w:r>
    </w:p>
    <w:p>
      <w:pPr>
        <w:numPr>
          <w:ilvl w:val="0"/>
          <w:numId w:val="1"/>
        </w:numPr>
        <w:spacing w:line="360" w:lineRule="auto"/>
        <w:rPr>
          <w:rFonts w:ascii="宋体" w:hAnsi="宋体"/>
          <w:color w:val="auto"/>
          <w:sz w:val="24"/>
          <w:highlight w:val="none"/>
        </w:rPr>
      </w:pPr>
      <w:r>
        <w:rPr>
          <w:rFonts w:hint="eastAsia" w:ascii="宋体" w:hAnsi="宋体"/>
          <w:color w:val="auto"/>
          <w:sz w:val="24"/>
          <w:highlight w:val="none"/>
        </w:rPr>
        <w:t xml:space="preserve">投标时间和地点： </w:t>
      </w:r>
    </w:p>
    <w:p>
      <w:pPr>
        <w:spacing w:line="360" w:lineRule="auto"/>
        <w:ind w:left="480"/>
        <w:rPr>
          <w:rFonts w:ascii="宋体" w:hAnsi="宋体"/>
          <w:color w:val="auto"/>
          <w:sz w:val="24"/>
          <w:highlight w:val="none"/>
        </w:rPr>
      </w:pPr>
      <w:r>
        <w:rPr>
          <w:rFonts w:hint="eastAsia" w:ascii="宋体" w:hAnsi="宋体"/>
          <w:color w:val="auto"/>
          <w:sz w:val="24"/>
          <w:highlight w:val="none"/>
        </w:rPr>
        <w:t>供应商应于</w:t>
      </w:r>
      <w:r>
        <w:rPr>
          <w:rFonts w:hint="eastAsia" w:ascii="宋体" w:hAnsi="宋体"/>
          <w:color w:val="auto"/>
          <w:sz w:val="24"/>
          <w:highlight w:val="none"/>
          <w:u w:val="single"/>
          <w:lang w:eastAsia="zh-CN"/>
        </w:rPr>
        <w:t>2023</w:t>
      </w:r>
      <w:r>
        <w:rPr>
          <w:rFonts w:hint="eastAsia" w:ascii="宋体" w:hAnsi="宋体"/>
          <w:color w:val="auto"/>
          <w:sz w:val="24"/>
          <w:highlight w:val="none"/>
          <w:u w:val="single"/>
        </w:rPr>
        <w:t>年</w:t>
      </w:r>
      <w:r>
        <w:rPr>
          <w:rFonts w:hint="eastAsia" w:ascii="宋体" w:hAnsi="宋体"/>
          <w:color w:val="auto"/>
          <w:sz w:val="24"/>
          <w:highlight w:val="none"/>
          <w:u w:val="single"/>
          <w:lang w:val="en-US" w:eastAsia="zh-CN"/>
        </w:rPr>
        <w:t>5</w:t>
      </w:r>
      <w:r>
        <w:rPr>
          <w:rFonts w:hint="eastAsia" w:ascii="宋体" w:hAnsi="宋体"/>
          <w:color w:val="auto"/>
          <w:sz w:val="24"/>
          <w:highlight w:val="none"/>
          <w:u w:val="single"/>
        </w:rPr>
        <w:t>月</w:t>
      </w:r>
      <w:r>
        <w:rPr>
          <w:rFonts w:hint="eastAsia" w:ascii="宋体" w:hAnsi="宋体"/>
          <w:color w:val="auto"/>
          <w:sz w:val="24"/>
          <w:highlight w:val="none"/>
          <w:u w:val="single"/>
          <w:lang w:val="en-US" w:eastAsia="zh-CN"/>
        </w:rPr>
        <w:t>30</w:t>
      </w:r>
      <w:r>
        <w:rPr>
          <w:rFonts w:hint="eastAsia" w:ascii="宋体" w:hAnsi="宋体"/>
          <w:color w:val="auto"/>
          <w:sz w:val="24"/>
          <w:highlight w:val="none"/>
          <w:u w:val="single"/>
        </w:rPr>
        <w:t>日</w:t>
      </w:r>
      <w:bookmarkStart w:id="2" w:name="_GoBack"/>
      <w:bookmarkEnd w:id="2"/>
      <w:r>
        <w:rPr>
          <w:rFonts w:hint="eastAsia" w:ascii="宋体" w:hAnsi="宋体"/>
          <w:color w:val="auto"/>
          <w:sz w:val="24"/>
          <w:highlight w:val="none"/>
          <w:u w:val="single"/>
          <w:lang w:val="en-US" w:eastAsia="zh-CN"/>
        </w:rPr>
        <w:t>9</w:t>
      </w:r>
      <w:r>
        <w:rPr>
          <w:rFonts w:hint="eastAsia" w:ascii="宋体" w:hAnsi="宋体"/>
          <w:color w:val="auto"/>
          <w:sz w:val="24"/>
          <w:highlight w:val="none"/>
          <w:u w:val="single"/>
        </w:rPr>
        <w:t>:00前</w:t>
      </w:r>
      <w:r>
        <w:rPr>
          <w:rFonts w:hint="eastAsia" w:ascii="宋体" w:hAnsi="宋体"/>
          <w:color w:val="auto"/>
          <w:sz w:val="24"/>
          <w:highlight w:val="none"/>
        </w:rPr>
        <w:t>将磋商响应文件密封交到投标地点。</w:t>
      </w:r>
    </w:p>
    <w:p>
      <w:pPr>
        <w:spacing w:line="360" w:lineRule="auto"/>
        <w:ind w:left="480"/>
        <w:rPr>
          <w:rFonts w:ascii="宋体" w:hAnsi="宋体"/>
          <w:color w:val="auto"/>
          <w:sz w:val="24"/>
          <w:highlight w:val="none"/>
        </w:rPr>
      </w:pPr>
      <w:r>
        <w:rPr>
          <w:rFonts w:hint="eastAsia" w:ascii="宋体" w:hAnsi="宋体"/>
          <w:color w:val="auto"/>
          <w:sz w:val="24"/>
          <w:highlight w:val="none"/>
        </w:rPr>
        <w:t>投标地点：快递邮寄或开标当天投标至浙江大学医学院附属第四医院行政楼104室。</w:t>
      </w:r>
    </w:p>
    <w:p>
      <w:pPr>
        <w:numPr>
          <w:ilvl w:val="0"/>
          <w:numId w:val="1"/>
        </w:numPr>
        <w:tabs>
          <w:tab w:val="clear" w:pos="480"/>
        </w:tabs>
        <w:spacing w:line="360" w:lineRule="auto"/>
        <w:rPr>
          <w:rFonts w:ascii="宋体" w:hAnsi="宋体"/>
          <w:color w:val="auto"/>
          <w:sz w:val="24"/>
          <w:highlight w:val="none"/>
        </w:rPr>
      </w:pPr>
      <w:r>
        <w:rPr>
          <w:rFonts w:hint="eastAsia" w:ascii="宋体" w:hAnsi="宋体"/>
          <w:color w:val="auto"/>
          <w:sz w:val="24"/>
          <w:highlight w:val="none"/>
        </w:rPr>
        <w:t>开标时间和地点：</w:t>
      </w:r>
    </w:p>
    <w:p>
      <w:pPr>
        <w:spacing w:line="360" w:lineRule="auto"/>
        <w:ind w:left="480"/>
        <w:rPr>
          <w:rFonts w:ascii="宋体" w:hAnsi="宋体"/>
          <w:color w:val="auto"/>
          <w:sz w:val="24"/>
          <w:highlight w:val="none"/>
        </w:rPr>
      </w:pPr>
      <w:r>
        <w:rPr>
          <w:rFonts w:hint="eastAsia" w:ascii="宋体" w:hAnsi="宋体"/>
          <w:color w:val="auto"/>
          <w:sz w:val="24"/>
          <w:highlight w:val="none"/>
        </w:rPr>
        <w:t>开标时间：</w:t>
      </w:r>
      <w:r>
        <w:rPr>
          <w:rFonts w:hint="eastAsia" w:ascii="宋体" w:hAnsi="宋体"/>
          <w:color w:val="auto"/>
          <w:sz w:val="24"/>
          <w:highlight w:val="none"/>
          <w:u w:val="single"/>
          <w:lang w:eastAsia="zh-CN"/>
        </w:rPr>
        <w:t>2023</w:t>
      </w:r>
      <w:r>
        <w:rPr>
          <w:rFonts w:hint="eastAsia" w:ascii="宋体" w:hAnsi="宋体"/>
          <w:color w:val="auto"/>
          <w:sz w:val="24"/>
          <w:highlight w:val="none"/>
          <w:u w:val="single"/>
        </w:rPr>
        <w:t>年</w:t>
      </w:r>
      <w:r>
        <w:rPr>
          <w:rFonts w:hint="eastAsia" w:ascii="宋体" w:hAnsi="宋体"/>
          <w:color w:val="auto"/>
          <w:sz w:val="24"/>
          <w:highlight w:val="none"/>
          <w:u w:val="single"/>
          <w:lang w:val="en-US" w:eastAsia="zh-CN"/>
        </w:rPr>
        <w:t>5</w:t>
      </w:r>
      <w:r>
        <w:rPr>
          <w:rFonts w:hint="eastAsia" w:ascii="宋体" w:hAnsi="宋体"/>
          <w:color w:val="auto"/>
          <w:sz w:val="24"/>
          <w:highlight w:val="none"/>
          <w:u w:val="single"/>
        </w:rPr>
        <w:t>月</w:t>
      </w:r>
      <w:r>
        <w:rPr>
          <w:rFonts w:hint="eastAsia" w:ascii="宋体" w:hAnsi="宋体"/>
          <w:color w:val="auto"/>
          <w:sz w:val="24"/>
          <w:highlight w:val="none"/>
          <w:u w:val="single"/>
          <w:lang w:val="en-US" w:eastAsia="zh-CN"/>
        </w:rPr>
        <w:t>30</w:t>
      </w:r>
      <w:r>
        <w:rPr>
          <w:rFonts w:hint="eastAsia" w:ascii="宋体" w:hAnsi="宋体"/>
          <w:color w:val="auto"/>
          <w:sz w:val="24"/>
          <w:highlight w:val="none"/>
          <w:u w:val="single"/>
        </w:rPr>
        <w:t xml:space="preserve">日 </w:t>
      </w:r>
      <w:r>
        <w:rPr>
          <w:rFonts w:hint="eastAsia" w:ascii="宋体" w:hAnsi="宋体"/>
          <w:color w:val="auto"/>
          <w:sz w:val="24"/>
          <w:highlight w:val="none"/>
          <w:u w:val="single"/>
          <w:lang w:val="en-US" w:eastAsia="zh-CN"/>
        </w:rPr>
        <w:t>9</w:t>
      </w:r>
      <w:r>
        <w:rPr>
          <w:rFonts w:hint="eastAsia" w:ascii="宋体" w:hAnsi="宋体"/>
          <w:color w:val="auto"/>
          <w:sz w:val="24"/>
          <w:highlight w:val="none"/>
          <w:u w:val="single"/>
        </w:rPr>
        <w:t xml:space="preserve">:00 </w:t>
      </w:r>
    </w:p>
    <w:p>
      <w:pPr>
        <w:spacing w:line="360" w:lineRule="auto"/>
        <w:ind w:left="480"/>
        <w:rPr>
          <w:rFonts w:ascii="宋体" w:hAnsi="宋体"/>
          <w:color w:val="auto"/>
          <w:sz w:val="24"/>
          <w:highlight w:val="none"/>
        </w:rPr>
      </w:pPr>
      <w:r>
        <w:rPr>
          <w:rFonts w:hint="eastAsia" w:ascii="宋体" w:hAnsi="宋体"/>
          <w:color w:val="auto"/>
          <w:sz w:val="24"/>
          <w:highlight w:val="none"/>
        </w:rPr>
        <w:t>开标地点：浙江大学医学院附属第四医院行政楼104室</w:t>
      </w:r>
    </w:p>
    <w:p>
      <w:pPr>
        <w:numPr>
          <w:ilvl w:val="0"/>
          <w:numId w:val="1"/>
        </w:numPr>
        <w:tabs>
          <w:tab w:val="clear" w:pos="480"/>
        </w:tabs>
        <w:spacing w:line="360" w:lineRule="auto"/>
        <w:rPr>
          <w:rFonts w:ascii="宋体" w:hAnsi="宋体"/>
          <w:color w:val="auto"/>
          <w:sz w:val="24"/>
          <w:highlight w:val="none"/>
        </w:rPr>
      </w:pPr>
      <w:r>
        <w:rPr>
          <w:rFonts w:hint="eastAsia" w:ascii="宋体" w:hAnsi="宋体"/>
          <w:color w:val="auto"/>
          <w:sz w:val="24"/>
          <w:highlight w:val="none"/>
        </w:rPr>
        <w:t>联系地址和电话：</w:t>
      </w:r>
    </w:p>
    <w:p>
      <w:pPr>
        <w:spacing w:line="360" w:lineRule="auto"/>
        <w:ind w:left="480"/>
        <w:rPr>
          <w:rFonts w:ascii="宋体" w:hAnsi="宋体"/>
          <w:color w:val="auto"/>
          <w:sz w:val="24"/>
          <w:highlight w:val="none"/>
        </w:rPr>
      </w:pPr>
      <w:r>
        <w:rPr>
          <w:rFonts w:hint="eastAsia" w:ascii="宋体" w:hAnsi="宋体"/>
          <w:color w:val="auto"/>
          <w:sz w:val="24"/>
          <w:highlight w:val="none"/>
        </w:rPr>
        <w:t>地  址：浙江大学医学院附属第四医院行政楼104室</w:t>
      </w:r>
    </w:p>
    <w:p>
      <w:pPr>
        <w:spacing w:line="360" w:lineRule="auto"/>
        <w:ind w:left="480"/>
        <w:rPr>
          <w:rFonts w:ascii="宋体" w:hAnsi="宋体"/>
          <w:color w:val="auto"/>
          <w:sz w:val="24"/>
          <w:highlight w:val="none"/>
        </w:rPr>
      </w:pPr>
      <w:r>
        <w:rPr>
          <w:rFonts w:hint="eastAsia" w:ascii="宋体" w:hAnsi="宋体"/>
          <w:color w:val="auto"/>
          <w:sz w:val="24"/>
          <w:highlight w:val="none"/>
        </w:rPr>
        <w:t xml:space="preserve">联系人：吴老师 </w:t>
      </w:r>
    </w:p>
    <w:p>
      <w:pPr>
        <w:spacing w:line="360" w:lineRule="auto"/>
        <w:ind w:left="480"/>
        <w:rPr>
          <w:rFonts w:ascii="宋体" w:hAnsi="宋体"/>
          <w:color w:val="auto"/>
          <w:sz w:val="24"/>
          <w:highlight w:val="none"/>
          <w:u w:val="single"/>
        </w:rPr>
      </w:pPr>
      <w:r>
        <w:rPr>
          <w:rFonts w:hint="eastAsia" w:ascii="宋体" w:hAnsi="宋体"/>
          <w:color w:val="auto"/>
          <w:sz w:val="24"/>
          <w:highlight w:val="none"/>
        </w:rPr>
        <w:t>联系电话：</w:t>
      </w:r>
      <w:r>
        <w:rPr>
          <w:rFonts w:hint="eastAsia" w:ascii="宋体" w:hAnsi="宋体"/>
          <w:color w:val="auto"/>
          <w:sz w:val="24"/>
          <w:highlight w:val="none"/>
          <w:u w:val="single"/>
        </w:rPr>
        <w:t xml:space="preserve"> 0579-89935103</w:t>
      </w:r>
    </w:p>
    <w:p>
      <w:pPr>
        <w:numPr>
          <w:ilvl w:val="0"/>
          <w:numId w:val="1"/>
        </w:numPr>
        <w:tabs>
          <w:tab w:val="clear" w:pos="480"/>
        </w:tabs>
        <w:spacing w:line="360" w:lineRule="auto"/>
        <w:rPr>
          <w:rFonts w:ascii="宋体" w:hAnsi="宋体"/>
          <w:color w:val="auto"/>
          <w:sz w:val="24"/>
          <w:highlight w:val="none"/>
        </w:rPr>
      </w:pPr>
      <w:r>
        <w:rPr>
          <w:rFonts w:ascii="宋体" w:hAnsi="宋体"/>
          <w:color w:val="auto"/>
          <w:sz w:val="24"/>
          <w:highlight w:val="none"/>
        </w:rPr>
        <w:t>其他</w:t>
      </w:r>
    </w:p>
    <w:p>
      <w:pPr>
        <w:widowControl/>
        <w:spacing w:line="420" w:lineRule="atLeast"/>
        <w:rPr>
          <w:rFonts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 xml:space="preserve">   1</w:t>
      </w:r>
      <w:r>
        <w:rPr>
          <w:rFonts w:hint="eastAsia" w:ascii="宋体" w:hAnsi="宋体"/>
          <w:color w:val="auto"/>
          <w:sz w:val="24"/>
          <w:highlight w:val="none"/>
        </w:rPr>
        <w:t>、</w:t>
      </w:r>
      <w:r>
        <w:rPr>
          <w:rFonts w:ascii="宋体" w:hAnsi="宋体"/>
          <w:color w:val="auto"/>
          <w:sz w:val="24"/>
          <w:highlight w:val="none"/>
        </w:rPr>
        <w:t>“★”标记系指必须满足不能负偏离或必须应答的条款。如不能响应</w:t>
      </w:r>
      <w:r>
        <w:rPr>
          <w:rFonts w:hint="eastAsia" w:ascii="宋体" w:hAnsi="宋体"/>
          <w:color w:val="auto"/>
          <w:sz w:val="24"/>
          <w:highlight w:val="none"/>
        </w:rPr>
        <w:t>，</w:t>
      </w:r>
      <w:r>
        <w:rPr>
          <w:rFonts w:ascii="宋体" w:hAnsi="宋体"/>
          <w:color w:val="auto"/>
          <w:sz w:val="24"/>
          <w:highlight w:val="none"/>
        </w:rPr>
        <w:t>作废标处理</w:t>
      </w:r>
      <w:r>
        <w:rPr>
          <w:rFonts w:hint="eastAsia" w:ascii="宋体" w:hAnsi="宋体"/>
          <w:color w:val="auto"/>
          <w:sz w:val="24"/>
          <w:highlight w:val="none"/>
        </w:rPr>
        <w:t>。</w:t>
      </w:r>
    </w:p>
    <w:p>
      <w:pPr>
        <w:widowControl/>
        <w:spacing w:line="420" w:lineRule="atLeast"/>
        <w:ind w:firstLine="480"/>
        <w:rPr>
          <w:rFonts w:ascii="宋体" w:hAnsi="宋体" w:cs="宋体"/>
          <w:kern w:val="0"/>
          <w:sz w:val="24"/>
          <w:szCs w:val="24"/>
          <w:highlight w:val="none"/>
        </w:rPr>
      </w:pPr>
    </w:p>
    <w:p>
      <w:pPr>
        <w:widowControl/>
        <w:spacing w:line="420" w:lineRule="atLeast"/>
        <w:ind w:firstLine="480"/>
        <w:rPr>
          <w:rFonts w:ascii="仿宋" w:hAnsi="仿宋" w:eastAsia="仿宋" w:cs="宋体"/>
          <w:kern w:val="0"/>
          <w:sz w:val="24"/>
          <w:szCs w:val="24"/>
        </w:rPr>
      </w:pPr>
    </w:p>
    <w:p>
      <w:pPr>
        <w:widowControl/>
        <w:spacing w:line="420" w:lineRule="atLeast"/>
        <w:ind w:firstLine="480"/>
        <w:rPr>
          <w:rFonts w:ascii="仿宋" w:hAnsi="仿宋" w:eastAsia="仿宋" w:cs="宋体"/>
          <w:kern w:val="0"/>
          <w:sz w:val="24"/>
          <w:szCs w:val="24"/>
        </w:rPr>
      </w:pPr>
    </w:p>
    <w:p>
      <w:pPr>
        <w:widowControl/>
        <w:spacing w:line="420" w:lineRule="atLeast"/>
        <w:ind w:firstLine="480"/>
        <w:rPr>
          <w:rFonts w:ascii="仿宋" w:hAnsi="仿宋" w:eastAsia="仿宋" w:cs="宋体"/>
          <w:kern w:val="0"/>
          <w:sz w:val="24"/>
          <w:szCs w:val="24"/>
        </w:rPr>
      </w:pPr>
    </w:p>
    <w:p>
      <w:pPr>
        <w:widowControl/>
        <w:spacing w:line="420" w:lineRule="atLeast"/>
        <w:ind w:firstLine="480"/>
        <w:rPr>
          <w:rFonts w:ascii="仿宋" w:hAnsi="仿宋" w:eastAsia="仿宋" w:cs="宋体"/>
          <w:kern w:val="0"/>
          <w:sz w:val="24"/>
          <w:szCs w:val="24"/>
        </w:rPr>
      </w:pPr>
    </w:p>
    <w:p>
      <w:pPr>
        <w:widowControl/>
        <w:spacing w:line="420" w:lineRule="atLeast"/>
        <w:ind w:firstLine="480"/>
        <w:rPr>
          <w:rFonts w:ascii="仿宋" w:hAnsi="仿宋" w:eastAsia="仿宋" w:cs="宋体"/>
          <w:kern w:val="0"/>
          <w:sz w:val="24"/>
          <w:szCs w:val="24"/>
        </w:rPr>
      </w:pPr>
    </w:p>
    <w:p>
      <w:pPr>
        <w:widowControl/>
        <w:spacing w:line="420" w:lineRule="atLeast"/>
        <w:ind w:firstLine="480"/>
        <w:rPr>
          <w:rFonts w:ascii="仿宋" w:hAnsi="仿宋" w:eastAsia="仿宋" w:cs="宋体"/>
          <w:kern w:val="0"/>
          <w:sz w:val="24"/>
          <w:szCs w:val="24"/>
        </w:rPr>
      </w:pPr>
    </w:p>
    <w:p>
      <w:pPr>
        <w:widowControl/>
        <w:spacing w:line="420" w:lineRule="atLeast"/>
        <w:ind w:firstLine="480"/>
        <w:rPr>
          <w:rFonts w:ascii="仿宋" w:hAnsi="仿宋" w:eastAsia="仿宋" w:cs="宋体"/>
          <w:kern w:val="0"/>
          <w:sz w:val="24"/>
          <w:szCs w:val="24"/>
        </w:rPr>
      </w:pPr>
    </w:p>
    <w:p>
      <w:pPr>
        <w:widowControl/>
        <w:spacing w:line="420" w:lineRule="atLeast"/>
        <w:ind w:firstLine="480"/>
        <w:rPr>
          <w:rFonts w:ascii="仿宋" w:hAnsi="仿宋" w:eastAsia="仿宋" w:cs="宋体"/>
          <w:kern w:val="0"/>
          <w:sz w:val="24"/>
          <w:szCs w:val="24"/>
        </w:rPr>
      </w:pPr>
    </w:p>
    <w:p>
      <w:pPr>
        <w:widowControl/>
        <w:spacing w:line="420" w:lineRule="atLeast"/>
        <w:ind w:firstLine="480"/>
        <w:rPr>
          <w:rFonts w:ascii="仿宋" w:hAnsi="仿宋" w:eastAsia="仿宋" w:cs="宋体"/>
          <w:kern w:val="0"/>
          <w:sz w:val="24"/>
          <w:szCs w:val="24"/>
        </w:rPr>
      </w:pPr>
    </w:p>
    <w:p>
      <w:pPr>
        <w:widowControl/>
        <w:spacing w:line="420" w:lineRule="atLeast"/>
        <w:ind w:firstLine="480"/>
        <w:rPr>
          <w:rFonts w:ascii="仿宋" w:hAnsi="仿宋" w:eastAsia="仿宋" w:cs="宋体"/>
          <w:kern w:val="0"/>
          <w:sz w:val="24"/>
          <w:szCs w:val="24"/>
        </w:rPr>
      </w:pPr>
    </w:p>
    <w:p>
      <w:pPr>
        <w:spacing w:line="360" w:lineRule="auto"/>
        <w:rPr>
          <w:rFonts w:ascii="仿宋" w:hAnsi="仿宋" w:eastAsia="仿宋"/>
          <w:sz w:val="24"/>
        </w:rPr>
      </w:pPr>
    </w:p>
    <w:p>
      <w:pPr>
        <w:autoSpaceDE w:val="0"/>
        <w:autoSpaceDN w:val="0"/>
        <w:adjustRightInd w:val="0"/>
        <w:spacing w:line="360" w:lineRule="auto"/>
        <w:jc w:val="center"/>
        <w:rPr>
          <w:rFonts w:ascii="宋体" w:hAnsi="宋体"/>
          <w:b/>
          <w:bCs/>
          <w:sz w:val="30"/>
          <w:szCs w:val="30"/>
          <w:lang w:val="zh-CN"/>
        </w:rPr>
      </w:pPr>
      <w:r>
        <w:rPr>
          <w:rFonts w:ascii="宋体" w:hAnsi="宋体"/>
          <w:b/>
          <w:bCs/>
          <w:sz w:val="30"/>
          <w:szCs w:val="30"/>
          <w:lang w:val="zh-CN"/>
        </w:rPr>
        <w:t>第二章</w:t>
      </w:r>
      <w:r>
        <w:rPr>
          <w:rFonts w:hint="eastAsia" w:ascii="宋体" w:hAnsi="宋体"/>
          <w:b/>
          <w:bCs/>
          <w:sz w:val="30"/>
          <w:szCs w:val="30"/>
          <w:lang w:val="zh-CN"/>
        </w:rPr>
        <w:t xml:space="preserve"> </w:t>
      </w:r>
      <w:r>
        <w:rPr>
          <w:rFonts w:ascii="宋体" w:hAnsi="宋体"/>
          <w:b/>
          <w:bCs/>
          <w:sz w:val="30"/>
          <w:szCs w:val="30"/>
          <w:lang w:val="zh-CN"/>
        </w:rPr>
        <w:t>投标须知</w:t>
      </w:r>
    </w:p>
    <w:p>
      <w:pPr>
        <w:widowControl/>
        <w:spacing w:line="420" w:lineRule="atLeast"/>
        <w:rPr>
          <w:rFonts w:ascii="宋体" w:hAnsi="宋体"/>
          <w:sz w:val="24"/>
          <w:szCs w:val="21"/>
        </w:rPr>
      </w:pPr>
      <w:r>
        <w:rPr>
          <w:rFonts w:ascii="宋体" w:hAnsi="宋体"/>
          <w:sz w:val="24"/>
          <w:szCs w:val="21"/>
        </w:rPr>
        <w:t>1、适用范围</w:t>
      </w:r>
    </w:p>
    <w:p>
      <w:pPr>
        <w:widowControl/>
        <w:spacing w:line="420" w:lineRule="atLeast"/>
        <w:ind w:firstLine="480"/>
        <w:rPr>
          <w:rFonts w:ascii="宋体" w:hAnsi="宋体"/>
          <w:sz w:val="24"/>
          <w:szCs w:val="21"/>
        </w:rPr>
      </w:pPr>
      <w:r>
        <w:rPr>
          <w:rFonts w:ascii="宋体" w:hAnsi="宋体"/>
          <w:sz w:val="24"/>
          <w:szCs w:val="21"/>
        </w:rPr>
        <w:t>1.1 本招标文件仅适用于本次招标采购所叙述的服务项目。</w:t>
      </w:r>
    </w:p>
    <w:p>
      <w:pPr>
        <w:widowControl/>
        <w:spacing w:line="420" w:lineRule="atLeast"/>
        <w:rPr>
          <w:rFonts w:ascii="宋体" w:hAnsi="宋体"/>
          <w:sz w:val="24"/>
          <w:szCs w:val="21"/>
        </w:rPr>
      </w:pPr>
      <w:r>
        <w:rPr>
          <w:rFonts w:ascii="宋体" w:hAnsi="宋体"/>
          <w:sz w:val="24"/>
          <w:szCs w:val="21"/>
        </w:rPr>
        <w:t>2、定义</w:t>
      </w:r>
    </w:p>
    <w:p>
      <w:pPr>
        <w:widowControl/>
        <w:spacing w:line="420" w:lineRule="atLeast"/>
        <w:ind w:firstLine="480"/>
        <w:rPr>
          <w:rFonts w:ascii="宋体" w:hAnsi="宋体"/>
          <w:sz w:val="24"/>
          <w:szCs w:val="21"/>
        </w:rPr>
      </w:pPr>
      <w:r>
        <w:rPr>
          <w:rFonts w:ascii="宋体" w:hAnsi="宋体"/>
          <w:sz w:val="24"/>
          <w:szCs w:val="21"/>
        </w:rPr>
        <w:t>2.1采购人：系指</w:t>
      </w:r>
      <w:r>
        <w:rPr>
          <w:rFonts w:hint="eastAsia" w:ascii="宋体" w:hAnsi="宋体"/>
          <w:sz w:val="24"/>
          <w:szCs w:val="21"/>
        </w:rPr>
        <w:t>浙江大学医学院附属第四医院</w:t>
      </w:r>
      <w:r>
        <w:rPr>
          <w:rFonts w:ascii="宋体" w:hAnsi="宋体"/>
          <w:sz w:val="24"/>
          <w:szCs w:val="21"/>
        </w:rPr>
        <w:t>。</w:t>
      </w:r>
    </w:p>
    <w:p>
      <w:pPr>
        <w:widowControl/>
        <w:spacing w:line="420" w:lineRule="atLeast"/>
        <w:ind w:firstLine="480"/>
        <w:rPr>
          <w:rFonts w:ascii="宋体" w:hAnsi="宋体"/>
          <w:sz w:val="24"/>
          <w:szCs w:val="21"/>
        </w:rPr>
      </w:pPr>
      <w:r>
        <w:rPr>
          <w:rFonts w:ascii="宋体" w:hAnsi="宋体"/>
          <w:sz w:val="24"/>
          <w:szCs w:val="21"/>
        </w:rPr>
        <w:t>2.2投标人：系指符合采购公告要求的投标供应商。</w:t>
      </w:r>
    </w:p>
    <w:p>
      <w:pPr>
        <w:widowControl/>
        <w:spacing w:line="420" w:lineRule="atLeast"/>
        <w:ind w:firstLine="480"/>
        <w:rPr>
          <w:rFonts w:ascii="宋体" w:hAnsi="宋体"/>
          <w:sz w:val="24"/>
          <w:szCs w:val="21"/>
        </w:rPr>
      </w:pPr>
      <w:r>
        <w:rPr>
          <w:rFonts w:ascii="宋体" w:hAnsi="宋体"/>
          <w:sz w:val="24"/>
          <w:szCs w:val="21"/>
        </w:rPr>
        <w:t>2.3服务：系指招标文件规定投标人须承担的运输、技术支持、培训、维修保养及其它类似的服务。</w:t>
      </w:r>
    </w:p>
    <w:p>
      <w:pPr>
        <w:widowControl/>
        <w:spacing w:line="420" w:lineRule="atLeast"/>
        <w:ind w:firstLine="480"/>
        <w:rPr>
          <w:rFonts w:ascii="宋体" w:hAnsi="宋体"/>
          <w:sz w:val="24"/>
          <w:szCs w:val="21"/>
        </w:rPr>
      </w:pPr>
      <w:r>
        <w:rPr>
          <w:rFonts w:ascii="宋体" w:hAnsi="宋体"/>
          <w:sz w:val="24"/>
          <w:szCs w:val="21"/>
        </w:rPr>
        <w:t>2.4货物：系指按招标文件规定投标人须向采购人提供的一切材料、设备、机械、仪器仪表、工具及其它有关技术资料和文字材料。</w:t>
      </w:r>
    </w:p>
    <w:p>
      <w:pPr>
        <w:widowControl/>
        <w:spacing w:line="420" w:lineRule="atLeast"/>
        <w:ind w:firstLine="480"/>
        <w:rPr>
          <w:rFonts w:ascii="宋体" w:hAnsi="宋体"/>
          <w:sz w:val="24"/>
          <w:szCs w:val="21"/>
        </w:rPr>
      </w:pPr>
      <w:r>
        <w:rPr>
          <w:rFonts w:ascii="宋体" w:hAnsi="宋体"/>
          <w:sz w:val="24"/>
          <w:szCs w:val="21"/>
        </w:rPr>
        <w:t>2.5甲方：即采购人，在招投标阶段称为采购人，在签订和执行合同阶段称为甲方。</w:t>
      </w:r>
    </w:p>
    <w:p>
      <w:pPr>
        <w:widowControl/>
        <w:spacing w:line="420" w:lineRule="atLeast"/>
        <w:ind w:firstLine="480"/>
        <w:rPr>
          <w:rFonts w:ascii="宋体" w:hAnsi="宋体"/>
          <w:sz w:val="24"/>
          <w:szCs w:val="21"/>
        </w:rPr>
      </w:pPr>
      <w:r>
        <w:rPr>
          <w:rFonts w:ascii="宋体" w:hAnsi="宋体"/>
          <w:sz w:val="24"/>
          <w:szCs w:val="21"/>
        </w:rPr>
        <w:t>2.6乙方：在招投标阶段称为投标人，中标后在签订和执行合同阶段称为乙方。</w:t>
      </w:r>
    </w:p>
    <w:p>
      <w:pPr>
        <w:widowControl/>
        <w:spacing w:line="420" w:lineRule="atLeast"/>
        <w:ind w:firstLine="480"/>
        <w:rPr>
          <w:rFonts w:ascii="宋体" w:hAnsi="宋体"/>
          <w:sz w:val="24"/>
          <w:szCs w:val="21"/>
        </w:rPr>
      </w:pPr>
      <w:r>
        <w:rPr>
          <w:rFonts w:ascii="宋体" w:hAnsi="宋体"/>
          <w:sz w:val="24"/>
          <w:szCs w:val="21"/>
        </w:rPr>
        <w:t>2.7“原产地”是指货物开采、生长或生产、或提供有关服务的来源地。</w:t>
      </w:r>
    </w:p>
    <w:p>
      <w:pPr>
        <w:widowControl/>
        <w:spacing w:line="420" w:lineRule="atLeast"/>
        <w:ind w:firstLine="480"/>
        <w:rPr>
          <w:rFonts w:ascii="宋体" w:hAnsi="宋体"/>
          <w:sz w:val="24"/>
          <w:szCs w:val="21"/>
        </w:rPr>
      </w:pPr>
      <w:r>
        <w:rPr>
          <w:rFonts w:ascii="宋体" w:hAnsi="宋体"/>
          <w:sz w:val="24"/>
          <w:szCs w:val="21"/>
        </w:rPr>
        <w:t>2.8“★”标记系指必须满足不能负偏离或必须应答的条款。</w:t>
      </w:r>
    </w:p>
    <w:p>
      <w:pPr>
        <w:widowControl/>
        <w:spacing w:line="420" w:lineRule="atLeast"/>
        <w:rPr>
          <w:rFonts w:ascii="宋体" w:hAnsi="宋体"/>
          <w:sz w:val="24"/>
          <w:szCs w:val="21"/>
        </w:rPr>
      </w:pPr>
      <w:r>
        <w:rPr>
          <w:rFonts w:ascii="宋体" w:hAnsi="宋体"/>
          <w:sz w:val="24"/>
          <w:szCs w:val="21"/>
        </w:rPr>
        <w:t>3、合格的投标人</w:t>
      </w:r>
    </w:p>
    <w:p>
      <w:pPr>
        <w:widowControl/>
        <w:spacing w:line="420" w:lineRule="atLeast"/>
        <w:ind w:firstLine="480"/>
        <w:rPr>
          <w:rFonts w:ascii="宋体" w:hAnsi="宋体"/>
          <w:sz w:val="24"/>
          <w:szCs w:val="21"/>
        </w:rPr>
      </w:pPr>
      <w:r>
        <w:rPr>
          <w:rFonts w:ascii="宋体" w:hAnsi="宋体"/>
          <w:sz w:val="24"/>
          <w:szCs w:val="21"/>
        </w:rPr>
        <w:t>3.1具有独立法人资格。</w:t>
      </w:r>
    </w:p>
    <w:p>
      <w:pPr>
        <w:widowControl/>
        <w:spacing w:line="420" w:lineRule="atLeast"/>
        <w:ind w:firstLine="480"/>
        <w:rPr>
          <w:rFonts w:ascii="宋体" w:hAnsi="宋体"/>
          <w:sz w:val="24"/>
          <w:szCs w:val="21"/>
        </w:rPr>
      </w:pPr>
      <w:r>
        <w:rPr>
          <w:rFonts w:ascii="宋体" w:hAnsi="宋体"/>
          <w:sz w:val="24"/>
          <w:szCs w:val="21"/>
        </w:rPr>
        <w:t>3.2法律、行政法规规定的其它条件。</w:t>
      </w:r>
    </w:p>
    <w:p>
      <w:pPr>
        <w:widowControl/>
        <w:spacing w:line="420" w:lineRule="atLeast"/>
        <w:ind w:firstLine="480"/>
        <w:rPr>
          <w:rFonts w:ascii="宋体" w:hAnsi="宋体"/>
          <w:sz w:val="24"/>
          <w:szCs w:val="21"/>
        </w:rPr>
      </w:pPr>
      <w:r>
        <w:rPr>
          <w:rFonts w:ascii="宋体" w:hAnsi="宋体"/>
          <w:sz w:val="24"/>
          <w:szCs w:val="21"/>
        </w:rPr>
        <w:t>3.3 该行业国家规定必备的资质、资格。</w:t>
      </w:r>
    </w:p>
    <w:p>
      <w:pPr>
        <w:widowControl/>
        <w:spacing w:line="420" w:lineRule="atLeast"/>
        <w:ind w:firstLine="480"/>
        <w:rPr>
          <w:rFonts w:ascii="宋体" w:hAnsi="宋体"/>
          <w:sz w:val="24"/>
          <w:szCs w:val="21"/>
        </w:rPr>
      </w:pPr>
      <w:r>
        <w:rPr>
          <w:rFonts w:ascii="宋体" w:hAnsi="宋体"/>
          <w:sz w:val="24"/>
          <w:szCs w:val="21"/>
        </w:rPr>
        <w:t>3.4采购公告中要求的条件。</w:t>
      </w:r>
    </w:p>
    <w:p>
      <w:pPr>
        <w:widowControl/>
        <w:spacing w:line="420" w:lineRule="atLeast"/>
        <w:rPr>
          <w:rFonts w:ascii="宋体" w:hAnsi="宋体"/>
          <w:sz w:val="24"/>
          <w:szCs w:val="21"/>
        </w:rPr>
      </w:pPr>
      <w:r>
        <w:rPr>
          <w:rFonts w:ascii="宋体" w:hAnsi="宋体"/>
          <w:sz w:val="24"/>
          <w:szCs w:val="21"/>
        </w:rPr>
        <w:t>4、保证</w:t>
      </w:r>
    </w:p>
    <w:p>
      <w:pPr>
        <w:widowControl/>
        <w:spacing w:line="420" w:lineRule="atLeast"/>
        <w:ind w:firstLine="480"/>
        <w:rPr>
          <w:rFonts w:ascii="宋体" w:hAnsi="宋体"/>
          <w:sz w:val="24"/>
          <w:szCs w:val="21"/>
        </w:rPr>
      </w:pPr>
      <w:r>
        <w:rPr>
          <w:rFonts w:ascii="宋体" w:hAnsi="宋体"/>
          <w:sz w:val="24"/>
          <w:szCs w:val="21"/>
        </w:rPr>
        <w:t>4.1投标单位应保证所提交给招标机构和采购人的资料和数据是真实的。</w:t>
      </w:r>
    </w:p>
    <w:p>
      <w:pPr>
        <w:widowControl/>
        <w:spacing w:line="420" w:lineRule="atLeast"/>
        <w:rPr>
          <w:rFonts w:ascii="宋体" w:hAnsi="宋体"/>
          <w:sz w:val="24"/>
          <w:szCs w:val="21"/>
        </w:rPr>
      </w:pPr>
      <w:r>
        <w:rPr>
          <w:rFonts w:ascii="宋体" w:hAnsi="宋体"/>
          <w:sz w:val="24"/>
          <w:szCs w:val="21"/>
        </w:rPr>
        <w:t xml:space="preserve">5、现场勘察 </w:t>
      </w:r>
    </w:p>
    <w:p>
      <w:pPr>
        <w:widowControl/>
        <w:spacing w:line="420" w:lineRule="atLeast"/>
        <w:ind w:firstLine="480"/>
        <w:rPr>
          <w:rFonts w:ascii="宋体" w:hAnsi="宋体"/>
          <w:sz w:val="24"/>
          <w:szCs w:val="21"/>
        </w:rPr>
      </w:pPr>
      <w:r>
        <w:rPr>
          <w:rFonts w:ascii="宋体" w:hAnsi="宋体"/>
          <w:sz w:val="24"/>
          <w:szCs w:val="21"/>
        </w:rPr>
        <w:t>5.1采购方不统一组织投标方前往项目实施场地踏勘，根据项目实际投标需求，投标方可自行前往项目实施场地进行现场探勘，以获取编制投标文件所需资料，如投标方因未现场踏勘原因导致投标文件出现错误或遗漏的，由投标方自行承担责任。</w:t>
      </w:r>
    </w:p>
    <w:p>
      <w:pPr>
        <w:widowControl/>
        <w:spacing w:line="420" w:lineRule="atLeast"/>
        <w:ind w:firstLine="480"/>
        <w:rPr>
          <w:rFonts w:ascii="宋体" w:hAnsi="宋体"/>
          <w:sz w:val="24"/>
          <w:szCs w:val="21"/>
        </w:rPr>
      </w:pPr>
      <w:r>
        <w:rPr>
          <w:rFonts w:ascii="宋体" w:hAnsi="宋体"/>
          <w:sz w:val="24"/>
          <w:szCs w:val="21"/>
        </w:rPr>
        <w:t xml:space="preserve">5.2投标单位在考察过程中发生的各类事件及所发生的各项费用，均由投标单位自行承担。采购人和代理机构概不负责。 </w:t>
      </w:r>
    </w:p>
    <w:p>
      <w:pPr>
        <w:widowControl/>
        <w:spacing w:line="420" w:lineRule="atLeast"/>
        <w:ind w:firstLine="480"/>
        <w:rPr>
          <w:rFonts w:ascii="宋体" w:hAnsi="宋体"/>
          <w:sz w:val="24"/>
          <w:szCs w:val="21"/>
        </w:rPr>
      </w:pPr>
      <w:r>
        <w:rPr>
          <w:rFonts w:ascii="宋体" w:hAnsi="宋体"/>
          <w:sz w:val="24"/>
          <w:szCs w:val="21"/>
        </w:rPr>
        <w:t>5.3采购人向投标单位提供的有关现场的数据和资料，是采购人现有的能被投标人利用的资料，采购人对投标人据此做出的任何推论、理解和结论不负责任。</w:t>
      </w:r>
    </w:p>
    <w:p>
      <w:pPr>
        <w:widowControl/>
        <w:spacing w:line="420" w:lineRule="atLeast"/>
        <w:ind w:firstLine="480"/>
        <w:rPr>
          <w:rFonts w:ascii="宋体" w:hAnsi="宋体"/>
          <w:sz w:val="24"/>
          <w:szCs w:val="21"/>
        </w:rPr>
      </w:pPr>
      <w:r>
        <w:rPr>
          <w:rFonts w:ascii="宋体" w:hAnsi="宋体"/>
          <w:sz w:val="24"/>
          <w:szCs w:val="21"/>
        </w:rPr>
        <w:t>5.4现场踏勘完毕，将认为投标人己了解现场情况，并充分理解了为之所承担的风险、义务和责任。</w:t>
      </w:r>
    </w:p>
    <w:p>
      <w:pPr>
        <w:widowControl/>
        <w:spacing w:line="420" w:lineRule="atLeast"/>
        <w:rPr>
          <w:rFonts w:ascii="宋体" w:hAnsi="宋体"/>
          <w:sz w:val="24"/>
          <w:szCs w:val="21"/>
        </w:rPr>
      </w:pPr>
      <w:r>
        <w:rPr>
          <w:rFonts w:ascii="宋体" w:hAnsi="宋体"/>
          <w:sz w:val="24"/>
          <w:szCs w:val="21"/>
        </w:rPr>
        <w:t>6、联合体投标</w:t>
      </w:r>
    </w:p>
    <w:p>
      <w:pPr>
        <w:widowControl/>
        <w:spacing w:line="420" w:lineRule="atLeast"/>
        <w:ind w:firstLine="480"/>
        <w:rPr>
          <w:rFonts w:ascii="宋体" w:hAnsi="宋体"/>
          <w:sz w:val="24"/>
          <w:szCs w:val="21"/>
        </w:rPr>
      </w:pPr>
      <w:r>
        <w:rPr>
          <w:rFonts w:ascii="宋体" w:hAnsi="宋体"/>
          <w:sz w:val="24"/>
          <w:szCs w:val="21"/>
        </w:rPr>
        <w:t>本项目不接受联合体投标。</w:t>
      </w:r>
    </w:p>
    <w:p>
      <w:pPr>
        <w:widowControl/>
        <w:spacing w:line="420" w:lineRule="atLeast"/>
        <w:rPr>
          <w:rFonts w:ascii="宋体" w:hAnsi="宋体"/>
          <w:sz w:val="24"/>
          <w:szCs w:val="21"/>
        </w:rPr>
      </w:pPr>
      <w:r>
        <w:rPr>
          <w:rFonts w:ascii="宋体" w:hAnsi="宋体"/>
          <w:sz w:val="24"/>
          <w:szCs w:val="21"/>
        </w:rPr>
        <w:t>7、投标人发生下列情况之一时，除严格依法依规进行处理外，还将通报市信用管理部门，列入严重失信名单：</w:t>
      </w:r>
    </w:p>
    <w:p>
      <w:pPr>
        <w:widowControl/>
        <w:spacing w:line="420" w:lineRule="atLeast"/>
        <w:ind w:firstLine="480"/>
        <w:rPr>
          <w:rFonts w:ascii="宋体" w:hAnsi="宋体"/>
          <w:sz w:val="24"/>
          <w:szCs w:val="21"/>
        </w:rPr>
      </w:pPr>
      <w:r>
        <w:rPr>
          <w:rFonts w:ascii="宋体" w:hAnsi="宋体"/>
          <w:sz w:val="24"/>
          <w:szCs w:val="21"/>
        </w:rPr>
        <w:t>（1）投标人在规定的投标有效期内撤回投标或放弃中标的；</w:t>
      </w:r>
    </w:p>
    <w:p>
      <w:pPr>
        <w:widowControl/>
        <w:spacing w:line="420" w:lineRule="atLeast"/>
        <w:ind w:firstLine="480"/>
        <w:rPr>
          <w:rFonts w:ascii="宋体" w:hAnsi="宋体"/>
          <w:sz w:val="24"/>
          <w:szCs w:val="21"/>
        </w:rPr>
      </w:pPr>
      <w:r>
        <w:rPr>
          <w:rFonts w:ascii="宋体" w:hAnsi="宋体"/>
          <w:sz w:val="24"/>
          <w:szCs w:val="21"/>
        </w:rPr>
        <w:t>（2）有意串标或提供虚假材料者的；</w:t>
      </w:r>
    </w:p>
    <w:p>
      <w:pPr>
        <w:widowControl/>
        <w:spacing w:line="420" w:lineRule="atLeast"/>
        <w:ind w:firstLine="480"/>
        <w:rPr>
          <w:rFonts w:ascii="宋体" w:hAnsi="宋体"/>
          <w:sz w:val="24"/>
          <w:szCs w:val="21"/>
        </w:rPr>
      </w:pPr>
      <w:r>
        <w:rPr>
          <w:rFonts w:ascii="宋体" w:hAnsi="宋体"/>
          <w:sz w:val="24"/>
          <w:szCs w:val="21"/>
        </w:rPr>
        <w:t>（3）中标人在收到中标通知书后，因自身原因不能在投标有效期内和采购人签订合同。</w:t>
      </w:r>
    </w:p>
    <w:p>
      <w:pPr>
        <w:widowControl/>
        <w:spacing w:line="420" w:lineRule="atLeast"/>
        <w:ind w:firstLine="480"/>
        <w:rPr>
          <w:rFonts w:ascii="宋体" w:hAnsi="宋体"/>
          <w:sz w:val="24"/>
          <w:szCs w:val="21"/>
        </w:rPr>
      </w:pPr>
      <w:r>
        <w:rPr>
          <w:rFonts w:ascii="宋体" w:hAnsi="宋体"/>
          <w:sz w:val="24"/>
          <w:szCs w:val="21"/>
        </w:rPr>
        <w:t>（4）中标人未在规定时间缴纳招标代理费的。</w:t>
      </w:r>
    </w:p>
    <w:p>
      <w:pPr>
        <w:widowControl/>
        <w:spacing w:line="420" w:lineRule="atLeast"/>
        <w:ind w:firstLine="480"/>
        <w:rPr>
          <w:rFonts w:ascii="宋体" w:hAnsi="宋体"/>
          <w:sz w:val="24"/>
          <w:szCs w:val="21"/>
        </w:rPr>
      </w:pPr>
      <w:r>
        <w:rPr>
          <w:rFonts w:ascii="宋体" w:hAnsi="宋体"/>
          <w:sz w:val="24"/>
          <w:szCs w:val="21"/>
        </w:rPr>
        <w:t>（5）中标供应商在标后履约过程中未按合同约定的期限和要求履约的。</w:t>
      </w:r>
    </w:p>
    <w:p>
      <w:pPr>
        <w:widowControl/>
        <w:spacing w:line="420" w:lineRule="atLeast"/>
        <w:ind w:firstLine="480"/>
        <w:rPr>
          <w:rFonts w:ascii="宋体" w:hAnsi="宋体"/>
          <w:sz w:val="24"/>
          <w:szCs w:val="21"/>
        </w:rPr>
      </w:pPr>
      <w:r>
        <w:rPr>
          <w:rFonts w:ascii="宋体" w:hAnsi="宋体"/>
          <w:sz w:val="24"/>
          <w:szCs w:val="21"/>
        </w:rPr>
        <w:t>（6）因中标供应商原因在标后履约过程中擅自终止合同的。</w:t>
      </w:r>
    </w:p>
    <w:p>
      <w:pPr>
        <w:widowControl/>
        <w:spacing w:line="420" w:lineRule="atLeast"/>
        <w:ind w:firstLine="480"/>
        <w:rPr>
          <w:rFonts w:ascii="宋体" w:hAnsi="宋体"/>
          <w:sz w:val="24"/>
          <w:szCs w:val="21"/>
        </w:rPr>
      </w:pPr>
      <w:r>
        <w:rPr>
          <w:rFonts w:ascii="宋体" w:hAnsi="宋体"/>
          <w:sz w:val="24"/>
          <w:szCs w:val="21"/>
        </w:rPr>
        <w:t>（7）不符合招标文件要求的其他失信行为。</w:t>
      </w:r>
    </w:p>
    <w:p>
      <w:pPr>
        <w:spacing w:line="360" w:lineRule="auto"/>
        <w:rPr>
          <w:b/>
          <w:sz w:val="36"/>
          <w:szCs w:val="36"/>
        </w:rPr>
      </w:pPr>
    </w:p>
    <w:p>
      <w:pPr>
        <w:spacing w:line="360" w:lineRule="auto"/>
        <w:ind w:firstLine="321" w:firstLineChars="100"/>
        <w:jc w:val="center"/>
        <w:rPr>
          <w:rFonts w:hint="eastAsia" w:ascii="仿宋" w:hAnsi="仿宋" w:eastAsia="仿宋"/>
          <w:b/>
          <w:sz w:val="32"/>
          <w:szCs w:val="32"/>
        </w:rPr>
      </w:pPr>
    </w:p>
    <w:p>
      <w:pPr>
        <w:spacing w:line="360" w:lineRule="auto"/>
        <w:ind w:firstLine="321" w:firstLineChars="100"/>
        <w:jc w:val="center"/>
        <w:rPr>
          <w:rFonts w:hint="eastAsia" w:ascii="仿宋" w:hAnsi="仿宋" w:eastAsia="仿宋"/>
          <w:b/>
          <w:sz w:val="32"/>
          <w:szCs w:val="32"/>
        </w:rPr>
      </w:pPr>
    </w:p>
    <w:p>
      <w:pPr>
        <w:spacing w:line="360" w:lineRule="auto"/>
        <w:ind w:firstLine="321" w:firstLineChars="100"/>
        <w:jc w:val="center"/>
        <w:rPr>
          <w:rFonts w:hint="eastAsia" w:ascii="仿宋" w:hAnsi="仿宋" w:eastAsia="仿宋"/>
          <w:b/>
          <w:sz w:val="32"/>
          <w:szCs w:val="32"/>
        </w:rPr>
      </w:pPr>
    </w:p>
    <w:p>
      <w:pPr>
        <w:spacing w:line="360" w:lineRule="auto"/>
        <w:ind w:firstLine="321" w:firstLineChars="100"/>
        <w:jc w:val="center"/>
        <w:rPr>
          <w:rFonts w:hint="eastAsia" w:ascii="仿宋" w:hAnsi="仿宋" w:eastAsia="仿宋"/>
          <w:b/>
          <w:sz w:val="32"/>
          <w:szCs w:val="32"/>
        </w:rPr>
      </w:pPr>
    </w:p>
    <w:p>
      <w:pPr>
        <w:spacing w:line="360" w:lineRule="auto"/>
        <w:ind w:firstLine="321" w:firstLineChars="100"/>
        <w:jc w:val="center"/>
        <w:rPr>
          <w:rFonts w:hint="eastAsia" w:ascii="仿宋" w:hAnsi="仿宋" w:eastAsia="仿宋"/>
          <w:b/>
          <w:sz w:val="32"/>
          <w:szCs w:val="32"/>
        </w:rPr>
      </w:pPr>
    </w:p>
    <w:p>
      <w:pPr>
        <w:spacing w:line="360" w:lineRule="auto"/>
        <w:ind w:firstLine="321" w:firstLineChars="100"/>
        <w:jc w:val="center"/>
        <w:rPr>
          <w:rFonts w:hint="eastAsia" w:ascii="仿宋" w:hAnsi="仿宋" w:eastAsia="仿宋"/>
          <w:b/>
          <w:sz w:val="32"/>
          <w:szCs w:val="32"/>
        </w:rPr>
      </w:pPr>
    </w:p>
    <w:p>
      <w:pPr>
        <w:spacing w:line="360" w:lineRule="auto"/>
        <w:ind w:firstLine="321" w:firstLineChars="100"/>
        <w:jc w:val="center"/>
        <w:rPr>
          <w:rFonts w:hint="eastAsia" w:ascii="仿宋" w:hAnsi="仿宋" w:eastAsia="仿宋"/>
          <w:b/>
          <w:sz w:val="32"/>
          <w:szCs w:val="32"/>
        </w:rPr>
      </w:pPr>
    </w:p>
    <w:p>
      <w:pPr>
        <w:spacing w:line="360" w:lineRule="auto"/>
        <w:ind w:firstLine="321" w:firstLineChars="100"/>
        <w:jc w:val="center"/>
        <w:rPr>
          <w:rFonts w:hint="eastAsia" w:ascii="仿宋" w:hAnsi="仿宋" w:eastAsia="仿宋"/>
          <w:b/>
          <w:sz w:val="32"/>
          <w:szCs w:val="32"/>
        </w:rPr>
      </w:pPr>
    </w:p>
    <w:p>
      <w:pPr>
        <w:spacing w:line="360" w:lineRule="auto"/>
        <w:ind w:firstLine="321" w:firstLineChars="100"/>
        <w:jc w:val="center"/>
        <w:rPr>
          <w:rFonts w:hint="eastAsia" w:ascii="仿宋" w:hAnsi="仿宋" w:eastAsia="仿宋"/>
          <w:b/>
          <w:sz w:val="32"/>
          <w:szCs w:val="32"/>
        </w:rPr>
      </w:pPr>
    </w:p>
    <w:p>
      <w:pPr>
        <w:spacing w:line="360" w:lineRule="auto"/>
        <w:ind w:firstLine="321" w:firstLineChars="100"/>
        <w:jc w:val="center"/>
        <w:rPr>
          <w:rFonts w:hint="eastAsia" w:ascii="仿宋" w:hAnsi="仿宋" w:eastAsia="仿宋"/>
          <w:b/>
          <w:sz w:val="32"/>
          <w:szCs w:val="32"/>
        </w:rPr>
      </w:pPr>
    </w:p>
    <w:p>
      <w:pPr>
        <w:spacing w:line="360" w:lineRule="auto"/>
        <w:ind w:firstLine="321" w:firstLineChars="100"/>
        <w:jc w:val="center"/>
        <w:rPr>
          <w:rFonts w:hint="eastAsia" w:ascii="仿宋" w:hAnsi="仿宋" w:eastAsia="仿宋"/>
          <w:b/>
          <w:sz w:val="32"/>
          <w:szCs w:val="32"/>
        </w:rPr>
      </w:pPr>
    </w:p>
    <w:p>
      <w:pPr>
        <w:spacing w:line="360" w:lineRule="auto"/>
        <w:ind w:firstLine="321" w:firstLineChars="100"/>
        <w:jc w:val="center"/>
        <w:rPr>
          <w:rFonts w:hint="eastAsia" w:ascii="仿宋" w:hAnsi="仿宋" w:eastAsia="仿宋"/>
          <w:b/>
          <w:sz w:val="32"/>
          <w:szCs w:val="32"/>
        </w:rPr>
      </w:pPr>
    </w:p>
    <w:p>
      <w:pPr>
        <w:spacing w:line="360" w:lineRule="auto"/>
        <w:ind w:firstLine="321" w:firstLineChars="100"/>
        <w:jc w:val="center"/>
        <w:rPr>
          <w:rFonts w:hint="eastAsia" w:ascii="仿宋" w:hAnsi="仿宋" w:eastAsia="仿宋"/>
          <w:b/>
          <w:sz w:val="32"/>
          <w:szCs w:val="32"/>
        </w:rPr>
      </w:pPr>
    </w:p>
    <w:p>
      <w:pPr>
        <w:spacing w:line="360" w:lineRule="auto"/>
        <w:ind w:firstLine="321" w:firstLineChars="100"/>
        <w:jc w:val="center"/>
        <w:rPr>
          <w:rFonts w:hint="eastAsia" w:ascii="仿宋" w:hAnsi="仿宋" w:eastAsia="仿宋"/>
          <w:b/>
          <w:sz w:val="32"/>
          <w:szCs w:val="32"/>
        </w:rPr>
      </w:pPr>
    </w:p>
    <w:p>
      <w:pPr>
        <w:spacing w:line="360" w:lineRule="auto"/>
        <w:ind w:firstLine="321" w:firstLineChars="100"/>
        <w:jc w:val="center"/>
        <w:rPr>
          <w:rFonts w:hint="eastAsia" w:ascii="仿宋" w:hAnsi="仿宋" w:eastAsia="仿宋"/>
          <w:b/>
          <w:sz w:val="32"/>
          <w:szCs w:val="32"/>
        </w:rPr>
      </w:pPr>
    </w:p>
    <w:p>
      <w:pPr>
        <w:spacing w:line="360" w:lineRule="auto"/>
        <w:ind w:firstLine="321" w:firstLineChars="100"/>
        <w:jc w:val="center"/>
        <w:rPr>
          <w:rFonts w:hint="eastAsia" w:ascii="仿宋" w:hAnsi="仿宋" w:eastAsia="仿宋"/>
          <w:b/>
          <w:sz w:val="32"/>
          <w:szCs w:val="32"/>
        </w:rPr>
      </w:pPr>
    </w:p>
    <w:p>
      <w:pPr>
        <w:spacing w:line="360" w:lineRule="auto"/>
        <w:ind w:firstLine="321" w:firstLineChars="100"/>
        <w:jc w:val="center"/>
        <w:rPr>
          <w:rFonts w:hint="eastAsia" w:ascii="宋体" w:hAnsi="宋体"/>
          <w:b/>
          <w:sz w:val="32"/>
          <w:szCs w:val="32"/>
        </w:rPr>
      </w:pPr>
      <w:r>
        <w:rPr>
          <w:rFonts w:hint="eastAsia" w:ascii="宋体" w:hAnsi="宋体"/>
          <w:b/>
          <w:sz w:val="32"/>
          <w:szCs w:val="32"/>
        </w:rPr>
        <w:t>第</w:t>
      </w:r>
      <w:r>
        <w:rPr>
          <w:rFonts w:hint="eastAsia" w:ascii="宋体" w:hAnsi="宋体"/>
          <w:b/>
          <w:sz w:val="32"/>
          <w:szCs w:val="32"/>
          <w:lang w:val="en-US" w:eastAsia="zh-CN"/>
        </w:rPr>
        <w:t>三</w:t>
      </w:r>
      <w:r>
        <w:rPr>
          <w:rFonts w:hint="eastAsia" w:ascii="宋体" w:hAnsi="宋体"/>
          <w:b/>
          <w:sz w:val="32"/>
          <w:szCs w:val="32"/>
        </w:rPr>
        <w:t>章   招标需求</w:t>
      </w:r>
    </w:p>
    <w:p>
      <w:pPr>
        <w:pStyle w:val="4"/>
        <w:spacing w:line="360" w:lineRule="auto"/>
        <w:ind w:firstLine="480"/>
        <w:rPr>
          <w:rFonts w:hint="eastAsia" w:ascii="宋体" w:hAnsi="宋体" w:eastAsia="宋体" w:cs="宋体"/>
          <w:sz w:val="24"/>
          <w:szCs w:val="24"/>
        </w:rPr>
      </w:pPr>
      <w:r>
        <w:rPr>
          <w:rFonts w:hint="eastAsia" w:ascii="宋体" w:hAnsi="宋体" w:eastAsia="宋体" w:cs="宋体"/>
          <w:sz w:val="24"/>
          <w:szCs w:val="24"/>
        </w:rPr>
        <w:t>一、招标货物要求</w:t>
      </w:r>
    </w:p>
    <w:p>
      <w:pPr>
        <w:pStyle w:val="4"/>
        <w:spacing w:line="360" w:lineRule="auto"/>
        <w:ind w:firstLine="480"/>
        <w:rPr>
          <w:rFonts w:hint="eastAsia" w:ascii="宋体" w:hAnsi="宋体" w:eastAsia="宋体" w:cs="宋体"/>
          <w:sz w:val="24"/>
          <w:szCs w:val="24"/>
        </w:rPr>
      </w:pPr>
      <w:r>
        <w:rPr>
          <w:rFonts w:hint="eastAsia" w:ascii="宋体" w:hAnsi="宋体" w:eastAsia="宋体" w:cs="宋体"/>
          <w:sz w:val="24"/>
          <w:szCs w:val="24"/>
        </w:rPr>
        <w:t>招标货物参考内容：粽子、咸鸭蛋、糕点等（供参考但不限于此）。投标方案自行拟定，报价格式参照附件三和附件四，格式可以自行调整。</w:t>
      </w:r>
    </w:p>
    <w:p>
      <w:pPr>
        <w:pStyle w:val="4"/>
        <w:spacing w:line="360" w:lineRule="auto"/>
        <w:ind w:firstLine="480"/>
        <w:rPr>
          <w:rFonts w:hint="eastAsia" w:ascii="宋体" w:hAnsi="宋体" w:eastAsia="宋体" w:cs="宋体"/>
          <w:sz w:val="24"/>
          <w:szCs w:val="24"/>
        </w:rPr>
      </w:pPr>
      <w:r>
        <w:rPr>
          <w:rFonts w:hint="eastAsia" w:ascii="宋体" w:hAnsi="宋体" w:eastAsia="宋体" w:cs="宋体"/>
          <w:sz w:val="24"/>
          <w:szCs w:val="24"/>
        </w:rPr>
        <w:t>二、服务要求</w:t>
      </w:r>
    </w:p>
    <w:p>
      <w:pPr>
        <w:pStyle w:val="4"/>
        <w:spacing w:line="360" w:lineRule="auto"/>
        <w:ind w:firstLine="480"/>
        <w:rPr>
          <w:rFonts w:hint="eastAsia" w:ascii="宋体" w:hAnsi="宋体" w:eastAsia="宋体" w:cs="宋体"/>
          <w:sz w:val="24"/>
          <w:szCs w:val="24"/>
        </w:rPr>
      </w:pPr>
      <w:r>
        <w:rPr>
          <w:rFonts w:hint="eastAsia" w:ascii="宋体" w:hAnsi="宋体" w:eastAsia="宋体" w:cs="宋体"/>
          <w:sz w:val="24"/>
          <w:szCs w:val="24"/>
        </w:rPr>
        <w:t>1、按采购人要求免费送货到指定地点并协助发放，</w:t>
      </w:r>
      <w:r>
        <w:rPr>
          <w:rFonts w:hint="eastAsia" w:ascii="宋体" w:hAnsi="宋体" w:eastAsia="宋体" w:cs="宋体"/>
          <w:sz w:val="24"/>
          <w:szCs w:val="24"/>
          <w:highlight w:val="yellow"/>
        </w:rPr>
        <w:t>送货地点是：浙江大学医学院附属第四医院，</w:t>
      </w:r>
      <w:r>
        <w:rPr>
          <w:rFonts w:hint="eastAsia" w:ascii="宋体" w:hAnsi="宋体" w:eastAsia="宋体" w:cs="宋体"/>
          <w:sz w:val="24"/>
          <w:szCs w:val="24"/>
        </w:rPr>
        <w:t>其中30份左右发往杭州。</w:t>
      </w:r>
    </w:p>
    <w:p>
      <w:pPr>
        <w:pStyle w:val="4"/>
        <w:spacing w:line="360" w:lineRule="auto"/>
        <w:rPr>
          <w:rFonts w:hint="eastAsia" w:ascii="宋体" w:hAnsi="宋体" w:eastAsia="宋体" w:cs="宋体"/>
          <w:sz w:val="24"/>
          <w:szCs w:val="24"/>
        </w:rPr>
      </w:pPr>
      <w:r>
        <w:rPr>
          <w:rFonts w:hint="eastAsia" w:ascii="宋体" w:hAnsi="宋体" w:eastAsia="宋体" w:cs="宋体"/>
          <w:sz w:val="24"/>
          <w:szCs w:val="24"/>
        </w:rPr>
        <w:t xml:space="preserve">    2、实际发放物品必须与投标样品相符。</w:t>
      </w:r>
    </w:p>
    <w:p>
      <w:pPr>
        <w:pStyle w:val="4"/>
        <w:spacing w:line="360" w:lineRule="auto"/>
        <w:ind w:firstLine="480"/>
        <w:rPr>
          <w:rFonts w:hint="eastAsia" w:ascii="宋体" w:hAnsi="宋体" w:eastAsia="宋体" w:cs="宋体"/>
          <w:sz w:val="24"/>
          <w:szCs w:val="24"/>
        </w:rPr>
      </w:pPr>
      <w:r>
        <w:rPr>
          <w:rFonts w:hint="eastAsia" w:ascii="宋体" w:hAnsi="宋体" w:eastAsia="宋体" w:cs="宋体"/>
          <w:sz w:val="24"/>
          <w:szCs w:val="24"/>
        </w:rPr>
        <w:t>3、中标单位提供的样品不退，用于后期验货比对。</w:t>
      </w:r>
    </w:p>
    <w:p>
      <w:pPr>
        <w:pStyle w:val="4"/>
        <w:spacing w:line="360" w:lineRule="auto"/>
        <w:ind w:firstLine="480"/>
        <w:rPr>
          <w:rFonts w:hint="eastAsia" w:ascii="宋体" w:hAnsi="宋体" w:eastAsia="宋体" w:cs="宋体"/>
          <w:sz w:val="24"/>
          <w:szCs w:val="24"/>
        </w:rPr>
      </w:pPr>
      <w:r>
        <w:rPr>
          <w:rFonts w:hint="eastAsia" w:ascii="宋体" w:hAnsi="宋体" w:eastAsia="宋体" w:cs="宋体"/>
          <w:sz w:val="24"/>
          <w:szCs w:val="24"/>
        </w:rPr>
        <w:t>4、最终成交价格按实际发放数量结算。</w:t>
      </w:r>
    </w:p>
    <w:p>
      <w:pPr>
        <w:pStyle w:val="4"/>
        <w:spacing w:line="360" w:lineRule="auto"/>
        <w:ind w:firstLine="480"/>
        <w:rPr>
          <w:rFonts w:hint="eastAsia" w:ascii="宋体" w:hAnsi="宋体" w:eastAsia="宋体" w:cs="宋体"/>
          <w:sz w:val="24"/>
          <w:szCs w:val="24"/>
        </w:rPr>
      </w:pPr>
      <w:r>
        <w:rPr>
          <w:rFonts w:hint="eastAsia" w:ascii="宋体" w:hAnsi="宋体" w:eastAsia="宋体" w:cs="宋体"/>
          <w:sz w:val="24"/>
          <w:szCs w:val="24"/>
        </w:rPr>
        <w:t>5、如实际发放物品存在质量问题，供应商需免费更换。</w:t>
      </w:r>
    </w:p>
    <w:p>
      <w:pPr>
        <w:pStyle w:val="4"/>
        <w:spacing w:line="360" w:lineRule="auto"/>
        <w:ind w:firstLine="480"/>
        <w:rPr>
          <w:rFonts w:hint="eastAsia" w:ascii="宋体" w:hAnsi="宋体" w:eastAsia="宋体" w:cs="宋体"/>
          <w:sz w:val="24"/>
          <w:szCs w:val="24"/>
        </w:rPr>
      </w:pPr>
      <w:r>
        <w:rPr>
          <w:rFonts w:hint="eastAsia" w:ascii="宋体" w:hAnsi="宋体" w:eastAsia="宋体" w:cs="宋体"/>
          <w:sz w:val="24"/>
          <w:szCs w:val="24"/>
        </w:rPr>
        <w:t>6、员工加购享受同等价格同样商品，且加购份数不限。</w:t>
      </w:r>
    </w:p>
    <w:p>
      <w:pPr>
        <w:pStyle w:val="4"/>
        <w:spacing w:line="360" w:lineRule="auto"/>
        <w:ind w:firstLine="480"/>
        <w:rPr>
          <w:rFonts w:hint="eastAsia" w:ascii="宋体" w:hAnsi="宋体" w:eastAsia="宋体" w:cs="宋体"/>
          <w:sz w:val="24"/>
          <w:szCs w:val="24"/>
        </w:rPr>
      </w:pPr>
      <w:r>
        <w:rPr>
          <w:rFonts w:hint="eastAsia" w:ascii="宋体" w:hAnsi="宋体" w:eastAsia="宋体" w:cs="宋体"/>
          <w:sz w:val="24"/>
          <w:szCs w:val="24"/>
        </w:rPr>
        <w:t>7、员工首次加购商品同大批量中标商品一起配送并发放。</w:t>
      </w:r>
    </w:p>
    <w:p>
      <w:pPr>
        <w:pStyle w:val="4"/>
        <w:spacing w:line="360" w:lineRule="auto"/>
        <w:ind w:firstLine="480"/>
        <w:rPr>
          <w:rFonts w:hint="eastAsia" w:ascii="宋体" w:hAnsi="宋体" w:eastAsia="宋体" w:cs="宋体"/>
          <w:sz w:val="24"/>
          <w:szCs w:val="24"/>
        </w:rPr>
      </w:pPr>
      <w:r>
        <w:rPr>
          <w:rFonts w:hint="eastAsia" w:ascii="宋体" w:hAnsi="宋体" w:eastAsia="宋体" w:cs="宋体"/>
          <w:sz w:val="24"/>
          <w:szCs w:val="24"/>
        </w:rPr>
        <w:t>三、验收标准</w:t>
      </w:r>
    </w:p>
    <w:p>
      <w:pPr>
        <w:pStyle w:val="4"/>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中华人民共和国现行技术标准，按招标文件以及合同规定的验收评定标准等规范，由采购人根据《政府采购合同履约和验收管理办法（暂行）》（义招管办【2008】32号）文件要求和《义乌市关于规范政府采购管理的若干意见》（义政办发【2017】102号）要求，组织验收。</w:t>
      </w:r>
    </w:p>
    <w:p>
      <w:pPr>
        <w:pStyle w:val="4"/>
        <w:spacing w:line="360" w:lineRule="auto"/>
        <w:ind w:firstLine="480" w:firstLineChars="200"/>
        <w:rPr>
          <w:rFonts w:hint="eastAsia" w:ascii="宋体" w:hAnsi="宋体" w:eastAsia="宋体" w:cs="宋体"/>
          <w:b/>
          <w:sz w:val="24"/>
          <w:szCs w:val="24"/>
        </w:rPr>
      </w:pPr>
      <w:r>
        <w:rPr>
          <w:rFonts w:hint="eastAsia" w:ascii="宋体" w:hAnsi="宋体" w:eastAsia="宋体" w:cs="宋体"/>
          <w:sz w:val="24"/>
          <w:szCs w:val="24"/>
        </w:rPr>
        <w:t>四、</w:t>
      </w:r>
      <w:r>
        <w:rPr>
          <w:rFonts w:hint="eastAsia" w:ascii="宋体" w:hAnsi="宋体" w:eastAsia="宋体" w:cs="宋体"/>
          <w:b/>
          <w:sz w:val="24"/>
          <w:szCs w:val="24"/>
        </w:rPr>
        <w:t>质保期及售后服务</w:t>
      </w:r>
    </w:p>
    <w:p>
      <w:pPr>
        <w:pStyle w:val="4"/>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供方须对合同中规定的提供</w:t>
      </w:r>
      <w:r>
        <w:rPr>
          <w:rFonts w:hint="eastAsia" w:ascii="宋体" w:hAnsi="宋体" w:eastAsia="宋体" w:cs="宋体"/>
          <w:sz w:val="24"/>
          <w:szCs w:val="24"/>
          <w:u w:val="single"/>
        </w:rPr>
        <w:t xml:space="preserve"> </w:t>
      </w:r>
      <w:r>
        <w:rPr>
          <w:rFonts w:hint="eastAsia" w:ascii="宋体" w:hAnsi="宋体" w:eastAsia="宋体" w:cs="宋体"/>
          <w:sz w:val="24"/>
          <w:szCs w:val="24"/>
          <w:highlight w:val="yellow"/>
          <w:u w:val="single"/>
        </w:rPr>
        <w:t>验收合格次日起质保不少于</w:t>
      </w:r>
      <w:r>
        <w:rPr>
          <w:rFonts w:hint="eastAsia" w:ascii="宋体" w:hAnsi="宋体" w:eastAsia="宋体" w:cs="宋体"/>
          <w:b/>
          <w:bCs/>
          <w:sz w:val="24"/>
          <w:szCs w:val="24"/>
          <w:highlight w:val="yellow"/>
          <w:u w:val="single"/>
        </w:rPr>
        <w:t>3个月</w:t>
      </w:r>
      <w:r>
        <w:rPr>
          <w:rFonts w:hint="eastAsia" w:ascii="宋体" w:hAnsi="宋体" w:eastAsia="宋体" w:cs="宋体"/>
          <w:sz w:val="24"/>
          <w:szCs w:val="24"/>
        </w:rPr>
        <w:t>。在此期间，除不可抗力因素，因货物制造质量不良或非人为因素而产生损坏或不能正常使用，供方应免费提供更换。非人为因素是指没有超出谈判文件和国家规定的技术指标的行为。</w:t>
      </w:r>
    </w:p>
    <w:p>
      <w:pPr>
        <w:pStyle w:val="4"/>
        <w:spacing w:line="360" w:lineRule="auto"/>
        <w:ind w:firstLine="480"/>
        <w:rPr>
          <w:rFonts w:hint="eastAsia" w:ascii="宋体" w:hAnsi="宋体" w:eastAsia="宋体" w:cs="宋体"/>
          <w:sz w:val="24"/>
          <w:szCs w:val="24"/>
        </w:rPr>
      </w:pPr>
      <w:r>
        <w:rPr>
          <w:rFonts w:hint="eastAsia" w:ascii="宋体" w:hAnsi="宋体" w:eastAsia="宋体" w:cs="宋体"/>
          <w:sz w:val="24"/>
          <w:szCs w:val="24"/>
        </w:rPr>
        <w:t>五、支付方式</w:t>
      </w:r>
    </w:p>
    <w:p>
      <w:pPr>
        <w:pStyle w:val="4"/>
        <w:spacing w:line="360" w:lineRule="auto"/>
        <w:ind w:firstLine="480"/>
        <w:rPr>
          <w:rFonts w:hint="eastAsia" w:ascii="宋体" w:hAnsi="宋体" w:eastAsia="宋体" w:cs="宋体"/>
          <w:sz w:val="24"/>
          <w:szCs w:val="24"/>
        </w:rPr>
      </w:pPr>
      <w:r>
        <w:rPr>
          <w:rFonts w:hint="eastAsia" w:ascii="宋体" w:hAnsi="宋体" w:eastAsia="宋体" w:cs="宋体"/>
          <w:sz w:val="24"/>
          <w:szCs w:val="24"/>
          <w:highlight w:val="yellow"/>
        </w:rPr>
        <w:t>货款按实结算，即实际使用量乘以中标单价按实结算。供货完成并验收合格后30个工作日内支付实际货款总价的90%。剩余的10%，在质保期满无质量问题后30个工作日内支付。</w:t>
      </w:r>
    </w:p>
    <w:p>
      <w:pPr>
        <w:pStyle w:val="4"/>
        <w:spacing w:line="360" w:lineRule="auto"/>
        <w:ind w:firstLine="480"/>
        <w:rPr>
          <w:rFonts w:hint="eastAsia" w:ascii="宋体" w:hAnsi="宋体" w:eastAsia="宋体" w:cs="宋体"/>
          <w:sz w:val="24"/>
          <w:szCs w:val="24"/>
        </w:rPr>
      </w:pPr>
      <w:r>
        <w:rPr>
          <w:rFonts w:hint="eastAsia" w:ascii="宋体" w:hAnsi="宋体" w:eastAsia="宋体" w:cs="宋体"/>
          <w:sz w:val="24"/>
          <w:szCs w:val="24"/>
        </w:rPr>
        <w:t>六、其他</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1、本合同范围的货物，应由供方直接供应，不得转让他人供应；</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2、供方不得将本合同范围的货物全部或部分分包给他人供应；</w:t>
      </w:r>
    </w:p>
    <w:p>
      <w:pPr>
        <w:spacing w:line="360" w:lineRule="auto"/>
        <w:ind w:firstLine="480" w:firstLineChars="200"/>
        <w:rPr>
          <w:rFonts w:ascii="仿宋" w:hAnsi="仿宋" w:eastAsia="仿宋"/>
          <w:sz w:val="24"/>
          <w:szCs w:val="24"/>
        </w:rPr>
      </w:pPr>
      <w:r>
        <w:rPr>
          <w:rFonts w:hint="eastAsia" w:ascii="宋体" w:hAnsi="宋体" w:eastAsia="宋体" w:cs="宋体"/>
          <w:sz w:val="24"/>
          <w:szCs w:val="24"/>
        </w:rPr>
        <w:t>3、如有转让和分包行为，需方将解除合同，没收履约保证金并追究供方的违约责任。</w:t>
      </w:r>
    </w:p>
    <w:p>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第四章   磋商文件要求</w:t>
      </w:r>
    </w:p>
    <w:p>
      <w:pPr>
        <w:widowControl/>
        <w:spacing w:line="420" w:lineRule="atLeast"/>
        <w:ind w:firstLine="48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一、对磋商文件的要求</w:t>
      </w:r>
    </w:p>
    <w:p>
      <w:pPr>
        <w:widowControl/>
        <w:spacing w:line="420" w:lineRule="atLeast"/>
        <w:ind w:firstLine="480"/>
        <w:rPr>
          <w:rFonts w:ascii="宋体" w:hAnsi="宋体" w:cs="宋体"/>
          <w:color w:val="auto"/>
          <w:kern w:val="0"/>
          <w:sz w:val="24"/>
          <w:szCs w:val="24"/>
          <w:highlight w:val="none"/>
        </w:rPr>
      </w:pPr>
      <w:r>
        <w:rPr>
          <w:rFonts w:hint="eastAsia" w:ascii="宋体" w:hAnsi="宋体"/>
          <w:color w:val="auto"/>
          <w:sz w:val="24"/>
          <w:szCs w:val="21"/>
          <w:highlight w:val="none"/>
        </w:rPr>
        <w:t>1、供应商应仔细阅读磋商文件的所有内容，按磋商文件的要求提供响应文件，并保证所提供的全部资料的真实性，以使其对磋商文件做出实质性响应，否则，其响应文件可能被拒绝</w:t>
      </w:r>
      <w:r>
        <w:rPr>
          <w:rFonts w:hint="eastAsia" w:ascii="宋体" w:hAnsi="宋体" w:cs="宋体"/>
          <w:color w:val="auto"/>
          <w:kern w:val="0"/>
          <w:sz w:val="24"/>
          <w:szCs w:val="24"/>
          <w:highlight w:val="none"/>
        </w:rPr>
        <w:t>。</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2</w:t>
      </w:r>
      <w:r>
        <w:rPr>
          <w:rFonts w:hint="eastAsia" w:ascii="宋体" w:hAnsi="宋体"/>
          <w:color w:val="auto"/>
          <w:sz w:val="24"/>
          <w:szCs w:val="21"/>
          <w:highlight w:val="none"/>
        </w:rPr>
        <w:t>、</w:t>
      </w:r>
      <w:r>
        <w:rPr>
          <w:rFonts w:ascii="宋体" w:hAnsi="宋体"/>
          <w:color w:val="auto"/>
          <w:sz w:val="24"/>
          <w:szCs w:val="21"/>
          <w:highlight w:val="none"/>
        </w:rPr>
        <w:t>在磋商文件对技术要求中，供应商必须充分应答和满足用户的强制性的需求，如“★”等，否则将导致</w:t>
      </w:r>
      <w:r>
        <w:rPr>
          <w:rFonts w:hint="eastAsia" w:ascii="宋体" w:hAnsi="宋体"/>
          <w:color w:val="auto"/>
          <w:sz w:val="24"/>
          <w:szCs w:val="21"/>
          <w:highlight w:val="none"/>
        </w:rPr>
        <w:t>响应文件无效</w:t>
      </w:r>
      <w:r>
        <w:rPr>
          <w:rFonts w:ascii="宋体" w:hAnsi="宋体"/>
          <w:color w:val="auto"/>
          <w:sz w:val="24"/>
          <w:szCs w:val="21"/>
          <w:highlight w:val="none"/>
        </w:rPr>
        <w:t>。</w:t>
      </w:r>
    </w:p>
    <w:p>
      <w:pPr>
        <w:widowControl/>
        <w:spacing w:line="420" w:lineRule="atLeast"/>
        <w:ind w:firstLine="48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二、磋商响应文件的组成</w:t>
      </w:r>
    </w:p>
    <w:p>
      <w:pPr>
        <w:widowControl/>
        <w:spacing w:line="420" w:lineRule="atLeast"/>
        <w:ind w:firstLine="480"/>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递交的响应文件应分为技术文件和商务文件，技术文件为除商务报价外的所有内容，且技术文件和商务文件分开制作，并单独密封包装。</w:t>
      </w:r>
      <w:r>
        <w:rPr>
          <w:rFonts w:ascii="宋体" w:hAnsi="宋体" w:cs="宋体"/>
          <w:b/>
          <w:bCs/>
          <w:color w:val="auto"/>
          <w:kern w:val="0"/>
          <w:sz w:val="24"/>
          <w:szCs w:val="24"/>
          <w:highlight w:val="none"/>
        </w:rPr>
        <w:t>技术文件（含资信与服务）不得含商务报价，否则作无效处理。</w:t>
      </w:r>
    </w:p>
    <w:p>
      <w:pPr>
        <w:widowControl/>
        <w:numPr>
          <w:ilvl w:val="0"/>
          <w:numId w:val="4"/>
        </w:numPr>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技术文件：</w:t>
      </w:r>
    </w:p>
    <w:p>
      <w:pPr>
        <w:pStyle w:val="4"/>
        <w:spacing w:line="460" w:lineRule="exact"/>
        <w:ind w:firstLine="480" w:firstLineChars="200"/>
        <w:rPr>
          <w:rFonts w:hAnsi="宋体" w:cs="宋体"/>
          <w:color w:val="auto"/>
          <w:kern w:val="0"/>
          <w:sz w:val="24"/>
          <w:szCs w:val="24"/>
          <w:highlight w:val="none"/>
        </w:rPr>
      </w:pPr>
      <w:r>
        <w:rPr>
          <w:rFonts w:hint="eastAsia" w:hAnsi="宋体" w:cs="宋体"/>
          <w:color w:val="auto"/>
          <w:kern w:val="0"/>
          <w:sz w:val="24"/>
          <w:szCs w:val="24"/>
          <w:highlight w:val="none"/>
        </w:rPr>
        <w:t>应包括下列内容（包含但不仅限于以下）并应按顺序装订成册(复印件需加盖单位公章，提供的所有证书应在有效期内)</w:t>
      </w:r>
    </w:p>
    <w:p>
      <w:pPr>
        <w:pStyle w:val="22"/>
        <w:widowControl/>
        <w:numPr>
          <w:ilvl w:val="0"/>
          <w:numId w:val="5"/>
        </w:numPr>
        <w:spacing w:line="420" w:lineRule="atLeast"/>
        <w:ind w:firstLineChars="0"/>
        <w:rPr>
          <w:rFonts w:ascii="宋体" w:hAnsi="宋体" w:cs="宋体"/>
          <w:color w:val="auto"/>
          <w:kern w:val="0"/>
          <w:sz w:val="24"/>
          <w:szCs w:val="24"/>
          <w:highlight w:val="none"/>
        </w:rPr>
      </w:pPr>
      <w:r>
        <w:rPr>
          <w:rFonts w:hint="eastAsia" w:ascii="宋体" w:hAnsi="宋体" w:cs="宋体"/>
          <w:color w:val="auto"/>
          <w:kern w:val="0"/>
          <w:sz w:val="24"/>
          <w:szCs w:val="24"/>
          <w:highlight w:val="none"/>
        </w:rPr>
        <w:t>营业执照副本（复印件加盖公章）；组织机构代码证副本（复印件加盖公章）、税务登记证副本（复印件加盖公章）</w:t>
      </w:r>
    </w:p>
    <w:p>
      <w:pPr>
        <w:pStyle w:val="22"/>
        <w:widowControl/>
        <w:numPr>
          <w:ilvl w:val="0"/>
          <w:numId w:val="5"/>
        </w:numPr>
        <w:spacing w:line="420" w:lineRule="atLeast"/>
        <w:ind w:firstLineChars="0"/>
        <w:rPr>
          <w:rFonts w:ascii="宋体" w:hAnsi="宋体" w:cs="宋体"/>
          <w:color w:val="auto"/>
          <w:kern w:val="0"/>
          <w:sz w:val="24"/>
          <w:szCs w:val="24"/>
          <w:highlight w:val="none"/>
        </w:rPr>
      </w:pPr>
      <w:r>
        <w:rPr>
          <w:rFonts w:ascii="宋体" w:hAnsi="宋体" w:cs="宋体"/>
          <w:color w:val="auto"/>
          <w:spacing w:val="-2"/>
          <w:sz w:val="24"/>
          <w:highlight w:val="none"/>
        </w:rPr>
        <w:t>食品流通许可证或食品经营许可证（生产企业为食品安全生产许可证）</w:t>
      </w:r>
    </w:p>
    <w:p>
      <w:pPr>
        <w:pStyle w:val="22"/>
        <w:widowControl/>
        <w:numPr>
          <w:ilvl w:val="0"/>
          <w:numId w:val="5"/>
        </w:numPr>
        <w:spacing w:line="420" w:lineRule="atLeast"/>
        <w:ind w:firstLineChars="0"/>
        <w:rPr>
          <w:rFonts w:ascii="宋体" w:hAnsi="宋体" w:cs="宋体"/>
          <w:color w:val="auto"/>
          <w:kern w:val="0"/>
          <w:sz w:val="24"/>
          <w:szCs w:val="24"/>
          <w:highlight w:val="none"/>
        </w:rPr>
      </w:pPr>
      <w:r>
        <w:rPr>
          <w:rFonts w:hint="eastAsia" w:ascii="宋体" w:hAnsi="宋体" w:cs="宋体"/>
          <w:color w:val="auto"/>
          <w:kern w:val="0"/>
          <w:sz w:val="24"/>
          <w:szCs w:val="24"/>
          <w:highlight w:val="none"/>
        </w:rPr>
        <w:t>法人资格证明或法人代表授权书；</w:t>
      </w:r>
    </w:p>
    <w:p>
      <w:pPr>
        <w:pStyle w:val="22"/>
        <w:widowControl/>
        <w:numPr>
          <w:ilvl w:val="0"/>
          <w:numId w:val="5"/>
        </w:numPr>
        <w:spacing w:line="420" w:lineRule="atLeast"/>
        <w:ind w:firstLineChars="0"/>
        <w:rPr>
          <w:rFonts w:ascii="宋体" w:hAnsi="宋体" w:cs="宋体"/>
          <w:color w:val="auto"/>
          <w:kern w:val="0"/>
          <w:sz w:val="24"/>
          <w:szCs w:val="24"/>
          <w:highlight w:val="none"/>
        </w:rPr>
      </w:pPr>
      <w:r>
        <w:rPr>
          <w:rFonts w:hint="eastAsia" w:ascii="宋体" w:hAnsi="宋体" w:cs="宋体"/>
          <w:color w:val="auto"/>
          <w:kern w:val="0"/>
          <w:sz w:val="24"/>
          <w:szCs w:val="24"/>
          <w:highlight w:val="none"/>
        </w:rPr>
        <w:t>法定代表人或授权代表的身份证（复印件）；</w:t>
      </w:r>
    </w:p>
    <w:p>
      <w:pPr>
        <w:pStyle w:val="22"/>
        <w:widowControl/>
        <w:numPr>
          <w:ilvl w:val="0"/>
          <w:numId w:val="5"/>
        </w:numPr>
        <w:spacing w:line="420" w:lineRule="atLeast"/>
        <w:ind w:firstLineChars="0"/>
        <w:rPr>
          <w:rFonts w:ascii="宋体" w:hAnsi="宋体" w:cs="宋体"/>
          <w:color w:val="auto"/>
          <w:kern w:val="0"/>
          <w:sz w:val="24"/>
          <w:szCs w:val="24"/>
          <w:highlight w:val="none"/>
        </w:rPr>
      </w:pPr>
      <w:r>
        <w:rPr>
          <w:rFonts w:hint="eastAsia" w:ascii="宋体" w:hAnsi="宋体" w:cs="宋体"/>
          <w:color w:val="auto"/>
          <w:kern w:val="0"/>
          <w:sz w:val="24"/>
          <w:szCs w:val="24"/>
          <w:highlight w:val="none"/>
        </w:rPr>
        <w:t>售后服务的及时性等保证措施。</w:t>
      </w:r>
    </w:p>
    <w:p>
      <w:pPr>
        <w:pStyle w:val="22"/>
        <w:widowControl/>
        <w:numPr>
          <w:ilvl w:val="0"/>
          <w:numId w:val="5"/>
        </w:numPr>
        <w:spacing w:line="420" w:lineRule="atLeast"/>
        <w:ind w:firstLineChars="0"/>
        <w:rPr>
          <w:rFonts w:ascii="宋体" w:hAnsi="宋体" w:cs="宋体"/>
          <w:color w:val="auto"/>
          <w:kern w:val="0"/>
          <w:sz w:val="24"/>
          <w:szCs w:val="24"/>
          <w:highlight w:val="none"/>
        </w:rPr>
      </w:pPr>
      <w:r>
        <w:rPr>
          <w:rFonts w:hint="eastAsia" w:ascii="宋体" w:hAnsi="宋体" w:cs="宋体"/>
          <w:color w:val="auto"/>
          <w:kern w:val="0"/>
          <w:sz w:val="24"/>
          <w:szCs w:val="24"/>
          <w:highlight w:val="none"/>
        </w:rPr>
        <w:t>对本次采购货物及供货服务的具体方案，包括供货方案、服务团队等；</w:t>
      </w:r>
    </w:p>
    <w:p>
      <w:pPr>
        <w:pStyle w:val="22"/>
        <w:widowControl/>
        <w:numPr>
          <w:ilvl w:val="0"/>
          <w:numId w:val="5"/>
        </w:numPr>
        <w:spacing w:line="420" w:lineRule="atLeast"/>
        <w:ind w:firstLineChars="0"/>
        <w:rPr>
          <w:rFonts w:ascii="宋体" w:hAnsi="宋体" w:cs="宋体"/>
          <w:color w:val="auto"/>
          <w:kern w:val="0"/>
          <w:sz w:val="24"/>
          <w:szCs w:val="24"/>
          <w:highlight w:val="none"/>
        </w:rPr>
      </w:pPr>
      <w:r>
        <w:rPr>
          <w:rFonts w:hint="eastAsia" w:ascii="宋体" w:hAnsi="宋体" w:cs="宋体"/>
          <w:color w:val="auto"/>
          <w:kern w:val="0"/>
          <w:sz w:val="24"/>
          <w:szCs w:val="24"/>
          <w:highlight w:val="none"/>
        </w:rPr>
        <w:t>产品质量保证措施、产品的质量保证承诺；</w:t>
      </w:r>
    </w:p>
    <w:p>
      <w:pPr>
        <w:pStyle w:val="22"/>
        <w:widowControl/>
        <w:numPr>
          <w:ilvl w:val="0"/>
          <w:numId w:val="5"/>
        </w:numPr>
        <w:spacing w:line="420" w:lineRule="atLeast"/>
        <w:ind w:firstLineChars="0"/>
        <w:rPr>
          <w:rFonts w:ascii="宋体" w:hAnsi="宋体" w:cs="宋体"/>
          <w:color w:val="auto"/>
          <w:kern w:val="0"/>
          <w:sz w:val="24"/>
          <w:szCs w:val="24"/>
          <w:highlight w:val="none"/>
        </w:rPr>
      </w:pPr>
      <w:r>
        <w:rPr>
          <w:rFonts w:hint="eastAsia" w:ascii="宋体" w:hAnsi="宋体" w:cs="宋体"/>
          <w:color w:val="auto"/>
          <w:kern w:val="0"/>
          <w:sz w:val="24"/>
          <w:szCs w:val="24"/>
          <w:highlight w:val="none"/>
        </w:rPr>
        <w:t>售前、售后服务内容和服务承诺。</w:t>
      </w:r>
    </w:p>
    <w:p>
      <w:pPr>
        <w:pStyle w:val="22"/>
        <w:widowControl/>
        <w:numPr>
          <w:ilvl w:val="0"/>
          <w:numId w:val="5"/>
        </w:numPr>
        <w:spacing w:line="420" w:lineRule="atLeast"/>
        <w:ind w:firstLineChars="0"/>
        <w:rPr>
          <w:rFonts w:ascii="宋体" w:hAnsi="宋体" w:cs="宋体"/>
          <w:color w:val="auto"/>
          <w:kern w:val="0"/>
          <w:sz w:val="24"/>
          <w:szCs w:val="24"/>
          <w:highlight w:val="none"/>
        </w:rPr>
      </w:pPr>
      <w:r>
        <w:rPr>
          <w:rFonts w:hint="eastAsia" w:ascii="宋体" w:hAnsi="宋体" w:cs="宋体"/>
          <w:color w:val="auto"/>
          <w:kern w:val="0"/>
          <w:sz w:val="24"/>
          <w:szCs w:val="24"/>
          <w:highlight w:val="none"/>
        </w:rPr>
        <w:t>供应商能够给予磋商人的其他优惠条件；</w:t>
      </w:r>
    </w:p>
    <w:p>
      <w:pPr>
        <w:pStyle w:val="22"/>
        <w:widowControl/>
        <w:numPr>
          <w:ilvl w:val="0"/>
          <w:numId w:val="5"/>
        </w:numPr>
        <w:spacing w:line="420" w:lineRule="atLeast"/>
        <w:ind w:firstLineChars="0"/>
        <w:rPr>
          <w:rFonts w:ascii="宋体" w:hAnsi="宋体" w:cs="宋体"/>
          <w:color w:val="auto"/>
          <w:kern w:val="0"/>
          <w:sz w:val="24"/>
          <w:szCs w:val="24"/>
          <w:highlight w:val="none"/>
        </w:rPr>
      </w:pPr>
      <w:r>
        <w:rPr>
          <w:rFonts w:hint="eastAsia" w:ascii="宋体" w:hAnsi="宋体" w:cs="宋体"/>
          <w:color w:val="auto"/>
          <w:kern w:val="0"/>
          <w:sz w:val="24"/>
          <w:szCs w:val="24"/>
          <w:highlight w:val="none"/>
        </w:rPr>
        <w:t>其他供应商认为应该提交给采购人的资料（如业绩）；</w:t>
      </w:r>
    </w:p>
    <w:p>
      <w:pPr>
        <w:pStyle w:val="22"/>
        <w:widowControl/>
        <w:numPr>
          <w:ilvl w:val="0"/>
          <w:numId w:val="5"/>
        </w:numPr>
        <w:spacing w:line="420" w:lineRule="atLeast"/>
        <w:ind w:firstLineChars="0"/>
        <w:rPr>
          <w:rFonts w:ascii="宋体" w:hAnsi="宋体" w:cs="宋体"/>
          <w:color w:val="auto"/>
          <w:kern w:val="0"/>
          <w:sz w:val="24"/>
          <w:szCs w:val="24"/>
          <w:highlight w:val="none"/>
        </w:rPr>
      </w:pPr>
      <w:r>
        <w:rPr>
          <w:rFonts w:hint="eastAsia" w:ascii="宋体" w:hAnsi="宋体" w:cs="宋体"/>
          <w:color w:val="auto"/>
          <w:kern w:val="0"/>
          <w:sz w:val="24"/>
          <w:szCs w:val="24"/>
          <w:highlight w:val="none"/>
        </w:rPr>
        <w:t>各种能体现供应商实力的响应内容或有利于采购人的各种承诺等；</w:t>
      </w:r>
    </w:p>
    <w:p>
      <w:pPr>
        <w:widowControl/>
        <w:spacing w:line="420" w:lineRule="atLeast"/>
        <w:ind w:firstLine="480" w:firstLineChars="200"/>
        <w:rPr>
          <w:rFonts w:ascii="宋体" w:hAnsi="宋体" w:cs="宋体"/>
          <w:b/>
          <w:color w:val="auto"/>
          <w:kern w:val="0"/>
          <w:sz w:val="24"/>
          <w:szCs w:val="24"/>
          <w:highlight w:val="none"/>
        </w:rPr>
      </w:pPr>
      <w:r>
        <w:rPr>
          <w:rFonts w:ascii="宋体" w:hAnsi="宋体"/>
          <w:color w:val="auto"/>
          <w:sz w:val="24"/>
          <w:szCs w:val="21"/>
          <w:highlight w:val="none"/>
        </w:rPr>
        <w:t>★</w:t>
      </w:r>
      <w:r>
        <w:rPr>
          <w:rFonts w:ascii="宋体" w:hAnsi="宋体" w:cs="宋体"/>
          <w:b/>
          <w:color w:val="auto"/>
          <w:kern w:val="0"/>
          <w:sz w:val="24"/>
          <w:szCs w:val="24"/>
          <w:highlight w:val="none"/>
        </w:rPr>
        <w:t>11</w:t>
      </w:r>
      <w:r>
        <w:rPr>
          <w:rFonts w:hint="eastAsia" w:ascii="宋体" w:hAnsi="宋体" w:cs="宋体"/>
          <w:b/>
          <w:color w:val="auto"/>
          <w:kern w:val="0"/>
          <w:sz w:val="24"/>
          <w:szCs w:val="24"/>
          <w:highlight w:val="none"/>
        </w:rPr>
        <w:t>）提供样品</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（2）商务文件：</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1）投标函（附件三）</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2）报价一览表（附件五）</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3) 投标报价明细表（附件六）</w:t>
      </w:r>
    </w:p>
    <w:p>
      <w:pPr>
        <w:widowControl/>
        <w:spacing w:line="420" w:lineRule="atLeast"/>
        <w:ind w:firstLine="48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三、磋商响应报价要求</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1、均以人民币报价。</w:t>
      </w:r>
    </w:p>
    <w:p>
      <w:pPr>
        <w:spacing w:line="420" w:lineRule="atLeas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2、磋商响应</w:t>
      </w:r>
      <w:r>
        <w:rPr>
          <w:rFonts w:ascii="宋体" w:hAnsi="宋体" w:cs="宋体"/>
          <w:color w:val="auto"/>
          <w:kern w:val="0"/>
          <w:sz w:val="24"/>
          <w:szCs w:val="24"/>
          <w:highlight w:val="none"/>
        </w:rPr>
        <w:t>报价包括货物价款、途中运输费、装卸费、保险费、利润、税金、完成本项目的其它费用和政策性文件规定及合同包含的所有风险、责任等各项应有费用，如有漏项，视同已包含在其总项目中，合同总价不予调整</w:t>
      </w:r>
      <w:r>
        <w:rPr>
          <w:rFonts w:hint="eastAsia" w:ascii="宋体" w:hAnsi="宋体" w:cs="宋体"/>
          <w:color w:val="auto"/>
          <w:kern w:val="0"/>
          <w:sz w:val="24"/>
          <w:szCs w:val="24"/>
          <w:highlight w:val="none"/>
        </w:rPr>
        <w:t>。</w:t>
      </w:r>
    </w:p>
    <w:p>
      <w:pPr>
        <w:snapToGrid w:val="0"/>
        <w:spacing w:line="420" w:lineRule="atLeast"/>
        <w:ind w:firstLine="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ascii="宋体" w:hAnsi="宋体" w:cs="宋体"/>
          <w:color w:val="auto"/>
          <w:kern w:val="0"/>
          <w:sz w:val="24"/>
          <w:szCs w:val="24"/>
          <w:highlight w:val="none"/>
        </w:rPr>
        <w:t>磋商响应文件报价出现前后不一致的，按照下列规定修正：</w:t>
      </w:r>
    </w:p>
    <w:p>
      <w:pPr>
        <w:snapToGrid w:val="0"/>
        <w:spacing w:line="420" w:lineRule="atLeast"/>
        <w:ind w:firstLine="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磋商响应文件中开标一览表（报价表）内容与磋商响应文件中相应内容不一致的，以开标一览表（报价表）为准；</w:t>
      </w:r>
    </w:p>
    <w:p>
      <w:pPr>
        <w:snapToGrid w:val="0"/>
        <w:spacing w:line="420" w:lineRule="atLeast"/>
        <w:ind w:firstLine="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ascii="宋体" w:hAnsi="宋体" w:cs="宋体"/>
          <w:color w:val="auto"/>
          <w:kern w:val="0"/>
          <w:sz w:val="24"/>
          <w:szCs w:val="24"/>
          <w:highlight w:val="none"/>
        </w:rPr>
        <w:t>大写金额和小写金额不一致的，以大写金额为准；</w:t>
      </w:r>
    </w:p>
    <w:p>
      <w:pPr>
        <w:snapToGrid w:val="0"/>
        <w:spacing w:line="420" w:lineRule="atLeast"/>
        <w:ind w:firstLine="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ascii="宋体" w:hAnsi="宋体" w:cs="宋体"/>
          <w:color w:val="auto"/>
          <w:kern w:val="0"/>
          <w:sz w:val="24"/>
          <w:szCs w:val="24"/>
          <w:highlight w:val="none"/>
        </w:rPr>
        <w:t>单价金额小数点或者百分比有明显错位的，以开标一览表的总价为准，并修改单价；</w:t>
      </w:r>
    </w:p>
    <w:p>
      <w:pPr>
        <w:snapToGrid w:val="0"/>
        <w:spacing w:line="420" w:lineRule="atLeast"/>
        <w:ind w:firstLine="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w:t>
      </w:r>
      <w:r>
        <w:rPr>
          <w:rFonts w:ascii="宋体" w:hAnsi="宋体" w:cs="宋体"/>
          <w:color w:val="auto"/>
          <w:kern w:val="0"/>
          <w:sz w:val="24"/>
          <w:szCs w:val="24"/>
          <w:highlight w:val="none"/>
        </w:rPr>
        <w:t>总价金额与按单价汇总金额不一致的，以单价金额计算结果为准。</w:t>
      </w:r>
    </w:p>
    <w:p>
      <w:pPr>
        <w:pStyle w:val="4"/>
        <w:spacing w:line="420" w:lineRule="atLeast"/>
        <w:ind w:firstLine="480" w:firstLineChars="200"/>
        <w:rPr>
          <w:rFonts w:hAnsi="宋体" w:cs="宋体"/>
          <w:color w:val="auto"/>
          <w:kern w:val="0"/>
          <w:sz w:val="24"/>
          <w:szCs w:val="24"/>
          <w:highlight w:val="none"/>
        </w:rPr>
      </w:pPr>
      <w:r>
        <w:rPr>
          <w:rFonts w:hAnsi="宋体" w:cs="宋体"/>
          <w:color w:val="auto"/>
          <w:kern w:val="0"/>
          <w:sz w:val="24"/>
          <w:szCs w:val="24"/>
          <w:highlight w:val="none"/>
        </w:rPr>
        <w:t>同时出现两种以上不一致的，按照前款规定的顺序修正。修正后的报价由供应商法定代表人或其授权代表签字确认后产生约束力，供应商不确认的，其投标无效。</w:t>
      </w:r>
    </w:p>
    <w:p>
      <w:pPr>
        <w:spacing w:line="420" w:lineRule="atLeas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w:t>
      </w:r>
      <w:r>
        <w:rPr>
          <w:rFonts w:ascii="宋体" w:hAnsi="宋体" w:cs="宋体"/>
          <w:color w:val="auto"/>
          <w:kern w:val="0"/>
          <w:sz w:val="24"/>
          <w:szCs w:val="24"/>
          <w:highlight w:val="none"/>
        </w:rPr>
        <w:t>成交后，</w:t>
      </w:r>
      <w:r>
        <w:rPr>
          <w:rFonts w:ascii="宋体" w:hAnsi="宋体" w:cs="宋体"/>
          <w:b/>
          <w:color w:val="auto"/>
          <w:kern w:val="0"/>
          <w:sz w:val="24"/>
          <w:szCs w:val="24"/>
          <w:highlight w:val="none"/>
        </w:rPr>
        <w:t>成交供应商所填写的单价在合同实施期间不因市场变化因素而变动</w:t>
      </w:r>
      <w:r>
        <w:rPr>
          <w:rFonts w:ascii="宋体" w:hAnsi="宋体" w:cs="宋体"/>
          <w:color w:val="auto"/>
          <w:kern w:val="0"/>
          <w:sz w:val="24"/>
          <w:szCs w:val="24"/>
          <w:highlight w:val="none"/>
        </w:rPr>
        <w:t>；供应商在计算报价时应考虑一定的风险系数。</w:t>
      </w:r>
    </w:p>
    <w:p>
      <w:pPr>
        <w:spacing w:line="420" w:lineRule="atLeas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w:t>
      </w:r>
      <w:r>
        <w:rPr>
          <w:rFonts w:ascii="宋体" w:hAnsi="宋体" w:cs="宋体"/>
          <w:color w:val="auto"/>
          <w:kern w:val="0"/>
          <w:sz w:val="24"/>
          <w:szCs w:val="24"/>
          <w:highlight w:val="none"/>
        </w:rPr>
        <w:t>供应商应按磋商文件规定的报价格式进行磋商响应报价。供应商对每种货物只允许有一个报价，采购人不接受任何有选择性的报价。</w:t>
      </w:r>
    </w:p>
    <w:p>
      <w:pPr>
        <w:spacing w:line="420" w:lineRule="atLeas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6、本次磋商报价固定</w:t>
      </w:r>
      <w:r>
        <w:rPr>
          <w:rFonts w:hint="eastAsia" w:ascii="宋体" w:hAnsi="宋体" w:cs="宋体"/>
          <w:b/>
          <w:kern w:val="0"/>
          <w:sz w:val="24"/>
          <w:szCs w:val="24"/>
          <w:highlight w:val="none"/>
          <w:lang w:val="en-US" w:eastAsia="zh-CN"/>
        </w:rPr>
        <w:t>520000</w:t>
      </w:r>
      <w:r>
        <w:rPr>
          <w:rFonts w:hint="eastAsia" w:ascii="宋体" w:hAnsi="宋体" w:cs="宋体"/>
          <w:b/>
          <w:kern w:val="0"/>
          <w:sz w:val="24"/>
          <w:szCs w:val="24"/>
          <w:highlight w:val="none"/>
        </w:rPr>
        <w:t>元</w:t>
      </w:r>
      <w:r>
        <w:rPr>
          <w:rFonts w:hint="eastAsia" w:ascii="宋体" w:hAnsi="宋体" w:cs="宋体"/>
          <w:color w:val="auto"/>
          <w:kern w:val="0"/>
          <w:sz w:val="24"/>
          <w:szCs w:val="24"/>
          <w:highlight w:val="none"/>
        </w:rPr>
        <w:t>，根据供应商提供产品方案的性价比进行商务评选。</w:t>
      </w:r>
    </w:p>
    <w:p>
      <w:pPr>
        <w:widowControl/>
        <w:spacing w:line="420" w:lineRule="atLeast"/>
        <w:ind w:firstLine="48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四、磋商响应文件制作要求</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1、磋商响应文件正本必须用不退色的墨水填写或打印，幅面规格A4并装订成册，副本可用复印件。磋商响应文件须一式</w:t>
      </w:r>
      <w:r>
        <w:rPr>
          <w:rFonts w:ascii="宋体" w:hAnsi="宋体" w:cs="宋体"/>
          <w:color w:val="auto"/>
          <w:kern w:val="0"/>
          <w:sz w:val="24"/>
          <w:szCs w:val="24"/>
          <w:highlight w:val="none"/>
        </w:rPr>
        <w:t>2</w:t>
      </w:r>
      <w:r>
        <w:rPr>
          <w:rFonts w:hint="eastAsia" w:ascii="宋体" w:hAnsi="宋体" w:cs="宋体"/>
          <w:color w:val="auto"/>
          <w:kern w:val="0"/>
          <w:sz w:val="24"/>
          <w:szCs w:val="24"/>
          <w:highlight w:val="none"/>
        </w:rPr>
        <w:t>份（正本1份，副本</w:t>
      </w:r>
      <w:r>
        <w:rPr>
          <w:rFonts w:ascii="宋体" w:hAnsi="宋体" w:cs="宋体"/>
          <w:color w:val="auto"/>
          <w:kern w:val="0"/>
          <w:sz w:val="24"/>
          <w:szCs w:val="24"/>
          <w:highlight w:val="none"/>
        </w:rPr>
        <w:t>1</w:t>
      </w:r>
      <w:r>
        <w:rPr>
          <w:rFonts w:hint="eastAsia" w:ascii="宋体" w:hAnsi="宋体" w:cs="宋体"/>
          <w:color w:val="auto"/>
          <w:kern w:val="0"/>
          <w:sz w:val="24"/>
          <w:szCs w:val="24"/>
          <w:highlight w:val="none"/>
        </w:rPr>
        <w:t>份），分别加盖“正本”“副本”印章。正本与副本如有差别，以正本为准，责任由供应商自负。</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2、磋商响应文件中不许有加行、涂抹或改写。若修改错漏处，须由法定代表人或其授权代表签字并加盖单位公章方可生效。</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3、磋商响应文件封面应标明“正本”或“副本”字样。</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4、</w:t>
      </w:r>
      <w:r>
        <w:rPr>
          <w:rFonts w:hint="eastAsia" w:ascii="宋体" w:hAnsi="宋体" w:cs="宋体"/>
          <w:b/>
          <w:bCs/>
          <w:color w:val="auto"/>
          <w:kern w:val="0"/>
          <w:sz w:val="24"/>
          <w:szCs w:val="24"/>
          <w:highlight w:val="none"/>
        </w:rPr>
        <w:t>技术文件和商务文件分开制作并单独密封包装，全部磋商响应文件应装入同一密封袋内，封口处应有供应商法定代表人或其授权代表签字并加盖供应商公章；封面注明磋商项目名称和编号，供应商的名称、地址、邮编、传真、联系电话、联系人。</w:t>
      </w:r>
    </w:p>
    <w:p>
      <w:pPr>
        <w:widowControl/>
        <w:spacing w:line="420" w:lineRule="atLeast"/>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 xml:space="preserve">    五 、磋商响应文件的送达时间 </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1、开标地点即为磋商响应文件的递交地点，磋商人在投标截止时间前一小时内接收磋商响应文件。</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2、投标截止时间即为开标时间，磋商方将拒绝在投标截止时间后收到的磋商响应文件。</w:t>
      </w:r>
    </w:p>
    <w:p>
      <w:pPr>
        <w:widowControl/>
        <w:spacing w:line="420" w:lineRule="atLeast"/>
        <w:ind w:firstLine="48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六、供应商有下列情况之一的，</w:t>
      </w:r>
      <w:r>
        <w:rPr>
          <w:rFonts w:hint="eastAsia" w:ascii="宋体" w:hAnsi="宋体" w:cs="宋体"/>
          <w:b/>
          <w:color w:val="auto"/>
          <w:kern w:val="0"/>
          <w:sz w:val="24"/>
          <w:szCs w:val="24"/>
          <w:highlight w:val="none"/>
          <w:lang w:val="en-GB"/>
        </w:rPr>
        <w:t>其投标将可能被拒绝或作无效投标处理：</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1、未在规定时间内将投标书送达规定地点的。</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2、磋商响应文件未按规定密封或未按要求加盖公章或磋商响应文件签署不符合要求的。</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3、磋商响应文件无法人代表签字或签字无法人代表有效委托的。</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4、供应商不符合供应商资格要求的。</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5、供应商不符合产品报价要求的。</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6、磋商响应文件中提供伪造、虚假材料的。</w:t>
      </w:r>
    </w:p>
    <w:p>
      <w:pPr>
        <w:widowControl/>
        <w:spacing w:line="420" w:lineRule="atLeast"/>
        <w:ind w:firstLine="480"/>
        <w:rPr>
          <w:rFonts w:ascii="宋体" w:hAnsi="宋体"/>
          <w:color w:val="auto"/>
          <w:sz w:val="24"/>
          <w:highlight w:val="none"/>
        </w:rPr>
      </w:pPr>
      <w:r>
        <w:rPr>
          <w:rFonts w:hint="eastAsia" w:ascii="宋体" w:hAnsi="宋体" w:cs="宋体"/>
          <w:color w:val="auto"/>
          <w:kern w:val="0"/>
          <w:sz w:val="24"/>
          <w:szCs w:val="24"/>
          <w:highlight w:val="none"/>
        </w:rPr>
        <w:t>7、报价单价及价格经评标小组认定明显不合理的。</w:t>
      </w:r>
    </w:p>
    <w:p>
      <w:pPr>
        <w:snapToGrid w:val="0"/>
        <w:spacing w:line="360" w:lineRule="auto"/>
        <w:rPr>
          <w:rFonts w:ascii="宋体" w:hAnsi="宋体"/>
          <w:color w:val="auto"/>
          <w:sz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snapToGrid w:val="0"/>
        <w:spacing w:line="360" w:lineRule="auto"/>
        <w:rPr>
          <w:rFonts w:ascii="宋体" w:hAnsi="宋体"/>
          <w:sz w:val="24"/>
          <w:highlight w:val="none"/>
        </w:rPr>
      </w:pPr>
    </w:p>
    <w:p>
      <w:pPr>
        <w:snapToGrid w:val="0"/>
        <w:spacing w:line="360" w:lineRule="auto"/>
        <w:rPr>
          <w:rFonts w:ascii="宋体" w:hAnsi="宋体"/>
          <w:sz w:val="24"/>
          <w:highlight w:val="none"/>
        </w:rPr>
      </w:pPr>
    </w:p>
    <w:p>
      <w:pPr>
        <w:snapToGrid w:val="0"/>
        <w:spacing w:line="360" w:lineRule="auto"/>
        <w:rPr>
          <w:rFonts w:ascii="宋体" w:hAnsi="宋体"/>
          <w:sz w:val="24"/>
          <w:highlight w:val="none"/>
        </w:rPr>
      </w:pPr>
    </w:p>
    <w:p>
      <w:pPr>
        <w:snapToGrid w:val="0"/>
        <w:spacing w:line="360" w:lineRule="auto"/>
        <w:rPr>
          <w:rFonts w:ascii="宋体" w:hAnsi="宋体"/>
          <w:sz w:val="24"/>
          <w:highlight w:val="none"/>
        </w:rPr>
      </w:pPr>
    </w:p>
    <w:p>
      <w:pPr>
        <w:snapToGrid w:val="0"/>
        <w:spacing w:line="360" w:lineRule="auto"/>
        <w:rPr>
          <w:rFonts w:ascii="宋体" w:hAnsi="宋体"/>
          <w:sz w:val="24"/>
          <w:highlight w:val="none"/>
        </w:rPr>
      </w:pPr>
    </w:p>
    <w:p>
      <w:pPr>
        <w:snapToGrid w:val="0"/>
        <w:spacing w:line="360" w:lineRule="auto"/>
        <w:rPr>
          <w:rFonts w:ascii="宋体" w:hAnsi="宋体"/>
          <w:sz w:val="24"/>
          <w:highlight w:val="none"/>
        </w:rPr>
      </w:pPr>
    </w:p>
    <w:p>
      <w:pPr>
        <w:snapToGrid w:val="0"/>
        <w:spacing w:line="360" w:lineRule="auto"/>
        <w:rPr>
          <w:rFonts w:ascii="宋体" w:hAnsi="宋体"/>
          <w:sz w:val="24"/>
          <w:highlight w:val="none"/>
        </w:rPr>
      </w:pPr>
    </w:p>
    <w:p>
      <w:pPr>
        <w:snapToGrid w:val="0"/>
        <w:spacing w:line="360" w:lineRule="auto"/>
        <w:rPr>
          <w:rFonts w:ascii="宋体" w:hAnsi="宋体"/>
          <w:sz w:val="24"/>
          <w:highlight w:val="none"/>
        </w:rPr>
      </w:pPr>
    </w:p>
    <w:p>
      <w:pPr>
        <w:snapToGrid w:val="0"/>
        <w:spacing w:line="360" w:lineRule="auto"/>
        <w:rPr>
          <w:rFonts w:ascii="宋体" w:hAnsi="宋体"/>
          <w:sz w:val="24"/>
          <w:highlight w:val="none"/>
        </w:rPr>
      </w:pPr>
    </w:p>
    <w:p>
      <w:pPr>
        <w:widowControl/>
        <w:spacing w:line="420" w:lineRule="atLeast"/>
        <w:rPr>
          <w:rFonts w:ascii="宋体" w:hAnsi="宋体" w:cs="宋体"/>
          <w:kern w:val="0"/>
          <w:sz w:val="24"/>
          <w:szCs w:val="24"/>
          <w:highlight w:val="none"/>
        </w:rPr>
      </w:pPr>
    </w:p>
    <w:p>
      <w:pPr>
        <w:widowControl/>
        <w:spacing w:line="420" w:lineRule="atLeast"/>
        <w:rPr>
          <w:rFonts w:ascii="宋体" w:hAnsi="宋体" w:cs="宋体"/>
          <w:kern w:val="0"/>
          <w:sz w:val="24"/>
          <w:szCs w:val="24"/>
          <w:highlight w:val="none"/>
        </w:rPr>
      </w:pPr>
    </w:p>
    <w:p>
      <w:pPr>
        <w:widowControl/>
        <w:spacing w:line="420" w:lineRule="atLeast"/>
        <w:rPr>
          <w:rFonts w:ascii="宋体" w:hAnsi="宋体" w:cs="宋体"/>
          <w:kern w:val="0"/>
          <w:sz w:val="24"/>
          <w:szCs w:val="24"/>
          <w:highlight w:val="none"/>
        </w:rPr>
      </w:pPr>
    </w:p>
    <w:p>
      <w:pPr>
        <w:widowControl/>
        <w:spacing w:line="420" w:lineRule="atLeast"/>
        <w:rPr>
          <w:rFonts w:ascii="宋体" w:hAnsi="宋体" w:cs="宋体"/>
          <w:kern w:val="0"/>
          <w:sz w:val="24"/>
          <w:szCs w:val="24"/>
          <w:highlight w:val="none"/>
        </w:rPr>
      </w:pPr>
    </w:p>
    <w:p>
      <w:pPr>
        <w:widowControl/>
        <w:spacing w:line="420" w:lineRule="atLeast"/>
        <w:rPr>
          <w:rFonts w:ascii="宋体" w:hAnsi="宋体" w:cs="宋体"/>
          <w:kern w:val="0"/>
          <w:sz w:val="24"/>
          <w:szCs w:val="24"/>
          <w:highlight w:val="none"/>
        </w:rPr>
      </w:pPr>
    </w:p>
    <w:p>
      <w:pPr>
        <w:widowControl/>
        <w:spacing w:line="420" w:lineRule="atLeast"/>
        <w:rPr>
          <w:rFonts w:ascii="宋体" w:hAnsi="宋体" w:cs="宋体"/>
          <w:kern w:val="0"/>
          <w:sz w:val="24"/>
          <w:szCs w:val="24"/>
          <w:highlight w:val="none"/>
        </w:rPr>
      </w:pPr>
    </w:p>
    <w:p>
      <w:pPr>
        <w:widowControl/>
        <w:spacing w:line="420" w:lineRule="atLeast"/>
        <w:rPr>
          <w:rFonts w:ascii="宋体" w:hAnsi="宋体" w:cs="宋体"/>
          <w:kern w:val="0"/>
          <w:sz w:val="24"/>
          <w:szCs w:val="24"/>
          <w:highlight w:val="none"/>
        </w:rPr>
      </w:pPr>
    </w:p>
    <w:p>
      <w:pPr>
        <w:widowControl/>
        <w:spacing w:line="420" w:lineRule="atLeast"/>
        <w:rPr>
          <w:rFonts w:ascii="宋体" w:hAnsi="宋体" w:cs="宋体"/>
          <w:kern w:val="0"/>
          <w:sz w:val="24"/>
          <w:szCs w:val="24"/>
          <w:highlight w:val="none"/>
        </w:rPr>
      </w:pPr>
    </w:p>
    <w:p>
      <w:pPr>
        <w:widowControl/>
        <w:spacing w:line="420" w:lineRule="atLeast"/>
        <w:rPr>
          <w:rFonts w:ascii="宋体" w:hAnsi="宋体" w:cs="宋体"/>
          <w:kern w:val="0"/>
          <w:sz w:val="24"/>
          <w:szCs w:val="24"/>
          <w:highlight w:val="none"/>
        </w:rPr>
      </w:pPr>
    </w:p>
    <w:p>
      <w:pPr>
        <w:widowControl/>
        <w:spacing w:line="420" w:lineRule="atLeast"/>
        <w:rPr>
          <w:rFonts w:ascii="宋体" w:hAnsi="宋体" w:cs="宋体"/>
          <w:kern w:val="0"/>
          <w:sz w:val="24"/>
          <w:szCs w:val="24"/>
          <w:highlight w:val="none"/>
        </w:rPr>
      </w:pPr>
    </w:p>
    <w:p>
      <w:pPr>
        <w:widowControl/>
        <w:spacing w:line="420" w:lineRule="atLeast"/>
        <w:rPr>
          <w:rFonts w:ascii="宋体" w:hAnsi="宋体" w:cs="宋体"/>
          <w:kern w:val="0"/>
          <w:sz w:val="24"/>
          <w:szCs w:val="24"/>
          <w:highlight w:val="none"/>
        </w:rPr>
      </w:pPr>
    </w:p>
    <w:p>
      <w:pPr>
        <w:widowControl/>
        <w:spacing w:line="420" w:lineRule="atLeast"/>
        <w:rPr>
          <w:rFonts w:ascii="宋体" w:hAnsi="宋体" w:cs="宋体"/>
          <w:kern w:val="0"/>
          <w:sz w:val="24"/>
          <w:szCs w:val="24"/>
          <w:highlight w:val="none"/>
        </w:rPr>
      </w:pPr>
    </w:p>
    <w:p>
      <w:pPr>
        <w:widowControl/>
        <w:spacing w:line="420" w:lineRule="atLeast"/>
        <w:rPr>
          <w:rFonts w:ascii="宋体" w:hAnsi="宋体" w:cs="宋体"/>
          <w:kern w:val="0"/>
          <w:sz w:val="24"/>
          <w:szCs w:val="24"/>
          <w:highlight w:val="none"/>
        </w:rPr>
      </w:pPr>
    </w:p>
    <w:p>
      <w:pPr>
        <w:widowControl/>
        <w:spacing w:line="420" w:lineRule="atLeast"/>
        <w:rPr>
          <w:rFonts w:ascii="宋体" w:hAnsi="宋体" w:cs="宋体"/>
          <w:kern w:val="0"/>
          <w:sz w:val="24"/>
          <w:szCs w:val="24"/>
          <w:highlight w:val="none"/>
        </w:rPr>
      </w:pPr>
    </w:p>
    <w:p>
      <w:pPr>
        <w:widowControl/>
        <w:spacing w:line="420" w:lineRule="atLeast"/>
        <w:rPr>
          <w:rFonts w:ascii="宋体" w:hAnsi="宋体" w:cs="宋体"/>
          <w:kern w:val="0"/>
          <w:sz w:val="24"/>
          <w:szCs w:val="24"/>
          <w:highlight w:val="none"/>
        </w:rPr>
      </w:pPr>
    </w:p>
    <w:p>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第五章   评审办法及评分标准</w:t>
      </w:r>
    </w:p>
    <w:p>
      <w:pPr>
        <w:pStyle w:val="4"/>
        <w:spacing w:line="360" w:lineRule="auto"/>
        <w:ind w:firstLine="480" w:firstLineChars="200"/>
        <w:rPr>
          <w:rFonts w:hAnsi="宋体"/>
          <w:bCs/>
          <w:color w:val="auto"/>
          <w:sz w:val="24"/>
          <w:szCs w:val="24"/>
          <w:highlight w:val="none"/>
        </w:rPr>
      </w:pPr>
      <w:r>
        <w:rPr>
          <w:rFonts w:hAnsi="宋体"/>
          <w:bCs/>
          <w:color w:val="auto"/>
          <w:sz w:val="24"/>
          <w:szCs w:val="24"/>
          <w:highlight w:val="none"/>
        </w:rPr>
        <w:t>根据《中华人民共和国政府采购法》和《</w:t>
      </w:r>
      <w:r>
        <w:rPr>
          <w:rFonts w:hint="eastAsia" w:hAnsi="宋体"/>
          <w:bCs/>
          <w:color w:val="auto"/>
          <w:sz w:val="24"/>
          <w:szCs w:val="24"/>
          <w:highlight w:val="none"/>
        </w:rPr>
        <w:t>政府采购非招标采购方式管理办法</w:t>
      </w:r>
      <w:r>
        <w:rPr>
          <w:rFonts w:hAnsi="宋体"/>
          <w:bCs/>
          <w:color w:val="auto"/>
          <w:sz w:val="24"/>
          <w:szCs w:val="24"/>
          <w:highlight w:val="none"/>
        </w:rPr>
        <w:t>》的有关规定，为更好地做到公开、公平、公正，结合本次磋商的特点，特制定本评审办法。评标小组用竞争性磋商对磋商项目作出评标结论</w:t>
      </w:r>
      <w:r>
        <w:rPr>
          <w:rFonts w:hint="eastAsia" w:hAnsi="宋体"/>
          <w:bCs/>
          <w:color w:val="auto"/>
          <w:sz w:val="24"/>
          <w:szCs w:val="24"/>
          <w:highlight w:val="none"/>
        </w:rPr>
        <w:t>。</w:t>
      </w:r>
    </w:p>
    <w:p>
      <w:pPr>
        <w:pStyle w:val="4"/>
        <w:spacing w:line="360" w:lineRule="auto"/>
        <w:rPr>
          <w:rFonts w:hAnsi="宋体"/>
          <w:b/>
          <w:bCs/>
          <w:color w:val="auto"/>
          <w:sz w:val="24"/>
          <w:szCs w:val="24"/>
          <w:highlight w:val="none"/>
        </w:rPr>
      </w:pPr>
      <w:r>
        <w:rPr>
          <w:rFonts w:hAnsi="宋体"/>
          <w:b/>
          <w:bCs/>
          <w:color w:val="auto"/>
          <w:sz w:val="24"/>
          <w:szCs w:val="24"/>
          <w:highlight w:val="none"/>
        </w:rPr>
        <w:t>一</w:t>
      </w:r>
      <w:r>
        <w:rPr>
          <w:rFonts w:hint="eastAsia" w:hAnsi="宋体"/>
          <w:b/>
          <w:bCs/>
          <w:color w:val="auto"/>
          <w:sz w:val="24"/>
          <w:szCs w:val="24"/>
          <w:highlight w:val="none"/>
        </w:rPr>
        <w:t>、</w:t>
      </w:r>
      <w:r>
        <w:rPr>
          <w:rFonts w:hAnsi="宋体"/>
          <w:b/>
          <w:bCs/>
          <w:color w:val="auto"/>
          <w:sz w:val="24"/>
          <w:szCs w:val="24"/>
          <w:highlight w:val="none"/>
        </w:rPr>
        <w:t>评审程序</w:t>
      </w:r>
    </w:p>
    <w:p>
      <w:pPr>
        <w:pStyle w:val="4"/>
        <w:spacing w:line="360" w:lineRule="auto"/>
        <w:ind w:firstLine="480" w:firstLineChars="200"/>
        <w:rPr>
          <w:rFonts w:hAnsi="宋体"/>
          <w:bCs/>
          <w:color w:val="auto"/>
          <w:sz w:val="24"/>
          <w:szCs w:val="24"/>
          <w:highlight w:val="none"/>
        </w:rPr>
      </w:pPr>
      <w:r>
        <w:rPr>
          <w:rFonts w:hAnsi="宋体"/>
          <w:bCs/>
          <w:color w:val="auto"/>
          <w:sz w:val="24"/>
          <w:szCs w:val="24"/>
          <w:highlight w:val="none"/>
        </w:rPr>
        <w:t>1、对</w:t>
      </w:r>
      <w:r>
        <w:rPr>
          <w:rFonts w:hint="eastAsia" w:hAnsi="宋体"/>
          <w:bCs/>
          <w:color w:val="auto"/>
          <w:sz w:val="24"/>
          <w:szCs w:val="24"/>
          <w:highlight w:val="none"/>
        </w:rPr>
        <w:t>磋商</w:t>
      </w:r>
      <w:r>
        <w:rPr>
          <w:rFonts w:hAnsi="宋体"/>
          <w:bCs/>
          <w:color w:val="auto"/>
          <w:sz w:val="24"/>
          <w:szCs w:val="24"/>
          <w:highlight w:val="none"/>
        </w:rPr>
        <w:t>响应文件的完整性、符合性、响应性等进行审查。凡不符合有关规定或不响应</w:t>
      </w:r>
      <w:r>
        <w:rPr>
          <w:rFonts w:hint="eastAsia" w:hAnsi="宋体"/>
          <w:bCs/>
          <w:color w:val="auto"/>
          <w:sz w:val="24"/>
          <w:szCs w:val="24"/>
          <w:highlight w:val="none"/>
        </w:rPr>
        <w:t>磋商</w:t>
      </w:r>
      <w:r>
        <w:rPr>
          <w:rFonts w:hAnsi="宋体"/>
          <w:bCs/>
          <w:color w:val="auto"/>
          <w:sz w:val="24"/>
          <w:szCs w:val="24"/>
          <w:highlight w:val="none"/>
        </w:rPr>
        <w:t>文件要求的</w:t>
      </w:r>
      <w:r>
        <w:rPr>
          <w:rFonts w:hint="eastAsia" w:hAnsi="宋体"/>
          <w:bCs/>
          <w:color w:val="auto"/>
          <w:sz w:val="24"/>
          <w:szCs w:val="24"/>
          <w:highlight w:val="none"/>
        </w:rPr>
        <w:t>磋商</w:t>
      </w:r>
      <w:r>
        <w:rPr>
          <w:rFonts w:hAnsi="宋体"/>
          <w:bCs/>
          <w:color w:val="auto"/>
          <w:sz w:val="24"/>
          <w:szCs w:val="24"/>
          <w:highlight w:val="none"/>
        </w:rPr>
        <w:t>响应文件将不进入</w:t>
      </w:r>
      <w:r>
        <w:rPr>
          <w:rFonts w:hint="eastAsia" w:hAnsi="宋体"/>
          <w:bCs/>
          <w:color w:val="auto"/>
          <w:sz w:val="24"/>
          <w:szCs w:val="24"/>
          <w:highlight w:val="none"/>
        </w:rPr>
        <w:t>磋商</w:t>
      </w:r>
      <w:r>
        <w:rPr>
          <w:rFonts w:hAnsi="宋体"/>
          <w:bCs/>
          <w:color w:val="auto"/>
          <w:sz w:val="24"/>
          <w:szCs w:val="24"/>
          <w:highlight w:val="none"/>
        </w:rPr>
        <w:t>范围。</w:t>
      </w:r>
    </w:p>
    <w:p>
      <w:pPr>
        <w:pStyle w:val="4"/>
        <w:spacing w:line="360" w:lineRule="auto"/>
        <w:ind w:firstLine="480" w:firstLineChars="200"/>
        <w:rPr>
          <w:rFonts w:hAnsi="宋体"/>
          <w:bCs/>
          <w:color w:val="auto"/>
          <w:sz w:val="24"/>
          <w:szCs w:val="24"/>
          <w:highlight w:val="none"/>
        </w:rPr>
      </w:pPr>
      <w:r>
        <w:rPr>
          <w:rFonts w:hAnsi="宋体"/>
          <w:bCs/>
          <w:color w:val="auto"/>
          <w:sz w:val="24"/>
          <w:szCs w:val="24"/>
          <w:highlight w:val="none"/>
        </w:rPr>
        <w:t>2、</w:t>
      </w:r>
      <w:r>
        <w:rPr>
          <w:rFonts w:hint="eastAsia" w:hAnsi="宋体"/>
          <w:bCs/>
          <w:color w:val="auto"/>
          <w:sz w:val="24"/>
          <w:szCs w:val="24"/>
          <w:highlight w:val="none"/>
        </w:rPr>
        <w:t>磋商</w:t>
      </w:r>
      <w:r>
        <w:rPr>
          <w:rFonts w:hAnsi="宋体"/>
          <w:bCs/>
          <w:color w:val="auto"/>
          <w:sz w:val="24"/>
          <w:szCs w:val="24"/>
          <w:highlight w:val="none"/>
        </w:rPr>
        <w:t>小组所有成员应当集中与进入</w:t>
      </w:r>
      <w:r>
        <w:rPr>
          <w:rFonts w:hint="eastAsia" w:hAnsi="宋体"/>
          <w:bCs/>
          <w:color w:val="auto"/>
          <w:sz w:val="24"/>
          <w:szCs w:val="24"/>
          <w:highlight w:val="none"/>
        </w:rPr>
        <w:t>磋商</w:t>
      </w:r>
      <w:r>
        <w:rPr>
          <w:rFonts w:hAnsi="宋体"/>
          <w:bCs/>
          <w:color w:val="auto"/>
          <w:sz w:val="24"/>
          <w:szCs w:val="24"/>
          <w:highlight w:val="none"/>
        </w:rPr>
        <w:t>范围的供应商分别进行</w:t>
      </w:r>
      <w:r>
        <w:rPr>
          <w:rFonts w:hint="eastAsia" w:hAnsi="宋体"/>
          <w:bCs/>
          <w:color w:val="auto"/>
          <w:sz w:val="24"/>
          <w:szCs w:val="24"/>
          <w:highlight w:val="none"/>
        </w:rPr>
        <w:t>磋商</w:t>
      </w:r>
      <w:r>
        <w:rPr>
          <w:rFonts w:hAnsi="宋体"/>
          <w:bCs/>
          <w:color w:val="auto"/>
          <w:sz w:val="24"/>
          <w:szCs w:val="24"/>
          <w:highlight w:val="none"/>
        </w:rPr>
        <w:t>，并给予所有参加</w:t>
      </w:r>
      <w:r>
        <w:rPr>
          <w:rFonts w:hint="eastAsia" w:hAnsi="宋体"/>
          <w:bCs/>
          <w:color w:val="auto"/>
          <w:sz w:val="24"/>
          <w:szCs w:val="24"/>
          <w:highlight w:val="none"/>
        </w:rPr>
        <w:t>磋商</w:t>
      </w:r>
      <w:r>
        <w:rPr>
          <w:rFonts w:hAnsi="宋体"/>
          <w:bCs/>
          <w:color w:val="auto"/>
          <w:sz w:val="24"/>
          <w:szCs w:val="24"/>
          <w:highlight w:val="none"/>
        </w:rPr>
        <w:t>的供应商平等的</w:t>
      </w:r>
      <w:r>
        <w:rPr>
          <w:rFonts w:hint="eastAsia" w:hAnsi="宋体"/>
          <w:bCs/>
          <w:color w:val="auto"/>
          <w:sz w:val="24"/>
          <w:szCs w:val="24"/>
          <w:highlight w:val="none"/>
        </w:rPr>
        <w:t>磋商</w:t>
      </w:r>
      <w:r>
        <w:rPr>
          <w:rFonts w:hAnsi="宋体"/>
          <w:bCs/>
          <w:color w:val="auto"/>
          <w:sz w:val="24"/>
          <w:szCs w:val="24"/>
          <w:highlight w:val="none"/>
        </w:rPr>
        <w:t>机会。</w:t>
      </w:r>
    </w:p>
    <w:p>
      <w:pPr>
        <w:pStyle w:val="4"/>
        <w:spacing w:line="360" w:lineRule="auto"/>
        <w:ind w:firstLine="480" w:firstLineChars="200"/>
        <w:rPr>
          <w:rFonts w:hAnsi="宋体"/>
          <w:bCs/>
          <w:color w:val="auto"/>
          <w:sz w:val="24"/>
          <w:szCs w:val="24"/>
          <w:highlight w:val="none"/>
        </w:rPr>
      </w:pPr>
      <w:r>
        <w:rPr>
          <w:rFonts w:hAnsi="宋体"/>
          <w:bCs/>
          <w:color w:val="auto"/>
          <w:sz w:val="24"/>
          <w:szCs w:val="24"/>
          <w:highlight w:val="none"/>
        </w:rPr>
        <w:t>在</w:t>
      </w:r>
      <w:r>
        <w:rPr>
          <w:rFonts w:hint="eastAsia" w:hAnsi="宋体"/>
          <w:bCs/>
          <w:color w:val="auto"/>
          <w:sz w:val="24"/>
          <w:szCs w:val="24"/>
          <w:highlight w:val="none"/>
        </w:rPr>
        <w:t>磋商</w:t>
      </w:r>
      <w:r>
        <w:rPr>
          <w:rFonts w:hAnsi="宋体"/>
          <w:bCs/>
          <w:color w:val="auto"/>
          <w:sz w:val="24"/>
          <w:szCs w:val="24"/>
          <w:highlight w:val="none"/>
        </w:rPr>
        <w:t>过程中，</w:t>
      </w:r>
      <w:r>
        <w:rPr>
          <w:rFonts w:hint="eastAsia" w:hAnsi="宋体"/>
          <w:bCs/>
          <w:color w:val="auto"/>
          <w:sz w:val="24"/>
          <w:szCs w:val="24"/>
          <w:highlight w:val="none"/>
        </w:rPr>
        <w:t>磋商</w:t>
      </w:r>
      <w:r>
        <w:rPr>
          <w:rFonts w:hAnsi="宋体"/>
          <w:bCs/>
          <w:color w:val="auto"/>
          <w:sz w:val="24"/>
          <w:szCs w:val="24"/>
          <w:highlight w:val="none"/>
        </w:rPr>
        <w:t>小组可以根据</w:t>
      </w:r>
      <w:r>
        <w:rPr>
          <w:rFonts w:hint="eastAsia" w:hAnsi="宋体"/>
          <w:bCs/>
          <w:color w:val="auto"/>
          <w:sz w:val="24"/>
          <w:szCs w:val="24"/>
          <w:highlight w:val="none"/>
        </w:rPr>
        <w:t>磋商</w:t>
      </w:r>
      <w:r>
        <w:rPr>
          <w:rFonts w:hAnsi="宋体"/>
          <w:bCs/>
          <w:color w:val="auto"/>
          <w:sz w:val="24"/>
          <w:szCs w:val="24"/>
          <w:highlight w:val="none"/>
        </w:rPr>
        <w:t>文件和</w:t>
      </w:r>
      <w:r>
        <w:rPr>
          <w:rFonts w:hint="eastAsia" w:hAnsi="宋体"/>
          <w:bCs/>
          <w:color w:val="auto"/>
          <w:sz w:val="24"/>
          <w:szCs w:val="24"/>
          <w:highlight w:val="none"/>
        </w:rPr>
        <w:t>磋商</w:t>
      </w:r>
      <w:r>
        <w:rPr>
          <w:rFonts w:hAnsi="宋体"/>
          <w:bCs/>
          <w:color w:val="auto"/>
          <w:sz w:val="24"/>
          <w:szCs w:val="24"/>
          <w:highlight w:val="none"/>
        </w:rPr>
        <w:t>情况变动采购需求中的技术、服务要求以及合同草案条款，但不得变动</w:t>
      </w:r>
      <w:r>
        <w:rPr>
          <w:rFonts w:hint="eastAsia" w:hAnsi="宋体"/>
          <w:bCs/>
          <w:color w:val="auto"/>
          <w:sz w:val="24"/>
          <w:szCs w:val="24"/>
          <w:highlight w:val="none"/>
        </w:rPr>
        <w:t>磋商</w:t>
      </w:r>
      <w:r>
        <w:rPr>
          <w:rFonts w:hAnsi="宋体"/>
          <w:bCs/>
          <w:color w:val="auto"/>
          <w:sz w:val="24"/>
          <w:szCs w:val="24"/>
          <w:highlight w:val="none"/>
        </w:rPr>
        <w:t>文件中的其他实质性内容。变动的内容，须经采购人代表确认。</w:t>
      </w:r>
    </w:p>
    <w:p>
      <w:pPr>
        <w:pStyle w:val="4"/>
        <w:spacing w:line="360" w:lineRule="auto"/>
        <w:ind w:firstLine="480" w:firstLineChars="200"/>
        <w:rPr>
          <w:rFonts w:hAnsi="宋体"/>
          <w:bCs/>
          <w:color w:val="auto"/>
          <w:sz w:val="24"/>
          <w:szCs w:val="24"/>
          <w:highlight w:val="none"/>
        </w:rPr>
      </w:pPr>
      <w:r>
        <w:rPr>
          <w:rFonts w:hAnsi="宋体"/>
          <w:bCs/>
          <w:color w:val="auto"/>
          <w:sz w:val="24"/>
          <w:szCs w:val="24"/>
          <w:highlight w:val="none"/>
        </w:rPr>
        <w:t>对</w:t>
      </w:r>
      <w:r>
        <w:rPr>
          <w:rFonts w:hint="eastAsia" w:hAnsi="宋体"/>
          <w:bCs/>
          <w:color w:val="auto"/>
          <w:sz w:val="24"/>
          <w:szCs w:val="24"/>
          <w:highlight w:val="none"/>
        </w:rPr>
        <w:t>磋商</w:t>
      </w:r>
      <w:r>
        <w:rPr>
          <w:rFonts w:hAnsi="宋体"/>
          <w:bCs/>
          <w:color w:val="auto"/>
          <w:sz w:val="24"/>
          <w:szCs w:val="24"/>
          <w:highlight w:val="none"/>
        </w:rPr>
        <w:t>文件作出变动是</w:t>
      </w:r>
      <w:r>
        <w:rPr>
          <w:rFonts w:hint="eastAsia" w:hAnsi="宋体"/>
          <w:bCs/>
          <w:color w:val="auto"/>
          <w:sz w:val="24"/>
          <w:szCs w:val="24"/>
          <w:highlight w:val="none"/>
        </w:rPr>
        <w:t>磋商</w:t>
      </w:r>
      <w:r>
        <w:rPr>
          <w:rFonts w:hAnsi="宋体"/>
          <w:bCs/>
          <w:color w:val="auto"/>
          <w:sz w:val="24"/>
          <w:szCs w:val="24"/>
          <w:highlight w:val="none"/>
        </w:rPr>
        <w:t>文件的有效组成部分，</w:t>
      </w:r>
      <w:r>
        <w:rPr>
          <w:rFonts w:hint="eastAsia" w:hAnsi="宋体"/>
          <w:bCs/>
          <w:color w:val="auto"/>
          <w:sz w:val="24"/>
          <w:szCs w:val="24"/>
          <w:highlight w:val="none"/>
        </w:rPr>
        <w:t>磋商</w:t>
      </w:r>
      <w:r>
        <w:rPr>
          <w:rFonts w:hAnsi="宋体"/>
          <w:bCs/>
          <w:color w:val="auto"/>
          <w:sz w:val="24"/>
          <w:szCs w:val="24"/>
          <w:highlight w:val="none"/>
        </w:rPr>
        <w:t>小组应当及时书面形式同时通知所有参加</w:t>
      </w:r>
      <w:r>
        <w:rPr>
          <w:rFonts w:hint="eastAsia" w:hAnsi="宋体"/>
          <w:bCs/>
          <w:color w:val="auto"/>
          <w:sz w:val="24"/>
          <w:szCs w:val="24"/>
          <w:highlight w:val="none"/>
        </w:rPr>
        <w:t>磋商</w:t>
      </w:r>
      <w:r>
        <w:rPr>
          <w:rFonts w:hAnsi="宋体"/>
          <w:bCs/>
          <w:color w:val="auto"/>
          <w:sz w:val="24"/>
          <w:szCs w:val="24"/>
          <w:highlight w:val="none"/>
        </w:rPr>
        <w:t>的供应商。</w:t>
      </w:r>
    </w:p>
    <w:p>
      <w:pPr>
        <w:pStyle w:val="4"/>
        <w:spacing w:line="360" w:lineRule="auto"/>
        <w:ind w:firstLine="480" w:firstLineChars="200"/>
        <w:rPr>
          <w:rFonts w:hAnsi="宋体"/>
          <w:bCs/>
          <w:color w:val="auto"/>
          <w:sz w:val="24"/>
          <w:szCs w:val="24"/>
          <w:highlight w:val="none"/>
        </w:rPr>
      </w:pPr>
      <w:r>
        <w:rPr>
          <w:rFonts w:hAnsi="宋体"/>
          <w:bCs/>
          <w:color w:val="auto"/>
          <w:sz w:val="24"/>
          <w:szCs w:val="24"/>
          <w:highlight w:val="none"/>
        </w:rPr>
        <w:t>供应商应当按照</w:t>
      </w:r>
      <w:r>
        <w:rPr>
          <w:rFonts w:hint="eastAsia" w:hAnsi="宋体"/>
          <w:bCs/>
          <w:color w:val="auto"/>
          <w:sz w:val="24"/>
          <w:szCs w:val="24"/>
          <w:highlight w:val="none"/>
        </w:rPr>
        <w:t>磋商</w:t>
      </w:r>
      <w:r>
        <w:rPr>
          <w:rFonts w:hAnsi="宋体"/>
          <w:bCs/>
          <w:color w:val="auto"/>
          <w:sz w:val="24"/>
          <w:szCs w:val="24"/>
          <w:highlight w:val="none"/>
        </w:rPr>
        <w:t>文件的变动情况和</w:t>
      </w:r>
      <w:r>
        <w:rPr>
          <w:rFonts w:hint="eastAsia" w:hAnsi="宋体"/>
          <w:bCs/>
          <w:color w:val="auto"/>
          <w:sz w:val="24"/>
          <w:szCs w:val="24"/>
          <w:highlight w:val="none"/>
        </w:rPr>
        <w:t>磋商</w:t>
      </w:r>
      <w:r>
        <w:rPr>
          <w:rFonts w:hAnsi="宋体"/>
          <w:bCs/>
          <w:color w:val="auto"/>
          <w:sz w:val="24"/>
          <w:szCs w:val="24"/>
          <w:highlight w:val="none"/>
        </w:rPr>
        <w:t>小组的要求重新提交响应文件，并由其法定代表人或授权代表签字或者加盖公章。</w:t>
      </w:r>
    </w:p>
    <w:p>
      <w:pPr>
        <w:pStyle w:val="4"/>
        <w:spacing w:line="360" w:lineRule="auto"/>
        <w:ind w:firstLine="480" w:firstLineChars="200"/>
        <w:rPr>
          <w:rFonts w:hAnsi="宋体"/>
          <w:bCs/>
          <w:color w:val="auto"/>
          <w:sz w:val="24"/>
          <w:szCs w:val="24"/>
          <w:highlight w:val="none"/>
        </w:rPr>
      </w:pPr>
      <w:r>
        <w:rPr>
          <w:rFonts w:hAnsi="宋体"/>
          <w:bCs/>
          <w:color w:val="auto"/>
          <w:sz w:val="24"/>
          <w:szCs w:val="24"/>
          <w:highlight w:val="none"/>
        </w:rPr>
        <w:t>3、对经过</w:t>
      </w:r>
      <w:r>
        <w:rPr>
          <w:rFonts w:hint="eastAsia" w:hAnsi="宋体"/>
          <w:bCs/>
          <w:color w:val="auto"/>
          <w:sz w:val="24"/>
          <w:szCs w:val="24"/>
          <w:highlight w:val="none"/>
        </w:rPr>
        <w:t>磋商</w:t>
      </w:r>
      <w:r>
        <w:rPr>
          <w:rFonts w:hAnsi="宋体"/>
          <w:bCs/>
          <w:color w:val="auto"/>
          <w:sz w:val="24"/>
          <w:szCs w:val="24"/>
          <w:highlight w:val="none"/>
        </w:rPr>
        <w:t>技术</w:t>
      </w:r>
      <w:r>
        <w:rPr>
          <w:rFonts w:hint="eastAsia" w:hAnsi="宋体"/>
          <w:bCs/>
          <w:color w:val="auto"/>
          <w:sz w:val="24"/>
          <w:szCs w:val="24"/>
          <w:highlight w:val="none"/>
        </w:rPr>
        <w:t>有效单位</w:t>
      </w:r>
      <w:r>
        <w:rPr>
          <w:rFonts w:hAnsi="宋体"/>
          <w:bCs/>
          <w:color w:val="auto"/>
          <w:sz w:val="24"/>
          <w:szCs w:val="24"/>
          <w:highlight w:val="none"/>
        </w:rPr>
        <w:t>的</w:t>
      </w:r>
      <w:r>
        <w:rPr>
          <w:rFonts w:hint="eastAsia" w:hAnsi="宋体"/>
          <w:bCs/>
          <w:color w:val="auto"/>
          <w:sz w:val="24"/>
          <w:szCs w:val="24"/>
          <w:highlight w:val="none"/>
        </w:rPr>
        <w:t>最终报价</w:t>
      </w:r>
      <w:r>
        <w:rPr>
          <w:rFonts w:hAnsi="宋体"/>
          <w:bCs/>
          <w:color w:val="auto"/>
          <w:sz w:val="24"/>
          <w:szCs w:val="24"/>
          <w:highlight w:val="none"/>
        </w:rPr>
        <w:t>进行审查。</w:t>
      </w:r>
    </w:p>
    <w:p>
      <w:pPr>
        <w:pStyle w:val="4"/>
        <w:spacing w:line="360" w:lineRule="auto"/>
        <w:ind w:firstLine="480" w:firstLineChars="200"/>
        <w:rPr>
          <w:rFonts w:hAnsi="宋体"/>
          <w:bCs/>
          <w:color w:val="auto"/>
          <w:sz w:val="24"/>
          <w:szCs w:val="24"/>
          <w:highlight w:val="none"/>
        </w:rPr>
      </w:pPr>
      <w:r>
        <w:rPr>
          <w:rFonts w:hAnsi="宋体"/>
          <w:bCs/>
          <w:color w:val="auto"/>
          <w:sz w:val="24"/>
          <w:szCs w:val="24"/>
          <w:highlight w:val="none"/>
        </w:rPr>
        <w:t>4、推荐成交候选人、出具评审报告</w:t>
      </w:r>
    </w:p>
    <w:p>
      <w:pPr>
        <w:pStyle w:val="4"/>
        <w:spacing w:line="360" w:lineRule="auto"/>
        <w:rPr>
          <w:rFonts w:hAnsi="宋体"/>
          <w:b/>
          <w:bCs/>
          <w:color w:val="auto"/>
          <w:sz w:val="24"/>
          <w:szCs w:val="24"/>
          <w:highlight w:val="none"/>
        </w:rPr>
      </w:pPr>
      <w:r>
        <w:rPr>
          <w:rFonts w:hint="eastAsia" w:hAnsi="宋体"/>
          <w:b/>
          <w:bCs/>
          <w:color w:val="auto"/>
          <w:sz w:val="24"/>
          <w:szCs w:val="24"/>
          <w:highlight w:val="none"/>
        </w:rPr>
        <w:t>二</w:t>
      </w:r>
      <w:r>
        <w:rPr>
          <w:rFonts w:hAnsi="宋体"/>
          <w:b/>
          <w:bCs/>
          <w:color w:val="auto"/>
          <w:sz w:val="24"/>
          <w:szCs w:val="24"/>
          <w:highlight w:val="none"/>
        </w:rPr>
        <w:t>、评审办法</w:t>
      </w:r>
    </w:p>
    <w:p>
      <w:pPr>
        <w:pStyle w:val="4"/>
        <w:spacing w:line="360" w:lineRule="auto"/>
        <w:ind w:firstLine="480" w:firstLineChars="200"/>
        <w:rPr>
          <w:rFonts w:hAnsi="宋体"/>
          <w:color w:val="auto"/>
          <w:sz w:val="24"/>
          <w:highlight w:val="none"/>
        </w:rPr>
      </w:pPr>
      <w:r>
        <w:rPr>
          <w:rFonts w:hint="eastAsia" w:hAnsi="宋体"/>
          <w:color w:val="auto"/>
          <w:sz w:val="24"/>
          <w:highlight w:val="none"/>
        </w:rPr>
        <w:t>本次评审采用综合评分法，总分为100分，由商务报价、技术、资信等部分组成。</w:t>
      </w:r>
      <w:r>
        <w:rPr>
          <w:rFonts w:hint="eastAsia" w:hAnsi="宋体"/>
          <w:bCs/>
          <w:color w:val="auto"/>
          <w:sz w:val="24"/>
          <w:szCs w:val="24"/>
          <w:highlight w:val="none"/>
        </w:rPr>
        <w:t>磋商小组根据评审情况，</w:t>
      </w:r>
      <w:r>
        <w:rPr>
          <w:rFonts w:hAnsi="宋体"/>
          <w:bCs/>
          <w:color w:val="auto"/>
          <w:sz w:val="24"/>
          <w:szCs w:val="24"/>
          <w:highlight w:val="none"/>
        </w:rPr>
        <w:t>由各专家独立酌情给分，打分时保留小数1位，每人一份评分表，并签名。在统计得分时，如果发现某一单项评分超过评分标准规定的分值范围，则该张评分表无效。供应商最终得分为</w:t>
      </w:r>
      <w:r>
        <w:rPr>
          <w:rFonts w:hint="eastAsia" w:hAnsi="宋体"/>
          <w:bCs/>
          <w:color w:val="auto"/>
          <w:sz w:val="24"/>
          <w:szCs w:val="24"/>
          <w:highlight w:val="none"/>
        </w:rPr>
        <w:t>磋商小组</w:t>
      </w:r>
      <w:r>
        <w:rPr>
          <w:rFonts w:hAnsi="宋体"/>
          <w:bCs/>
          <w:color w:val="auto"/>
          <w:sz w:val="24"/>
          <w:szCs w:val="24"/>
          <w:highlight w:val="none"/>
        </w:rPr>
        <w:t>所有成员的有效评分的算术</w:t>
      </w:r>
      <w:r>
        <w:rPr>
          <w:rFonts w:hint="eastAsia" w:hAnsi="宋体"/>
          <w:bCs/>
          <w:color w:val="auto"/>
          <w:sz w:val="24"/>
          <w:szCs w:val="24"/>
          <w:highlight w:val="none"/>
        </w:rPr>
        <w:t>平均值，计算时保留小数2位。</w:t>
      </w:r>
      <w:r>
        <w:rPr>
          <w:rFonts w:hint="eastAsia" w:hAnsi="宋体"/>
          <w:color w:val="auto"/>
          <w:sz w:val="24"/>
          <w:highlight w:val="none"/>
        </w:rPr>
        <w:t>递交了有效响应文件的供应商的评审得分为各项目汇总得分，成交候选资格按评审得分由高到低顺序排列，得分相同的，由磋商小组投票决定。</w:t>
      </w:r>
      <w:r>
        <w:rPr>
          <w:rFonts w:hint="eastAsia" w:hAnsi="宋体"/>
          <w:bCs/>
          <w:color w:val="auto"/>
          <w:sz w:val="24"/>
          <w:highlight w:val="none"/>
        </w:rPr>
        <w:t>评分过程中采用四舍五入法，并保留小数2位。磋商小组推荐</w:t>
      </w:r>
      <w:r>
        <w:rPr>
          <w:rFonts w:hint="eastAsia" w:hAnsi="宋体"/>
          <w:color w:val="auto"/>
          <w:sz w:val="24"/>
          <w:highlight w:val="none"/>
        </w:rPr>
        <w:t>综合得分最高的</w:t>
      </w:r>
      <w:r>
        <w:rPr>
          <w:rFonts w:hint="eastAsia" w:hAnsi="宋体"/>
          <w:bCs/>
          <w:color w:val="auto"/>
          <w:sz w:val="24"/>
          <w:highlight w:val="none"/>
        </w:rPr>
        <w:t>供应商为成交候选人。</w:t>
      </w:r>
    </w:p>
    <w:p>
      <w:pPr>
        <w:pStyle w:val="4"/>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1、技术文件评审</w:t>
      </w:r>
    </w:p>
    <w:p>
      <w:pPr>
        <w:pStyle w:val="4"/>
        <w:spacing w:line="360" w:lineRule="auto"/>
        <w:ind w:firstLine="480" w:firstLineChars="200"/>
        <w:rPr>
          <w:rFonts w:hAnsi="宋体"/>
          <w:bCs/>
          <w:color w:val="auto"/>
          <w:sz w:val="24"/>
          <w:szCs w:val="24"/>
          <w:highlight w:val="none"/>
        </w:rPr>
      </w:pPr>
      <w:r>
        <w:rPr>
          <w:rFonts w:hAnsi="宋体"/>
          <w:bCs/>
          <w:color w:val="auto"/>
          <w:sz w:val="24"/>
          <w:szCs w:val="24"/>
          <w:highlight w:val="none"/>
        </w:rPr>
        <w:t>技术分满分为</w:t>
      </w:r>
      <w:r>
        <w:rPr>
          <w:rFonts w:hint="eastAsia" w:hAnsi="宋体"/>
          <w:bCs/>
          <w:color w:val="auto"/>
          <w:sz w:val="24"/>
          <w:szCs w:val="24"/>
          <w:highlight w:val="none"/>
          <w:lang w:val="en-US" w:eastAsia="zh-CN"/>
        </w:rPr>
        <w:t>6</w:t>
      </w:r>
      <w:r>
        <w:rPr>
          <w:rFonts w:hAnsi="宋体"/>
          <w:bCs/>
          <w:color w:val="auto"/>
          <w:sz w:val="24"/>
          <w:szCs w:val="24"/>
          <w:highlight w:val="none"/>
        </w:rPr>
        <w:t>0分，分值分配见表格。</w:t>
      </w:r>
    </w:p>
    <w:tbl>
      <w:tblPr>
        <w:tblStyle w:val="11"/>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389"/>
        <w:gridCol w:w="637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846" w:type="dxa"/>
            <w:vAlign w:val="center"/>
          </w:tcPr>
          <w:p>
            <w:pPr>
              <w:jc w:val="center"/>
              <w:rPr>
                <w:rFonts w:ascii="宋体" w:hAnsi="宋体"/>
                <w:color w:val="auto"/>
                <w:sz w:val="24"/>
                <w:szCs w:val="24"/>
                <w:highlight w:val="none"/>
              </w:rPr>
            </w:pPr>
            <w:r>
              <w:rPr>
                <w:rFonts w:hint="eastAsia" w:ascii="宋体" w:hAnsi="宋体"/>
                <w:b/>
                <w:color w:val="auto"/>
                <w:sz w:val="24"/>
                <w:szCs w:val="24"/>
                <w:highlight w:val="none"/>
              </w:rPr>
              <w:t>项目</w:t>
            </w:r>
          </w:p>
        </w:tc>
        <w:tc>
          <w:tcPr>
            <w:tcW w:w="7767" w:type="dxa"/>
            <w:gridSpan w:val="2"/>
            <w:vAlign w:val="center"/>
          </w:tcPr>
          <w:p>
            <w:pPr>
              <w:ind w:firstLine="482"/>
              <w:jc w:val="center"/>
              <w:rPr>
                <w:rFonts w:ascii="宋体" w:hAnsi="宋体"/>
                <w:b/>
                <w:color w:val="auto"/>
                <w:sz w:val="24"/>
                <w:szCs w:val="24"/>
                <w:highlight w:val="none"/>
              </w:rPr>
            </w:pPr>
            <w:r>
              <w:rPr>
                <w:rFonts w:hint="eastAsia" w:ascii="宋体" w:hAnsi="宋体"/>
                <w:b/>
                <w:color w:val="auto"/>
                <w:sz w:val="24"/>
                <w:szCs w:val="24"/>
                <w:highlight w:val="none"/>
              </w:rPr>
              <w:t>评分标准</w:t>
            </w:r>
          </w:p>
        </w:tc>
        <w:tc>
          <w:tcPr>
            <w:tcW w:w="851" w:type="dxa"/>
            <w:vAlign w:val="center"/>
          </w:tcPr>
          <w:p>
            <w:pPr>
              <w:rPr>
                <w:rFonts w:ascii="宋体" w:hAnsi="宋体"/>
                <w:b/>
                <w:color w:val="auto"/>
                <w:sz w:val="24"/>
                <w:szCs w:val="24"/>
                <w:highlight w:val="none"/>
              </w:rPr>
            </w:pPr>
            <w:r>
              <w:rPr>
                <w:rFonts w:hint="eastAsia" w:ascii="宋体" w:hAnsi="宋体"/>
                <w:b/>
                <w:color w:val="auto"/>
                <w:sz w:val="24"/>
                <w:szCs w:val="24"/>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846" w:type="dxa"/>
            <w:vMerge w:val="restart"/>
            <w:vAlign w:val="center"/>
          </w:tcPr>
          <w:p>
            <w:pPr>
              <w:ind w:left="-69" w:leftChars="-33" w:firstLine="2"/>
              <w:contextualSpacing/>
              <w:jc w:val="center"/>
              <w:rPr>
                <w:rFonts w:ascii="宋体" w:hAnsi="宋体"/>
                <w:color w:val="auto"/>
                <w:sz w:val="24"/>
                <w:szCs w:val="24"/>
                <w:highlight w:val="none"/>
              </w:rPr>
            </w:pPr>
            <w:r>
              <w:rPr>
                <w:rFonts w:ascii="宋体" w:hAnsi="宋体"/>
                <w:color w:val="auto"/>
                <w:sz w:val="24"/>
                <w:szCs w:val="24"/>
                <w:highlight w:val="none"/>
              </w:rPr>
              <w:t>技术分</w:t>
            </w:r>
            <w:r>
              <w:rPr>
                <w:rFonts w:hint="eastAsia" w:ascii="宋体" w:hAnsi="宋体"/>
                <w:color w:val="auto"/>
                <w:sz w:val="24"/>
                <w:szCs w:val="24"/>
                <w:highlight w:val="none"/>
              </w:rPr>
              <w:t>（</w:t>
            </w:r>
            <w:r>
              <w:rPr>
                <w:rFonts w:ascii="宋体" w:hAnsi="宋体"/>
                <w:color w:val="auto"/>
                <w:sz w:val="24"/>
                <w:szCs w:val="24"/>
                <w:highlight w:val="none"/>
              </w:rPr>
              <w:t>60分</w:t>
            </w:r>
            <w:r>
              <w:rPr>
                <w:rFonts w:hint="eastAsia" w:ascii="宋体" w:hAnsi="宋体"/>
                <w:color w:val="auto"/>
                <w:sz w:val="24"/>
                <w:szCs w:val="24"/>
                <w:highlight w:val="none"/>
              </w:rPr>
              <w:t>）</w:t>
            </w:r>
          </w:p>
        </w:tc>
        <w:tc>
          <w:tcPr>
            <w:tcW w:w="1389" w:type="dxa"/>
            <w:vAlign w:val="center"/>
          </w:tcPr>
          <w:p>
            <w:pPr>
              <w:contextualSpacing/>
              <w:jc w:val="center"/>
              <w:rPr>
                <w:rFonts w:ascii="宋体" w:hAnsi="宋体"/>
                <w:color w:val="auto"/>
                <w:sz w:val="24"/>
                <w:szCs w:val="24"/>
                <w:highlight w:val="none"/>
              </w:rPr>
            </w:pPr>
            <w:r>
              <w:rPr>
                <w:rFonts w:hint="eastAsia" w:ascii="宋体" w:hAnsi="宋体"/>
                <w:color w:val="auto"/>
                <w:sz w:val="24"/>
                <w:szCs w:val="24"/>
                <w:highlight w:val="none"/>
              </w:rPr>
              <w:t>同类项目业绩情况</w:t>
            </w:r>
          </w:p>
          <w:p>
            <w:pPr>
              <w:contextualSpacing/>
              <w:jc w:val="center"/>
              <w:rPr>
                <w:rFonts w:ascii="宋体" w:hAnsi="宋体"/>
                <w:color w:val="auto"/>
                <w:sz w:val="24"/>
                <w:szCs w:val="24"/>
                <w:highlight w:val="none"/>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分）</w:t>
            </w:r>
          </w:p>
        </w:tc>
        <w:tc>
          <w:tcPr>
            <w:tcW w:w="6378" w:type="dxa"/>
            <w:vAlign w:val="center"/>
          </w:tcPr>
          <w:p>
            <w:pPr>
              <w:contextualSpacing/>
              <w:rPr>
                <w:rFonts w:ascii="宋体" w:hAnsi="宋体"/>
                <w:color w:val="auto"/>
                <w:sz w:val="24"/>
                <w:szCs w:val="24"/>
                <w:highlight w:val="none"/>
              </w:rPr>
            </w:pPr>
            <w:r>
              <w:rPr>
                <w:rFonts w:hint="eastAsia" w:ascii="宋体" w:hAnsi="宋体"/>
                <w:color w:val="auto"/>
                <w:sz w:val="24"/>
                <w:szCs w:val="24"/>
                <w:highlight w:val="none"/>
              </w:rPr>
              <w:t>供应商自2</w:t>
            </w:r>
            <w:r>
              <w:rPr>
                <w:rFonts w:ascii="宋体" w:hAnsi="宋体"/>
                <w:color w:val="auto"/>
                <w:sz w:val="24"/>
                <w:szCs w:val="24"/>
                <w:highlight w:val="none"/>
              </w:rPr>
              <w:t>0</w:t>
            </w:r>
            <w:r>
              <w:rPr>
                <w:rFonts w:hint="eastAsia" w:ascii="宋体" w:hAnsi="宋体"/>
                <w:color w:val="auto"/>
                <w:sz w:val="24"/>
                <w:szCs w:val="24"/>
                <w:highlight w:val="none"/>
                <w:lang w:val="en-US" w:eastAsia="zh-CN"/>
              </w:rPr>
              <w:t>20</w:t>
            </w:r>
            <w:r>
              <w:rPr>
                <w:rFonts w:ascii="宋体" w:hAnsi="宋体"/>
                <w:color w:val="auto"/>
                <w:sz w:val="24"/>
                <w:szCs w:val="24"/>
                <w:highlight w:val="none"/>
              </w:rPr>
              <w:t>年</w:t>
            </w:r>
            <w:r>
              <w:rPr>
                <w:rFonts w:hint="eastAsia" w:ascii="宋体" w:hAnsi="宋体"/>
                <w:color w:val="auto"/>
                <w:sz w:val="24"/>
                <w:szCs w:val="24"/>
                <w:highlight w:val="none"/>
                <w:lang w:val="en-US" w:eastAsia="zh-CN"/>
              </w:rPr>
              <w:t>11</w:t>
            </w:r>
            <w:r>
              <w:rPr>
                <w:rFonts w:hint="eastAsia" w:ascii="宋体" w:hAnsi="宋体"/>
                <w:color w:val="auto"/>
                <w:sz w:val="24"/>
                <w:szCs w:val="24"/>
                <w:highlight w:val="none"/>
              </w:rPr>
              <w:t>月1日至今已完成的类似项目的业绩（同一业主的合同只算一个业绩），每个合同得</w:t>
            </w:r>
            <w:r>
              <w:rPr>
                <w:rFonts w:ascii="宋体" w:hAnsi="宋体"/>
                <w:color w:val="auto"/>
                <w:sz w:val="24"/>
                <w:szCs w:val="24"/>
                <w:highlight w:val="none"/>
              </w:rPr>
              <w:t>1</w:t>
            </w:r>
            <w:r>
              <w:rPr>
                <w:rFonts w:hint="eastAsia" w:ascii="宋体" w:hAnsi="宋体"/>
                <w:color w:val="auto"/>
                <w:sz w:val="24"/>
                <w:szCs w:val="24"/>
                <w:highlight w:val="none"/>
              </w:rPr>
              <w:t>分，满分3分；（磋商响应文件中提供合同复印件及采购单位名称和公章、合同日期）</w:t>
            </w:r>
          </w:p>
        </w:tc>
        <w:tc>
          <w:tcPr>
            <w:tcW w:w="851" w:type="dxa"/>
            <w:vAlign w:val="center"/>
          </w:tcPr>
          <w:p>
            <w:pPr>
              <w:spacing w:line="360" w:lineRule="auto"/>
              <w:jc w:val="center"/>
              <w:rPr>
                <w:rFonts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846" w:type="dxa"/>
            <w:vMerge w:val="continue"/>
            <w:vAlign w:val="center"/>
          </w:tcPr>
          <w:p>
            <w:pPr>
              <w:ind w:left="-69" w:leftChars="-33" w:firstLine="2"/>
              <w:contextualSpacing/>
              <w:jc w:val="center"/>
              <w:rPr>
                <w:rFonts w:ascii="宋体" w:hAnsi="宋体"/>
                <w:color w:val="auto"/>
                <w:sz w:val="24"/>
                <w:szCs w:val="24"/>
                <w:highlight w:val="none"/>
              </w:rPr>
            </w:pPr>
          </w:p>
        </w:tc>
        <w:tc>
          <w:tcPr>
            <w:tcW w:w="1389" w:type="dxa"/>
            <w:vAlign w:val="center"/>
          </w:tcPr>
          <w:p>
            <w:pPr>
              <w:contextualSpacing/>
              <w:rPr>
                <w:rFonts w:ascii="宋体" w:hAnsi="宋体"/>
                <w:color w:val="auto"/>
                <w:sz w:val="24"/>
                <w:szCs w:val="24"/>
                <w:highlight w:val="none"/>
                <w:lang w:val="zh-CN"/>
              </w:rPr>
            </w:pPr>
            <w:r>
              <w:rPr>
                <w:rFonts w:ascii="宋体" w:hAnsi="宋体"/>
                <w:color w:val="auto"/>
                <w:sz w:val="24"/>
                <w:szCs w:val="24"/>
                <w:highlight w:val="none"/>
                <w:lang w:val="zh-CN"/>
              </w:rPr>
              <w:t>产品</w:t>
            </w:r>
            <w:r>
              <w:rPr>
                <w:rFonts w:hint="eastAsia" w:ascii="宋体" w:hAnsi="宋体"/>
                <w:color w:val="auto"/>
                <w:sz w:val="24"/>
                <w:szCs w:val="24"/>
                <w:highlight w:val="none"/>
                <w:lang w:val="zh-CN"/>
              </w:rPr>
              <w:t>方案</w:t>
            </w:r>
          </w:p>
          <w:p>
            <w:pPr>
              <w:contextualSpacing/>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15</w:t>
            </w:r>
            <w:r>
              <w:rPr>
                <w:rFonts w:hint="eastAsia" w:ascii="宋体" w:hAnsi="宋体"/>
                <w:color w:val="auto"/>
                <w:sz w:val="24"/>
                <w:szCs w:val="24"/>
                <w:highlight w:val="none"/>
              </w:rPr>
              <w:t>分）</w:t>
            </w:r>
          </w:p>
        </w:tc>
        <w:tc>
          <w:tcPr>
            <w:tcW w:w="6378" w:type="dxa"/>
            <w:vAlign w:val="center"/>
          </w:tcPr>
          <w:p>
            <w:pPr>
              <w:pStyle w:val="22"/>
              <w:numPr>
                <w:ilvl w:val="0"/>
                <w:numId w:val="6"/>
              </w:numPr>
              <w:ind w:firstLineChars="0"/>
              <w:contextualSpacing/>
              <w:rPr>
                <w:rFonts w:ascii="宋体" w:hAnsi="宋体"/>
                <w:color w:val="auto"/>
                <w:sz w:val="24"/>
                <w:szCs w:val="24"/>
                <w:highlight w:val="none"/>
              </w:rPr>
            </w:pPr>
            <w:r>
              <w:rPr>
                <w:rFonts w:hint="eastAsia" w:ascii="宋体" w:hAnsi="宋体"/>
                <w:color w:val="auto"/>
                <w:sz w:val="24"/>
                <w:szCs w:val="24"/>
                <w:highlight w:val="none"/>
              </w:rPr>
              <w:t>所提供产品品牌知名度及认可度进行评价；0</w:t>
            </w:r>
            <w:r>
              <w:rPr>
                <w:rFonts w:ascii="宋体" w:hAnsi="宋体"/>
                <w:color w:val="auto"/>
                <w:sz w:val="24"/>
                <w:szCs w:val="24"/>
                <w:highlight w:val="none"/>
              </w:rPr>
              <w:t>-5分</w:t>
            </w:r>
          </w:p>
          <w:p>
            <w:pPr>
              <w:pStyle w:val="22"/>
              <w:numPr>
                <w:ilvl w:val="0"/>
                <w:numId w:val="6"/>
              </w:numPr>
              <w:ind w:firstLineChars="0"/>
              <w:contextualSpacing/>
              <w:rPr>
                <w:rFonts w:ascii="宋体" w:hAnsi="宋体"/>
                <w:color w:val="auto"/>
                <w:sz w:val="24"/>
                <w:szCs w:val="24"/>
                <w:highlight w:val="none"/>
              </w:rPr>
            </w:pPr>
            <w:r>
              <w:rPr>
                <w:rFonts w:hint="eastAsia" w:ascii="宋体" w:hAnsi="宋体"/>
                <w:color w:val="auto"/>
                <w:sz w:val="24"/>
                <w:highlight w:val="none"/>
              </w:rPr>
              <w:t>所提供产品品类的全面性进行评价；0-</w:t>
            </w:r>
            <w:r>
              <w:rPr>
                <w:rFonts w:ascii="宋体" w:hAnsi="宋体"/>
                <w:color w:val="auto"/>
                <w:sz w:val="24"/>
                <w:highlight w:val="none"/>
              </w:rPr>
              <w:t>5分</w:t>
            </w:r>
          </w:p>
          <w:p>
            <w:pPr>
              <w:contextualSpacing/>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根据供应商提供的实物慰问品方案的</w:t>
            </w:r>
            <w:r>
              <w:rPr>
                <w:rFonts w:hint="eastAsia" w:ascii="宋体" w:hAnsi="宋体"/>
                <w:color w:val="auto"/>
                <w:sz w:val="24"/>
                <w:szCs w:val="24"/>
                <w:highlight w:val="none"/>
              </w:rPr>
              <w:t>多样性；合理性进行评价；（0</w:t>
            </w:r>
            <w:r>
              <w:rPr>
                <w:rFonts w:ascii="宋体" w:hAnsi="宋体"/>
                <w:color w:val="auto"/>
                <w:sz w:val="24"/>
                <w:szCs w:val="24"/>
                <w:highlight w:val="none"/>
              </w:rPr>
              <w:t>-5分</w:t>
            </w:r>
            <w:r>
              <w:rPr>
                <w:rFonts w:hint="eastAsia" w:ascii="宋体" w:hAnsi="宋体"/>
                <w:color w:val="auto"/>
                <w:sz w:val="24"/>
                <w:szCs w:val="24"/>
                <w:highlight w:val="none"/>
              </w:rPr>
              <w:t>）</w:t>
            </w:r>
          </w:p>
        </w:tc>
        <w:tc>
          <w:tcPr>
            <w:tcW w:w="851" w:type="dxa"/>
            <w:vAlign w:val="center"/>
          </w:tcPr>
          <w:p>
            <w:pPr>
              <w:spacing w:line="360" w:lineRule="auto"/>
              <w:jc w:val="center"/>
              <w:rPr>
                <w:rFonts w:ascii="宋体" w:hAnsi="宋体"/>
                <w:color w:val="auto"/>
                <w:sz w:val="24"/>
                <w:szCs w:val="24"/>
                <w:highlight w:val="none"/>
              </w:rPr>
            </w:pPr>
            <w:r>
              <w:rPr>
                <w:rFonts w:ascii="宋体" w:hAnsi="宋体"/>
                <w:color w:val="auto"/>
                <w:sz w:val="24"/>
                <w:szCs w:val="24"/>
                <w:highlight w:val="none"/>
              </w:rPr>
              <w:t>15</w:t>
            </w:r>
            <w:r>
              <w:rPr>
                <w:rFonts w:hint="eastAsia" w:ascii="宋体" w:hAnsi="宋体"/>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vMerge w:val="continue"/>
            <w:vAlign w:val="center"/>
          </w:tcPr>
          <w:p>
            <w:pPr>
              <w:ind w:left="-69" w:leftChars="-33" w:firstLine="2"/>
              <w:contextualSpacing/>
              <w:jc w:val="center"/>
              <w:rPr>
                <w:rFonts w:ascii="宋体" w:hAnsi="宋体"/>
                <w:color w:val="auto"/>
                <w:sz w:val="24"/>
                <w:szCs w:val="24"/>
                <w:highlight w:val="none"/>
              </w:rPr>
            </w:pPr>
          </w:p>
        </w:tc>
        <w:tc>
          <w:tcPr>
            <w:tcW w:w="1389" w:type="dxa"/>
            <w:vAlign w:val="center"/>
          </w:tcPr>
          <w:p>
            <w:pPr>
              <w:contextualSpacing/>
              <w:rPr>
                <w:rFonts w:ascii="宋体" w:hAnsi="宋体"/>
                <w:color w:val="auto"/>
                <w:sz w:val="24"/>
                <w:szCs w:val="24"/>
                <w:highlight w:val="none"/>
                <w:lang w:val="zh-CN"/>
              </w:rPr>
            </w:pPr>
            <w:r>
              <w:rPr>
                <w:rFonts w:ascii="宋体" w:hAnsi="宋体"/>
                <w:color w:val="auto"/>
                <w:sz w:val="24"/>
                <w:szCs w:val="24"/>
                <w:highlight w:val="none"/>
                <w:lang w:val="zh-CN"/>
              </w:rPr>
              <w:t>产品责任</w:t>
            </w:r>
          </w:p>
          <w:p>
            <w:pPr>
              <w:contextualSpacing/>
              <w:rPr>
                <w:rFonts w:ascii="宋体" w:hAnsi="宋体"/>
                <w:color w:val="auto"/>
                <w:sz w:val="24"/>
                <w:szCs w:val="24"/>
                <w:highlight w:val="none"/>
                <w:lang w:val="zh-CN"/>
              </w:rPr>
            </w:pPr>
            <w:r>
              <w:rPr>
                <w:rFonts w:hint="eastAsia" w:ascii="宋体" w:hAnsi="宋体"/>
                <w:color w:val="auto"/>
                <w:sz w:val="24"/>
                <w:szCs w:val="24"/>
                <w:highlight w:val="none"/>
                <w:lang w:val="zh-CN"/>
              </w:rPr>
              <w:t>（2分）</w:t>
            </w:r>
          </w:p>
        </w:tc>
        <w:tc>
          <w:tcPr>
            <w:tcW w:w="6378" w:type="dxa"/>
            <w:vAlign w:val="center"/>
          </w:tcPr>
          <w:p>
            <w:pPr>
              <w:contextualSpacing/>
              <w:rPr>
                <w:rFonts w:ascii="宋体" w:hAnsi="宋体"/>
                <w:color w:val="auto"/>
                <w:sz w:val="24"/>
                <w:highlight w:val="none"/>
              </w:rPr>
            </w:pPr>
            <w:r>
              <w:rPr>
                <w:rFonts w:hint="eastAsia" w:ascii="宋体" w:hAnsi="宋体"/>
                <w:color w:val="auto"/>
                <w:sz w:val="24"/>
                <w:highlight w:val="none"/>
              </w:rPr>
              <w:t>供应商是否投保食品安全责任保险，并根据食品安全责任险保险单的额度进行综合评分。0</w:t>
            </w:r>
            <w:r>
              <w:rPr>
                <w:rFonts w:ascii="宋体" w:hAnsi="宋体"/>
                <w:color w:val="auto"/>
                <w:sz w:val="24"/>
                <w:highlight w:val="none"/>
              </w:rPr>
              <w:t>-2分</w:t>
            </w:r>
          </w:p>
          <w:p>
            <w:pPr>
              <w:contextualSpacing/>
              <w:rPr>
                <w:rFonts w:ascii="宋体" w:hAnsi="宋体"/>
                <w:color w:val="auto"/>
                <w:sz w:val="24"/>
                <w:szCs w:val="24"/>
                <w:highlight w:val="none"/>
              </w:rPr>
            </w:pPr>
            <w:r>
              <w:rPr>
                <w:rFonts w:ascii="宋体" w:hAnsi="宋体"/>
                <w:color w:val="auto"/>
                <w:sz w:val="24"/>
                <w:highlight w:val="none"/>
              </w:rPr>
              <w:t>注</w:t>
            </w:r>
            <w:r>
              <w:rPr>
                <w:rFonts w:hint="eastAsia" w:ascii="宋体" w:hAnsi="宋体"/>
                <w:color w:val="auto"/>
                <w:sz w:val="24"/>
                <w:highlight w:val="none"/>
              </w:rPr>
              <w:t>：提供保单复印件，不提供不得分。</w:t>
            </w:r>
          </w:p>
        </w:tc>
        <w:tc>
          <w:tcPr>
            <w:tcW w:w="851" w:type="dxa"/>
            <w:vAlign w:val="center"/>
          </w:tcPr>
          <w:p>
            <w:pPr>
              <w:spacing w:line="360" w:lineRule="auto"/>
              <w:jc w:val="center"/>
              <w:rPr>
                <w:rFonts w:ascii="宋体" w:hAnsi="宋体"/>
                <w:color w:val="auto"/>
                <w:sz w:val="24"/>
                <w:szCs w:val="24"/>
                <w:highlight w:val="none"/>
              </w:rPr>
            </w:pPr>
            <w:r>
              <w:rPr>
                <w:rFonts w:ascii="宋体" w:hAnsi="宋体"/>
                <w:color w:val="auto"/>
                <w:sz w:val="24"/>
                <w:szCs w:val="24"/>
                <w:highlight w:val="none"/>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846" w:type="dxa"/>
            <w:vMerge w:val="continue"/>
            <w:vAlign w:val="center"/>
          </w:tcPr>
          <w:p>
            <w:pPr>
              <w:ind w:left="-69" w:leftChars="-33" w:firstLine="2"/>
              <w:contextualSpacing/>
              <w:jc w:val="center"/>
              <w:rPr>
                <w:rFonts w:ascii="宋体" w:hAnsi="宋体"/>
                <w:color w:val="auto"/>
                <w:sz w:val="24"/>
                <w:szCs w:val="24"/>
                <w:highlight w:val="none"/>
              </w:rPr>
            </w:pPr>
          </w:p>
        </w:tc>
        <w:tc>
          <w:tcPr>
            <w:tcW w:w="1389" w:type="dxa"/>
            <w:vAlign w:val="center"/>
          </w:tcPr>
          <w:p>
            <w:pPr>
              <w:contextualSpacing/>
              <w:jc w:val="center"/>
              <w:rPr>
                <w:rFonts w:ascii="宋体" w:hAnsi="宋体"/>
                <w:color w:val="auto"/>
                <w:sz w:val="24"/>
                <w:szCs w:val="24"/>
                <w:highlight w:val="none"/>
              </w:rPr>
            </w:pPr>
            <w:r>
              <w:rPr>
                <w:rFonts w:hint="eastAsia" w:ascii="宋体" w:hAnsi="宋体"/>
                <w:color w:val="auto"/>
                <w:sz w:val="24"/>
                <w:szCs w:val="24"/>
                <w:highlight w:val="none"/>
              </w:rPr>
              <w:t>服务方案、售后承诺</w:t>
            </w:r>
          </w:p>
          <w:p>
            <w:pPr>
              <w:contextualSpacing/>
              <w:jc w:val="center"/>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10</w:t>
            </w:r>
            <w:r>
              <w:rPr>
                <w:rFonts w:hint="eastAsia" w:ascii="宋体" w:hAnsi="宋体"/>
                <w:color w:val="auto"/>
                <w:sz w:val="24"/>
                <w:szCs w:val="24"/>
                <w:highlight w:val="none"/>
              </w:rPr>
              <w:t>分）</w:t>
            </w:r>
          </w:p>
        </w:tc>
        <w:tc>
          <w:tcPr>
            <w:tcW w:w="6378" w:type="dxa"/>
            <w:vAlign w:val="center"/>
          </w:tcPr>
          <w:p>
            <w:pPr>
              <w:ind w:left="-69" w:firstLine="2"/>
              <w:contextualSpacing/>
              <w:rPr>
                <w:rFonts w:ascii="宋体" w:hAnsi="宋体"/>
                <w:color w:val="auto"/>
                <w:sz w:val="24"/>
                <w:szCs w:val="24"/>
                <w:highlight w:val="none"/>
              </w:rPr>
            </w:pPr>
            <w:r>
              <w:rPr>
                <w:rFonts w:hint="eastAsia" w:ascii="宋体" w:hAnsi="宋体"/>
                <w:color w:val="auto"/>
                <w:sz w:val="24"/>
                <w:szCs w:val="24"/>
                <w:highlight w:val="none"/>
              </w:rPr>
              <w:t>1、根据</w:t>
            </w:r>
            <w:r>
              <w:rPr>
                <w:rFonts w:hint="eastAsia" w:ascii="宋体" w:hAnsi="宋体"/>
                <w:color w:val="auto"/>
                <w:sz w:val="24"/>
                <w:highlight w:val="none"/>
              </w:rPr>
              <w:t>本项目的供货配送方式（是否可以统一配送及统一发放、服务网点自体或快递等形式），供货服务（配送、自提）机构网点情况，配送设施设备及相关配送售后服务人员等进行评价</w:t>
            </w:r>
            <w:r>
              <w:rPr>
                <w:rFonts w:hint="eastAsia" w:ascii="宋体" w:hAnsi="宋体"/>
                <w:color w:val="auto"/>
                <w:sz w:val="24"/>
                <w:szCs w:val="24"/>
                <w:highlight w:val="none"/>
              </w:rPr>
              <w:t>；（0-</w:t>
            </w:r>
            <w:r>
              <w:rPr>
                <w:rFonts w:ascii="宋体" w:hAnsi="宋体"/>
                <w:color w:val="auto"/>
                <w:sz w:val="24"/>
                <w:szCs w:val="24"/>
                <w:highlight w:val="none"/>
              </w:rPr>
              <w:t>3</w:t>
            </w:r>
            <w:r>
              <w:rPr>
                <w:rFonts w:hint="eastAsia" w:ascii="宋体" w:hAnsi="宋体"/>
                <w:color w:val="auto"/>
                <w:sz w:val="24"/>
                <w:szCs w:val="24"/>
                <w:highlight w:val="none"/>
              </w:rPr>
              <w:t>分）</w:t>
            </w:r>
          </w:p>
          <w:p>
            <w:pPr>
              <w:ind w:left="-69" w:firstLine="2"/>
              <w:contextualSpacing/>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w:t>
            </w:r>
            <w:r>
              <w:rPr>
                <w:rFonts w:hint="eastAsia" w:ascii="宋体" w:hAnsi="宋体"/>
                <w:color w:val="auto"/>
                <w:sz w:val="24"/>
                <w:highlight w:val="none"/>
              </w:rPr>
              <w:t>货物品质保证：根据磋商响应货物与采购需求的响应程度、进货渠道、仓库储存能力、提供相关检测报告的情况，加工、包装、保存、运输、仓储各环节的质量保证及食品安全措施等进行评价；（0</w:t>
            </w:r>
            <w:r>
              <w:rPr>
                <w:rFonts w:ascii="宋体" w:hAnsi="宋体"/>
                <w:color w:val="auto"/>
                <w:sz w:val="24"/>
                <w:highlight w:val="none"/>
              </w:rPr>
              <w:t>-3分</w:t>
            </w:r>
            <w:r>
              <w:rPr>
                <w:rFonts w:hint="eastAsia" w:ascii="宋体" w:hAnsi="宋体"/>
                <w:color w:val="auto"/>
                <w:sz w:val="24"/>
                <w:highlight w:val="none"/>
              </w:rPr>
              <w:t>）</w:t>
            </w:r>
          </w:p>
          <w:p>
            <w:pPr>
              <w:ind w:left="-69" w:leftChars="-33" w:firstLine="2"/>
              <w:contextualSpacing/>
              <w:rPr>
                <w:rFonts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、根据供应商提供的资料从售后服务承诺、质保期限等方面进行评价；（0-</w:t>
            </w:r>
            <w:r>
              <w:rPr>
                <w:rFonts w:ascii="宋体" w:hAnsi="宋体"/>
                <w:color w:val="auto"/>
                <w:sz w:val="24"/>
                <w:szCs w:val="24"/>
                <w:highlight w:val="none"/>
              </w:rPr>
              <w:t>2</w:t>
            </w:r>
            <w:r>
              <w:rPr>
                <w:rFonts w:hint="eastAsia" w:ascii="宋体" w:hAnsi="宋体"/>
                <w:color w:val="auto"/>
                <w:sz w:val="24"/>
                <w:szCs w:val="24"/>
                <w:highlight w:val="none"/>
              </w:rPr>
              <w:t>分）</w:t>
            </w:r>
          </w:p>
          <w:p>
            <w:pPr>
              <w:ind w:left="-69" w:leftChars="-33" w:firstLine="2"/>
              <w:contextualSpacing/>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w:t>
            </w:r>
            <w:r>
              <w:rPr>
                <w:rFonts w:hint="eastAsia" w:ascii="宋体" w:hAnsi="宋体"/>
                <w:color w:val="auto"/>
                <w:sz w:val="24"/>
                <w:highlight w:val="none"/>
              </w:rPr>
              <w:t>其它各种有利于采购人的承诺及其可实施性</w:t>
            </w:r>
            <w:r>
              <w:rPr>
                <w:rFonts w:hint="eastAsia" w:ascii="宋体" w:hAnsi="宋体"/>
                <w:color w:val="auto"/>
                <w:sz w:val="24"/>
                <w:szCs w:val="24"/>
                <w:highlight w:val="none"/>
              </w:rPr>
              <w:t>。（0</w:t>
            </w:r>
            <w:r>
              <w:rPr>
                <w:rFonts w:ascii="宋体" w:hAnsi="宋体"/>
                <w:color w:val="auto"/>
                <w:sz w:val="24"/>
                <w:szCs w:val="24"/>
                <w:highlight w:val="none"/>
              </w:rPr>
              <w:t>-2分</w:t>
            </w:r>
            <w:r>
              <w:rPr>
                <w:rFonts w:hint="eastAsia" w:ascii="宋体" w:hAnsi="宋体"/>
                <w:color w:val="auto"/>
                <w:sz w:val="24"/>
                <w:szCs w:val="24"/>
                <w:highlight w:val="none"/>
              </w:rPr>
              <w:t>）</w:t>
            </w:r>
          </w:p>
        </w:tc>
        <w:tc>
          <w:tcPr>
            <w:tcW w:w="851" w:type="dxa"/>
            <w:vAlign w:val="center"/>
          </w:tcPr>
          <w:p>
            <w:pPr>
              <w:spacing w:line="360" w:lineRule="auto"/>
              <w:ind w:left="-69" w:leftChars="-33" w:firstLine="2"/>
              <w:jc w:val="center"/>
              <w:rPr>
                <w:rFonts w:ascii="宋体" w:hAnsi="宋体"/>
                <w:color w:val="auto"/>
                <w:sz w:val="24"/>
                <w:szCs w:val="24"/>
                <w:highlight w:val="none"/>
              </w:rPr>
            </w:pPr>
            <w:r>
              <w:rPr>
                <w:rFonts w:ascii="宋体" w:hAnsi="宋体"/>
                <w:color w:val="auto"/>
                <w:sz w:val="24"/>
                <w:szCs w:val="24"/>
                <w:highlight w:val="none"/>
              </w:rPr>
              <w:t>10</w:t>
            </w:r>
            <w:r>
              <w:rPr>
                <w:rFonts w:hint="eastAsia" w:ascii="宋体" w:hAnsi="宋体"/>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846" w:type="dxa"/>
            <w:vMerge w:val="continue"/>
            <w:vAlign w:val="center"/>
          </w:tcPr>
          <w:p>
            <w:pPr>
              <w:ind w:left="-69" w:leftChars="-33" w:firstLine="2"/>
              <w:contextualSpacing/>
              <w:jc w:val="center"/>
              <w:rPr>
                <w:rFonts w:ascii="宋体" w:hAnsi="宋体"/>
                <w:color w:val="auto"/>
                <w:sz w:val="24"/>
                <w:szCs w:val="24"/>
                <w:highlight w:val="none"/>
              </w:rPr>
            </w:pPr>
          </w:p>
        </w:tc>
        <w:tc>
          <w:tcPr>
            <w:tcW w:w="1389" w:type="dxa"/>
            <w:vAlign w:val="center"/>
          </w:tcPr>
          <w:p>
            <w:pPr>
              <w:contextualSpacing/>
              <w:jc w:val="center"/>
              <w:rPr>
                <w:rFonts w:ascii="宋体" w:hAnsi="宋体"/>
                <w:color w:val="auto"/>
                <w:sz w:val="24"/>
                <w:szCs w:val="24"/>
                <w:highlight w:val="none"/>
              </w:rPr>
            </w:pPr>
            <w:r>
              <w:rPr>
                <w:rFonts w:hint="eastAsia" w:ascii="宋体" w:hAnsi="宋体"/>
                <w:color w:val="auto"/>
                <w:sz w:val="24"/>
                <w:szCs w:val="24"/>
                <w:highlight w:val="none"/>
              </w:rPr>
              <w:t>样品</w:t>
            </w:r>
          </w:p>
          <w:p>
            <w:pPr>
              <w:contextualSpacing/>
              <w:jc w:val="center"/>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30分</w:t>
            </w:r>
            <w:r>
              <w:rPr>
                <w:rFonts w:hint="eastAsia" w:ascii="宋体" w:hAnsi="宋体"/>
                <w:color w:val="auto"/>
                <w:sz w:val="24"/>
                <w:szCs w:val="24"/>
                <w:highlight w:val="none"/>
              </w:rPr>
              <w:t>）</w:t>
            </w:r>
          </w:p>
        </w:tc>
        <w:tc>
          <w:tcPr>
            <w:tcW w:w="6378" w:type="dxa"/>
            <w:vAlign w:val="center"/>
          </w:tcPr>
          <w:p>
            <w:pPr>
              <w:ind w:left="-69" w:firstLine="2"/>
              <w:contextualSpacing/>
              <w:rPr>
                <w:rFonts w:ascii="宋体" w:hAnsi="宋体"/>
                <w:color w:val="auto"/>
                <w:sz w:val="24"/>
                <w:szCs w:val="24"/>
                <w:highlight w:val="none"/>
              </w:rPr>
            </w:pPr>
            <w:r>
              <w:rPr>
                <w:rFonts w:hint="eastAsia" w:ascii="宋体" w:hAnsi="宋体"/>
                <w:color w:val="auto"/>
                <w:sz w:val="24"/>
                <w:szCs w:val="24"/>
                <w:highlight w:val="none"/>
              </w:rPr>
              <w:t>1、根据供应商提供的样品的外观进行评价；（0</w:t>
            </w:r>
            <w:r>
              <w:rPr>
                <w:rFonts w:ascii="宋体" w:hAnsi="宋体"/>
                <w:color w:val="auto"/>
                <w:sz w:val="24"/>
                <w:szCs w:val="24"/>
                <w:highlight w:val="none"/>
              </w:rPr>
              <w:t>-10分</w:t>
            </w:r>
            <w:r>
              <w:rPr>
                <w:rFonts w:hint="eastAsia" w:ascii="宋体" w:hAnsi="宋体"/>
                <w:color w:val="auto"/>
                <w:sz w:val="24"/>
                <w:szCs w:val="24"/>
                <w:highlight w:val="none"/>
              </w:rPr>
              <w:t>）</w:t>
            </w:r>
          </w:p>
          <w:p>
            <w:pPr>
              <w:ind w:left="-69" w:firstLine="2"/>
              <w:contextualSpacing/>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、根据供应商提供的样品的口感等各方面进行评价（0</w:t>
            </w:r>
            <w:r>
              <w:rPr>
                <w:rFonts w:ascii="宋体" w:hAnsi="宋体"/>
                <w:color w:val="auto"/>
                <w:sz w:val="24"/>
                <w:szCs w:val="24"/>
                <w:highlight w:val="none"/>
              </w:rPr>
              <w:t>-20分</w:t>
            </w:r>
            <w:r>
              <w:rPr>
                <w:rFonts w:hint="eastAsia" w:ascii="宋体" w:hAnsi="宋体"/>
                <w:color w:val="auto"/>
                <w:sz w:val="24"/>
                <w:szCs w:val="24"/>
                <w:highlight w:val="none"/>
              </w:rPr>
              <w:t>）</w:t>
            </w:r>
          </w:p>
        </w:tc>
        <w:tc>
          <w:tcPr>
            <w:tcW w:w="851" w:type="dxa"/>
            <w:vAlign w:val="center"/>
          </w:tcPr>
          <w:p>
            <w:pPr>
              <w:spacing w:line="360" w:lineRule="auto"/>
              <w:ind w:left="-69" w:leftChars="-33" w:firstLine="2"/>
              <w:jc w:val="center"/>
              <w:rPr>
                <w:rFonts w:ascii="宋体" w:hAnsi="宋体"/>
                <w:color w:val="auto"/>
                <w:sz w:val="24"/>
                <w:szCs w:val="24"/>
                <w:highlight w:val="none"/>
              </w:rPr>
            </w:pPr>
            <w:r>
              <w:rPr>
                <w:rFonts w:ascii="宋体" w:hAnsi="宋体"/>
                <w:color w:val="auto"/>
                <w:sz w:val="24"/>
                <w:szCs w:val="24"/>
                <w:highlight w:val="none"/>
              </w:rPr>
              <w:t>30分</w:t>
            </w:r>
          </w:p>
        </w:tc>
      </w:tr>
    </w:tbl>
    <w:p>
      <w:pPr>
        <w:adjustRightInd w:val="0"/>
        <w:snapToGrid w:val="0"/>
        <w:spacing w:line="360" w:lineRule="auto"/>
        <w:rPr>
          <w:rFonts w:ascii="宋体" w:hAnsi="宋体"/>
          <w:color w:val="auto"/>
          <w:sz w:val="24"/>
          <w:szCs w:val="24"/>
          <w:highlight w:val="none"/>
        </w:rPr>
      </w:pPr>
    </w:p>
    <w:p>
      <w:pPr>
        <w:pStyle w:val="4"/>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2、商务文件评审</w:t>
      </w:r>
    </w:p>
    <w:p>
      <w:pPr>
        <w:pStyle w:val="4"/>
        <w:spacing w:line="360" w:lineRule="auto"/>
        <w:ind w:firstLine="480" w:firstLineChars="200"/>
        <w:rPr>
          <w:rFonts w:hAnsi="宋体"/>
          <w:bCs/>
          <w:color w:val="auto"/>
          <w:sz w:val="24"/>
          <w:szCs w:val="24"/>
          <w:highlight w:val="none"/>
        </w:rPr>
      </w:pPr>
      <w:r>
        <w:rPr>
          <w:rFonts w:hAnsi="宋体"/>
          <w:bCs/>
          <w:color w:val="auto"/>
          <w:sz w:val="24"/>
          <w:szCs w:val="24"/>
          <w:highlight w:val="none"/>
        </w:rPr>
        <w:t>商务满分为</w:t>
      </w:r>
      <w:r>
        <w:rPr>
          <w:rFonts w:hint="eastAsia" w:hAnsi="宋体"/>
          <w:bCs/>
          <w:color w:val="auto"/>
          <w:sz w:val="24"/>
          <w:szCs w:val="24"/>
          <w:highlight w:val="none"/>
          <w:lang w:val="en-US" w:eastAsia="zh-CN"/>
        </w:rPr>
        <w:t>40</w:t>
      </w:r>
      <w:r>
        <w:rPr>
          <w:rFonts w:hAnsi="宋体"/>
          <w:bCs/>
          <w:color w:val="auto"/>
          <w:sz w:val="24"/>
          <w:szCs w:val="24"/>
          <w:highlight w:val="none"/>
        </w:rPr>
        <w:t>分，分值分配见表格。</w:t>
      </w:r>
    </w:p>
    <w:p>
      <w:pPr>
        <w:pStyle w:val="4"/>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报价</w:t>
      </w:r>
      <w:r>
        <w:rPr>
          <w:rFonts w:hAnsi="宋体"/>
          <w:b/>
          <w:bCs/>
          <w:color w:val="auto"/>
          <w:sz w:val="24"/>
          <w:szCs w:val="24"/>
          <w:highlight w:val="none"/>
        </w:rPr>
        <w:t>详细评审（</w:t>
      </w:r>
      <w:r>
        <w:rPr>
          <w:rFonts w:hint="eastAsia" w:hAnsi="宋体"/>
          <w:b/>
          <w:bCs/>
          <w:color w:val="auto"/>
          <w:sz w:val="24"/>
          <w:szCs w:val="24"/>
          <w:highlight w:val="none"/>
          <w:lang w:val="en-US" w:eastAsia="zh-CN"/>
        </w:rPr>
        <w:t>40</w:t>
      </w:r>
      <w:r>
        <w:rPr>
          <w:rFonts w:hAnsi="宋体"/>
          <w:b/>
          <w:bCs/>
          <w:color w:val="auto"/>
          <w:sz w:val="24"/>
          <w:szCs w:val="24"/>
          <w:highlight w:val="none"/>
        </w:rPr>
        <w:t>分）</w:t>
      </w:r>
    </w:p>
    <w:tbl>
      <w:tblPr>
        <w:tblStyle w:val="11"/>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6610"/>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1" w:hRule="atLeast"/>
          <w:jc w:val="center"/>
        </w:trPr>
        <w:tc>
          <w:tcPr>
            <w:tcW w:w="756" w:type="dxa"/>
            <w:vAlign w:val="center"/>
          </w:tcPr>
          <w:p>
            <w:pPr>
              <w:spacing w:line="360" w:lineRule="auto"/>
              <w:ind w:right="-21" w:rightChars="-10"/>
              <w:jc w:val="center"/>
              <w:rPr>
                <w:rFonts w:ascii="宋体" w:hAnsi="宋体"/>
                <w:color w:val="auto"/>
                <w:sz w:val="24"/>
                <w:highlight w:val="none"/>
              </w:rPr>
            </w:pPr>
            <w:r>
              <w:rPr>
                <w:rFonts w:ascii="宋体" w:hAnsi="宋体"/>
                <w:color w:val="auto"/>
                <w:sz w:val="24"/>
                <w:highlight w:val="none"/>
              </w:rPr>
              <w:t>1</w:t>
            </w:r>
          </w:p>
        </w:tc>
        <w:tc>
          <w:tcPr>
            <w:tcW w:w="6610" w:type="dxa"/>
            <w:vAlign w:val="center"/>
          </w:tcPr>
          <w:p>
            <w:pPr>
              <w:adjustRightInd w:val="0"/>
              <w:snapToGrid w:val="0"/>
              <w:spacing w:line="360" w:lineRule="auto"/>
              <w:rPr>
                <w:rFonts w:ascii="宋体" w:hAnsi="宋体"/>
                <w:color w:val="auto"/>
                <w:sz w:val="24"/>
                <w:highlight w:val="none"/>
              </w:rPr>
            </w:pPr>
            <w:r>
              <w:rPr>
                <w:rFonts w:hint="eastAsia" w:ascii="宋体" w:hAnsi="宋体"/>
                <w:color w:val="auto"/>
                <w:sz w:val="24"/>
                <w:highlight w:val="none"/>
              </w:rPr>
              <w:t>产品品类报价的合理性进行综合评分。</w:t>
            </w:r>
          </w:p>
          <w:p>
            <w:pPr>
              <w:adjustRightInd w:val="0"/>
              <w:snapToGrid w:val="0"/>
              <w:spacing w:line="360" w:lineRule="auto"/>
              <w:rPr>
                <w:rFonts w:ascii="宋体" w:hAnsi="宋体"/>
                <w:color w:val="auto"/>
                <w:sz w:val="24"/>
                <w:highlight w:val="none"/>
              </w:rPr>
            </w:pPr>
            <w:r>
              <w:rPr>
                <w:rFonts w:hint="eastAsia" w:ascii="宋体" w:hAnsi="宋体"/>
                <w:color w:val="auto"/>
                <w:sz w:val="24"/>
                <w:highlight w:val="none"/>
              </w:rPr>
              <w:t>（注：同时提供世纪联华超市价或相关产品旗舰店网上价格等，提供相关证明依据）</w:t>
            </w:r>
          </w:p>
        </w:tc>
        <w:tc>
          <w:tcPr>
            <w:tcW w:w="1418" w:type="dxa"/>
            <w:vAlign w:val="center"/>
          </w:tcPr>
          <w:p>
            <w:pPr>
              <w:spacing w:line="360" w:lineRule="auto"/>
              <w:ind w:right="-21" w:rightChars="-10"/>
              <w:jc w:val="center"/>
              <w:rPr>
                <w:rFonts w:ascii="宋体" w:hAnsi="宋体"/>
                <w:color w:val="auto"/>
                <w:sz w:val="24"/>
                <w:highlight w:val="none"/>
              </w:rPr>
            </w:pPr>
            <w:r>
              <w:rPr>
                <w:rFonts w:hint="eastAsia" w:ascii="宋体" w:hAnsi="宋体"/>
                <w:color w:val="auto"/>
                <w:sz w:val="24"/>
                <w:highlight w:val="none"/>
              </w:rPr>
              <w:t>0～</w:t>
            </w:r>
            <w:r>
              <w:rPr>
                <w:rFonts w:ascii="宋体" w:hAnsi="宋体"/>
                <w:color w:val="auto"/>
                <w:sz w:val="24"/>
                <w:highlight w:val="none"/>
              </w:rPr>
              <w:t>40</w:t>
            </w:r>
            <w:r>
              <w:rPr>
                <w:rFonts w:hint="eastAsia" w:ascii="宋体" w:hAnsi="宋体"/>
                <w:color w:val="auto"/>
                <w:sz w:val="24"/>
                <w:highlight w:val="none"/>
              </w:rPr>
              <w:t>分</w:t>
            </w:r>
          </w:p>
        </w:tc>
      </w:tr>
    </w:tbl>
    <w:p>
      <w:pPr>
        <w:adjustRightInd w:val="0"/>
        <w:snapToGrid w:val="0"/>
        <w:spacing w:line="460" w:lineRule="exact"/>
        <w:ind w:firstLine="470" w:firstLineChars="196"/>
        <w:rPr>
          <w:color w:val="auto"/>
          <w:sz w:val="24"/>
          <w:highlight w:val="none"/>
        </w:rPr>
      </w:pPr>
    </w:p>
    <w:p>
      <w:pPr>
        <w:pStyle w:val="4"/>
        <w:spacing w:line="360" w:lineRule="auto"/>
        <w:ind w:firstLine="482" w:firstLineChars="200"/>
        <w:rPr>
          <w:rFonts w:hAnsi="宋体"/>
          <w:b/>
          <w:bCs/>
          <w:color w:val="auto"/>
          <w:sz w:val="24"/>
          <w:szCs w:val="24"/>
          <w:highlight w:val="none"/>
        </w:rPr>
      </w:pPr>
      <w:r>
        <w:rPr>
          <w:rFonts w:hAnsi="宋体"/>
          <w:b/>
          <w:bCs/>
          <w:color w:val="auto"/>
          <w:sz w:val="24"/>
          <w:szCs w:val="24"/>
          <w:highlight w:val="none"/>
        </w:rPr>
        <w:t>3、计算总分（满分为100分）</w:t>
      </w:r>
    </w:p>
    <w:p>
      <w:pPr>
        <w:pStyle w:val="4"/>
        <w:spacing w:line="360" w:lineRule="auto"/>
        <w:ind w:firstLine="24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 xml:space="preserve">   计算方法：供应商总得分 = 技术</w:t>
      </w:r>
      <w:r>
        <w:rPr>
          <w:rFonts w:hint="eastAsia" w:ascii="Times New Roman" w:hAnsi="Times New Roman" w:cs="Times New Roman"/>
          <w:color w:val="auto"/>
          <w:sz w:val="24"/>
          <w:szCs w:val="24"/>
          <w:highlight w:val="none"/>
        </w:rPr>
        <w:t>商务</w:t>
      </w:r>
      <w:r>
        <w:rPr>
          <w:rFonts w:ascii="Times New Roman" w:hAnsi="Times New Roman" w:cs="Times New Roman"/>
          <w:color w:val="auto"/>
          <w:sz w:val="24"/>
          <w:szCs w:val="24"/>
          <w:highlight w:val="none"/>
        </w:rPr>
        <w:t xml:space="preserve">评审得分+ </w:t>
      </w:r>
      <w:r>
        <w:rPr>
          <w:rFonts w:hint="eastAsia" w:ascii="Times New Roman" w:hAnsi="Times New Roman" w:cs="Times New Roman"/>
          <w:color w:val="auto"/>
          <w:sz w:val="24"/>
          <w:szCs w:val="24"/>
          <w:highlight w:val="none"/>
        </w:rPr>
        <w:t>最终报价</w:t>
      </w:r>
      <w:r>
        <w:rPr>
          <w:rFonts w:ascii="Times New Roman" w:hAnsi="Times New Roman" w:cs="Times New Roman"/>
          <w:color w:val="auto"/>
          <w:sz w:val="24"/>
          <w:szCs w:val="24"/>
          <w:highlight w:val="none"/>
        </w:rPr>
        <w:t>评审得分</w:t>
      </w:r>
    </w:p>
    <w:p>
      <w:pPr>
        <w:pStyle w:val="4"/>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 xml:space="preserve">4.评标报告 </w:t>
      </w:r>
    </w:p>
    <w:p>
      <w:pPr>
        <w:spacing w:line="360" w:lineRule="auto"/>
        <w:ind w:firstLine="480" w:firstLineChars="200"/>
        <w:rPr>
          <w:color w:val="auto"/>
          <w:sz w:val="24"/>
          <w:highlight w:val="none"/>
        </w:rPr>
      </w:pPr>
      <w:r>
        <w:rPr>
          <w:rFonts w:hint="eastAsia"/>
          <w:color w:val="auto"/>
          <w:sz w:val="24"/>
          <w:highlight w:val="none"/>
        </w:rPr>
        <w:t>磋商小组完成评审后，按总得分由高到低排定顺序（得分相同的，按投标报价由低到高顺序排列；得分且投标报价相同的，按商务技术分由高到低顺序排列，商务技术分也相同的，由采购人代表通过随机程序随机抽取决定排序），磋商小组根据以上排序直接确定第一名的供应商为成交人。</w:t>
      </w:r>
    </w:p>
    <w:p>
      <w:pPr>
        <w:spacing w:line="360" w:lineRule="auto"/>
        <w:ind w:firstLine="480" w:firstLineChars="200"/>
        <w:rPr>
          <w:color w:val="auto"/>
          <w:sz w:val="24"/>
          <w:highlight w:val="none"/>
        </w:rPr>
      </w:pPr>
      <w:r>
        <w:rPr>
          <w:rFonts w:hint="eastAsia"/>
          <w:color w:val="auto"/>
          <w:sz w:val="24"/>
          <w:highlight w:val="none"/>
        </w:rPr>
        <w:t>若第一成交候选人在成交后30天内拒绝与采购人签订合同的，采购人可以与第二成交候选人签约采购货物；若第一成交候选人签订合同后未按合同及采购人要求进行产品设计制作的，采购人有权与其解除合同并与第二成交候选人签订采购合同。</w:t>
      </w:r>
    </w:p>
    <w:p>
      <w:pPr>
        <w:adjustRightInd w:val="0"/>
        <w:snapToGrid w:val="0"/>
        <w:spacing w:line="360" w:lineRule="auto"/>
        <w:rPr>
          <w:rFonts w:ascii="宋体" w:hAnsi="宋体"/>
          <w:sz w:val="24"/>
          <w:szCs w:val="24"/>
          <w:highlight w:val="none"/>
        </w:rPr>
      </w:pPr>
    </w:p>
    <w:p>
      <w:pPr>
        <w:adjustRightInd w:val="0"/>
        <w:snapToGrid w:val="0"/>
        <w:spacing w:line="360" w:lineRule="auto"/>
        <w:rPr>
          <w:rFonts w:ascii="宋体" w:hAnsi="宋体"/>
          <w:sz w:val="24"/>
          <w:szCs w:val="24"/>
          <w:highlight w:val="none"/>
        </w:rPr>
      </w:pPr>
    </w:p>
    <w:p>
      <w:pPr>
        <w:adjustRightInd w:val="0"/>
        <w:snapToGrid w:val="0"/>
        <w:spacing w:line="360" w:lineRule="auto"/>
        <w:rPr>
          <w:rFonts w:ascii="宋体" w:hAnsi="宋体"/>
          <w:sz w:val="24"/>
          <w:szCs w:val="24"/>
          <w:highlight w:val="none"/>
        </w:rPr>
      </w:pPr>
    </w:p>
    <w:p>
      <w:pPr>
        <w:adjustRightInd w:val="0"/>
        <w:snapToGrid w:val="0"/>
        <w:spacing w:line="360" w:lineRule="auto"/>
        <w:rPr>
          <w:rFonts w:ascii="宋体" w:hAnsi="宋体"/>
          <w:sz w:val="24"/>
          <w:szCs w:val="24"/>
          <w:highlight w:val="none"/>
        </w:rPr>
      </w:pPr>
    </w:p>
    <w:p>
      <w:pPr>
        <w:adjustRightInd w:val="0"/>
        <w:snapToGrid w:val="0"/>
        <w:spacing w:line="360" w:lineRule="auto"/>
        <w:rPr>
          <w:rFonts w:ascii="宋体" w:hAnsi="宋体"/>
          <w:sz w:val="24"/>
          <w:szCs w:val="24"/>
          <w:highlight w:val="none"/>
        </w:rPr>
      </w:pPr>
    </w:p>
    <w:p>
      <w:pPr>
        <w:adjustRightInd w:val="0"/>
        <w:snapToGrid w:val="0"/>
        <w:spacing w:line="360" w:lineRule="auto"/>
        <w:rPr>
          <w:rFonts w:ascii="宋体" w:hAnsi="宋体"/>
          <w:sz w:val="24"/>
          <w:szCs w:val="24"/>
          <w:highlight w:val="none"/>
        </w:rPr>
      </w:pPr>
    </w:p>
    <w:p>
      <w:pPr>
        <w:adjustRightInd w:val="0"/>
        <w:snapToGrid w:val="0"/>
        <w:spacing w:line="360" w:lineRule="auto"/>
        <w:rPr>
          <w:rFonts w:ascii="宋体" w:hAnsi="宋体"/>
          <w:sz w:val="24"/>
          <w:szCs w:val="24"/>
          <w:highlight w:val="none"/>
        </w:rPr>
      </w:pPr>
    </w:p>
    <w:p>
      <w:pPr>
        <w:adjustRightInd w:val="0"/>
        <w:snapToGrid w:val="0"/>
        <w:spacing w:line="360" w:lineRule="auto"/>
        <w:rPr>
          <w:rFonts w:ascii="宋体" w:hAnsi="宋体"/>
          <w:sz w:val="24"/>
          <w:szCs w:val="24"/>
          <w:highlight w:val="none"/>
        </w:rPr>
      </w:pPr>
    </w:p>
    <w:p>
      <w:pPr>
        <w:adjustRightInd w:val="0"/>
        <w:snapToGrid w:val="0"/>
        <w:spacing w:line="360" w:lineRule="auto"/>
        <w:rPr>
          <w:rFonts w:ascii="宋体" w:hAnsi="宋体"/>
          <w:sz w:val="24"/>
          <w:szCs w:val="24"/>
          <w:highlight w:val="none"/>
        </w:rPr>
      </w:pPr>
    </w:p>
    <w:p>
      <w:pPr>
        <w:adjustRightInd w:val="0"/>
        <w:snapToGrid w:val="0"/>
        <w:spacing w:line="360" w:lineRule="auto"/>
        <w:rPr>
          <w:rFonts w:ascii="宋体" w:hAnsi="宋体"/>
          <w:sz w:val="24"/>
          <w:szCs w:val="24"/>
          <w:highlight w:val="none"/>
        </w:rPr>
      </w:pPr>
    </w:p>
    <w:p>
      <w:pPr>
        <w:adjustRightInd w:val="0"/>
        <w:snapToGrid w:val="0"/>
        <w:spacing w:line="360" w:lineRule="auto"/>
        <w:rPr>
          <w:rFonts w:ascii="宋体" w:hAnsi="宋体"/>
          <w:sz w:val="24"/>
          <w:szCs w:val="24"/>
          <w:highlight w:val="none"/>
        </w:rPr>
      </w:pPr>
    </w:p>
    <w:p>
      <w:pPr>
        <w:adjustRightInd w:val="0"/>
        <w:snapToGrid w:val="0"/>
        <w:spacing w:line="360" w:lineRule="auto"/>
        <w:rPr>
          <w:rFonts w:ascii="宋体" w:hAnsi="宋体"/>
          <w:sz w:val="24"/>
          <w:szCs w:val="24"/>
          <w:highlight w:val="none"/>
        </w:rPr>
      </w:pPr>
    </w:p>
    <w:p>
      <w:pPr>
        <w:adjustRightInd w:val="0"/>
        <w:snapToGrid w:val="0"/>
        <w:spacing w:line="360" w:lineRule="auto"/>
        <w:rPr>
          <w:rFonts w:ascii="宋体" w:hAnsi="宋体"/>
          <w:sz w:val="24"/>
          <w:szCs w:val="24"/>
          <w:highlight w:val="none"/>
        </w:rPr>
      </w:pPr>
    </w:p>
    <w:p>
      <w:pPr>
        <w:adjustRightInd w:val="0"/>
        <w:snapToGrid w:val="0"/>
        <w:spacing w:line="360" w:lineRule="auto"/>
        <w:rPr>
          <w:rFonts w:ascii="宋体" w:hAnsi="宋体"/>
          <w:sz w:val="24"/>
          <w:szCs w:val="24"/>
          <w:highlight w:val="none"/>
        </w:rPr>
      </w:pPr>
    </w:p>
    <w:p>
      <w:pPr>
        <w:adjustRightInd w:val="0"/>
        <w:snapToGrid w:val="0"/>
        <w:spacing w:line="360" w:lineRule="auto"/>
        <w:rPr>
          <w:rFonts w:ascii="宋体" w:hAnsi="宋体"/>
          <w:sz w:val="24"/>
          <w:szCs w:val="24"/>
          <w:highlight w:val="none"/>
        </w:rPr>
      </w:pPr>
    </w:p>
    <w:p>
      <w:pPr>
        <w:adjustRightInd w:val="0"/>
        <w:snapToGrid w:val="0"/>
        <w:spacing w:line="360" w:lineRule="auto"/>
        <w:rPr>
          <w:rFonts w:ascii="宋体" w:hAnsi="宋体"/>
          <w:sz w:val="24"/>
          <w:szCs w:val="24"/>
          <w:highlight w:val="none"/>
        </w:rPr>
      </w:pPr>
    </w:p>
    <w:p>
      <w:pPr>
        <w:adjustRightInd w:val="0"/>
        <w:snapToGrid w:val="0"/>
        <w:spacing w:line="360" w:lineRule="auto"/>
        <w:rPr>
          <w:rFonts w:ascii="宋体" w:hAnsi="宋体"/>
          <w:sz w:val="24"/>
          <w:szCs w:val="24"/>
          <w:highlight w:val="none"/>
        </w:rPr>
      </w:pPr>
    </w:p>
    <w:p>
      <w:pPr>
        <w:adjustRightInd w:val="0"/>
        <w:snapToGrid w:val="0"/>
        <w:spacing w:line="360" w:lineRule="auto"/>
        <w:rPr>
          <w:rFonts w:ascii="宋体" w:hAnsi="宋体"/>
          <w:sz w:val="24"/>
          <w:szCs w:val="24"/>
          <w:highlight w:val="none"/>
        </w:rPr>
      </w:pPr>
    </w:p>
    <w:p>
      <w:pPr>
        <w:adjustRightInd w:val="0"/>
        <w:snapToGrid w:val="0"/>
        <w:spacing w:line="360" w:lineRule="auto"/>
        <w:rPr>
          <w:rFonts w:ascii="宋体" w:hAnsi="宋体"/>
          <w:sz w:val="24"/>
          <w:szCs w:val="24"/>
          <w:highlight w:val="none"/>
        </w:rPr>
      </w:pPr>
    </w:p>
    <w:p>
      <w:pPr>
        <w:adjustRightInd w:val="0"/>
        <w:snapToGrid w:val="0"/>
        <w:spacing w:line="360" w:lineRule="auto"/>
        <w:rPr>
          <w:rFonts w:ascii="宋体" w:hAnsi="宋体"/>
          <w:sz w:val="24"/>
          <w:szCs w:val="24"/>
          <w:highlight w:val="none"/>
        </w:rPr>
      </w:pPr>
    </w:p>
    <w:p>
      <w:pPr>
        <w:adjustRightInd w:val="0"/>
        <w:snapToGrid w:val="0"/>
        <w:spacing w:line="360" w:lineRule="auto"/>
        <w:rPr>
          <w:rFonts w:ascii="宋体" w:hAnsi="宋体"/>
          <w:sz w:val="24"/>
          <w:szCs w:val="24"/>
          <w:highlight w:val="none"/>
        </w:rPr>
      </w:pPr>
    </w:p>
    <w:p>
      <w:pPr>
        <w:adjustRightInd w:val="0"/>
        <w:snapToGrid w:val="0"/>
        <w:spacing w:line="360" w:lineRule="auto"/>
        <w:rPr>
          <w:rFonts w:ascii="宋体" w:hAnsi="宋体"/>
          <w:sz w:val="24"/>
          <w:szCs w:val="24"/>
          <w:highlight w:val="none"/>
        </w:rPr>
      </w:pPr>
    </w:p>
    <w:p>
      <w:pPr>
        <w:adjustRightInd w:val="0"/>
        <w:snapToGrid w:val="0"/>
        <w:spacing w:line="360" w:lineRule="auto"/>
        <w:rPr>
          <w:rFonts w:ascii="宋体" w:hAnsi="宋体"/>
          <w:sz w:val="24"/>
          <w:szCs w:val="24"/>
          <w:highlight w:val="none"/>
        </w:rPr>
      </w:pPr>
    </w:p>
    <w:p>
      <w:pPr>
        <w:adjustRightInd w:val="0"/>
        <w:snapToGrid w:val="0"/>
        <w:spacing w:line="360" w:lineRule="auto"/>
        <w:rPr>
          <w:rFonts w:ascii="宋体" w:hAnsi="宋体"/>
          <w:sz w:val="24"/>
          <w:szCs w:val="24"/>
          <w:highlight w:val="none"/>
        </w:rPr>
      </w:pPr>
    </w:p>
    <w:p>
      <w:pPr>
        <w:adjustRightInd w:val="0"/>
        <w:snapToGrid w:val="0"/>
        <w:spacing w:line="360" w:lineRule="auto"/>
        <w:rPr>
          <w:rFonts w:ascii="宋体" w:hAnsi="宋体"/>
          <w:sz w:val="24"/>
          <w:szCs w:val="24"/>
          <w:highlight w:val="none"/>
        </w:rPr>
      </w:pPr>
    </w:p>
    <w:p>
      <w:pPr>
        <w:adjustRightInd w:val="0"/>
        <w:snapToGrid w:val="0"/>
        <w:spacing w:line="360" w:lineRule="auto"/>
        <w:rPr>
          <w:rFonts w:ascii="宋体" w:hAnsi="宋体"/>
          <w:sz w:val="24"/>
          <w:szCs w:val="24"/>
          <w:highlight w:val="none"/>
        </w:rPr>
      </w:pPr>
    </w:p>
    <w:p>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第六章</w:t>
      </w:r>
      <w:r>
        <w:rPr>
          <w:rFonts w:ascii="宋体" w:hAnsi="宋体"/>
          <w:b/>
          <w:color w:val="auto"/>
          <w:sz w:val="32"/>
          <w:szCs w:val="32"/>
          <w:highlight w:val="none"/>
        </w:rPr>
        <w:t xml:space="preserve">  </w:t>
      </w:r>
      <w:r>
        <w:rPr>
          <w:rFonts w:hint="eastAsia" w:ascii="宋体" w:hAnsi="宋体"/>
          <w:b/>
          <w:color w:val="auto"/>
          <w:sz w:val="32"/>
          <w:szCs w:val="32"/>
          <w:highlight w:val="none"/>
        </w:rPr>
        <w:t>响应相关文件格式</w:t>
      </w:r>
    </w:p>
    <w:p>
      <w:pPr>
        <w:widowControl/>
        <w:spacing w:line="420" w:lineRule="atLeast"/>
        <w:rPr>
          <w:rFonts w:ascii="宋体" w:hAnsi="宋体" w:cs="宋体"/>
          <w:color w:val="auto"/>
          <w:kern w:val="0"/>
          <w:sz w:val="28"/>
          <w:szCs w:val="28"/>
          <w:highlight w:val="none"/>
        </w:rPr>
      </w:pPr>
      <w:r>
        <w:rPr>
          <w:rFonts w:hint="eastAsia" w:ascii="宋体" w:hAnsi="宋体" w:cs="宋体"/>
          <w:color w:val="auto"/>
          <w:kern w:val="0"/>
          <w:sz w:val="28"/>
          <w:szCs w:val="28"/>
          <w:highlight w:val="none"/>
        </w:rPr>
        <w:t>附件一：                 响应函（格式）</w:t>
      </w:r>
    </w:p>
    <w:p>
      <w:pPr>
        <w:pStyle w:val="4"/>
        <w:spacing w:line="400" w:lineRule="exact"/>
        <w:rPr>
          <w:rFonts w:hAnsi="宋体" w:cs="宋体"/>
          <w:color w:val="auto"/>
          <w:kern w:val="0"/>
          <w:sz w:val="24"/>
          <w:szCs w:val="24"/>
          <w:highlight w:val="none"/>
        </w:rPr>
      </w:pPr>
    </w:p>
    <w:p>
      <w:pPr>
        <w:pStyle w:val="4"/>
        <w:spacing w:line="400" w:lineRule="exact"/>
        <w:rPr>
          <w:rFonts w:hAnsi="宋体" w:cs="宋体"/>
          <w:color w:val="auto"/>
          <w:kern w:val="0"/>
          <w:sz w:val="24"/>
          <w:szCs w:val="24"/>
          <w:highlight w:val="none"/>
        </w:rPr>
      </w:pPr>
      <w:r>
        <w:rPr>
          <w:rFonts w:hint="eastAsia" w:hAnsi="宋体" w:cs="宋体"/>
          <w:color w:val="auto"/>
          <w:kern w:val="0"/>
          <w:sz w:val="24"/>
          <w:szCs w:val="24"/>
          <w:highlight w:val="none"/>
        </w:rPr>
        <w:t xml:space="preserve">致：                  </w:t>
      </w:r>
    </w:p>
    <w:p>
      <w:pPr>
        <w:pStyle w:val="4"/>
        <w:spacing w:line="400" w:lineRule="exact"/>
        <w:rPr>
          <w:rFonts w:hAnsi="宋体" w:cs="宋体"/>
          <w:color w:val="auto"/>
          <w:kern w:val="0"/>
          <w:sz w:val="24"/>
          <w:szCs w:val="24"/>
          <w:highlight w:val="none"/>
        </w:rPr>
      </w:pPr>
      <w:r>
        <w:rPr>
          <w:rFonts w:hint="eastAsia" w:hAnsi="宋体" w:cs="宋体"/>
          <w:color w:val="auto"/>
          <w:kern w:val="0"/>
          <w:sz w:val="24"/>
          <w:szCs w:val="24"/>
          <w:highlight w:val="none"/>
        </w:rPr>
        <w:t xml:space="preserve">     _________________________（供应商全称）授权_________________（全名、职务）为全权代表参加贵方组织的_________________________              项目（磋商项目名称、磋商编号）       标段的磋商、响应等有关活动，为此提交下述文件：</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1、技术文件，正本一份，副本      份；</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2、商务文件，正本一份，副本      份；</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3、其他：</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4、据此函，签字代表宣布同意如下：</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1）所附投标报价表中规定的应提供和支付的设备和服务投标总价为（人民币） __   _， 即 ___  ____（大写）。（企业成本价为         元）</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2）供应商已详细审查全部磋商文件，我们完全理解并同意放弃对这方面有不明及误解的权利。</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3）供应商将按磋商文件规定履行合同责任和义务。</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4）其响应自开标之日起有效期____个日历天。</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5）如果在规定的开标时间后，供应商不得在响应有效期内撤回响应文件。</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6）供应商同意提供按照贵方可能要求的与其响应有关的一切数据或资料，理解贵方不一定要接受最低价的投标或收到的任何投标。</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7）磋商响应文件中未明确的东西，一律按磋商文件规定执行。</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8）与本磋商有关的一切正式往来通讯请寄：</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地址：______________________             邮编：______________________  </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电话：______________________            传真：______________________ </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供应商名称：_____________ （公章）      全权代表签字： ____________</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供应商代表职务： ______________________</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投标日期： _______年____月____日      </w:t>
      </w:r>
    </w:p>
    <w:p>
      <w:pPr>
        <w:widowControl/>
        <w:spacing w:line="420" w:lineRule="atLeast"/>
        <w:ind w:firstLine="480"/>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rPr>
          <w:rFonts w:ascii="宋体" w:hAnsi="宋体"/>
          <w:b/>
          <w:bCs/>
          <w:color w:val="auto"/>
          <w:sz w:val="36"/>
          <w:szCs w:val="36"/>
          <w:highlight w:val="none"/>
        </w:rPr>
      </w:pPr>
    </w:p>
    <w:p>
      <w:pPr>
        <w:rPr>
          <w:rFonts w:ascii="宋体" w:hAnsi="宋体" w:cs="宋体"/>
          <w:b/>
          <w:bCs/>
          <w:color w:val="auto"/>
          <w:kern w:val="0"/>
          <w:sz w:val="28"/>
          <w:szCs w:val="28"/>
          <w:highlight w:val="none"/>
        </w:rPr>
      </w:pPr>
      <w:r>
        <w:rPr>
          <w:rFonts w:hint="eastAsia" w:ascii="宋体" w:hAnsi="宋体" w:cs="宋体"/>
          <w:color w:val="auto"/>
          <w:kern w:val="0"/>
          <w:sz w:val="28"/>
          <w:szCs w:val="28"/>
          <w:highlight w:val="none"/>
        </w:rPr>
        <w:t xml:space="preserve">附件二 </w:t>
      </w:r>
      <w:r>
        <w:rPr>
          <w:rFonts w:hint="eastAsia" w:ascii="宋体" w:hAnsi="宋体" w:cs="宋体"/>
          <w:b/>
          <w:bCs/>
          <w:color w:val="auto"/>
          <w:kern w:val="0"/>
          <w:sz w:val="28"/>
          <w:szCs w:val="28"/>
          <w:highlight w:val="none"/>
        </w:rPr>
        <w:t xml:space="preserve">        供应商法定代表人授权书（格式）</w:t>
      </w:r>
    </w:p>
    <w:p>
      <w:pPr>
        <w:spacing w:line="480" w:lineRule="auto"/>
        <w:rPr>
          <w:rFonts w:ascii="宋体" w:hAnsi="宋体"/>
          <w:b/>
          <w:color w:val="auto"/>
          <w:sz w:val="48"/>
          <w:highlight w:val="none"/>
        </w:rPr>
      </w:pP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项目名称：               </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日    期：               </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致：（采购人名称）                </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    （磋商代理机构名称）             </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注册于                                 （注册地址）的                                         </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                              （供应商名称），系中华人民共和国合法企业；本人             （授权人姓名）系该公司的法定代表人。现特授权本单位的（被授权人姓名）               （身份证号码）                             为我公司合法代理人，全权代表我公司办理就                                                     项目的响应、谈判、签约等具体工作，并签署全部有关的文件、协议及合同。</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我公司对被授权人的签名负全部责任。</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在撤销授权的书面通知以前，本授权书一直有效。被授权人签署的所有文件（在授权书有效期内签署的）不因授权的撤销而失效。被授权人无转委托。特此声明。</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被授权人身份证复印件：</w:t>
      </w:r>
    </w:p>
    <w:p>
      <w:pPr>
        <w:spacing w:line="400" w:lineRule="exact"/>
        <w:ind w:firstLine="480" w:firstLineChars="200"/>
        <w:rPr>
          <w:rFonts w:ascii="宋体" w:hAnsi="宋体" w:cs="宋体"/>
          <w:color w:val="auto"/>
          <w:kern w:val="0"/>
          <w:sz w:val="24"/>
          <w:szCs w:val="24"/>
          <w:highlight w:val="none"/>
          <w:lang w:val="zh-CN"/>
        </w:rPr>
      </w:pPr>
    </w:p>
    <w:p>
      <w:pPr>
        <w:spacing w:line="400" w:lineRule="exact"/>
        <w:ind w:firstLine="480" w:firstLineChars="200"/>
        <w:rPr>
          <w:rFonts w:ascii="宋体" w:hAnsi="宋体" w:cs="宋体"/>
          <w:color w:val="auto"/>
          <w:kern w:val="0"/>
          <w:sz w:val="24"/>
          <w:szCs w:val="24"/>
          <w:highlight w:val="none"/>
          <w:lang w:val="zh-CN"/>
        </w:rPr>
      </w:pP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供应商公章：</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授权人签名：                       职        务：                </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被授权人签名：                     </w:t>
      </w:r>
    </w:p>
    <w:p>
      <w:pPr>
        <w:spacing w:line="400" w:lineRule="exact"/>
        <w:ind w:firstLine="480" w:firstLineChars="200"/>
        <w:rPr>
          <w:rFonts w:ascii="宋体" w:hAnsi="宋体" w:cs="宋体"/>
          <w:color w:val="auto"/>
          <w:kern w:val="0"/>
          <w:sz w:val="24"/>
          <w:szCs w:val="24"/>
          <w:highlight w:val="none"/>
          <w:lang w:val="zh-CN"/>
        </w:rPr>
      </w:pP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注：供应商法定代表人参加投标的，提供法定代表人证明书和身份证明即可。</w:t>
      </w:r>
    </w:p>
    <w:p>
      <w:pPr>
        <w:spacing w:line="400" w:lineRule="exact"/>
        <w:rPr>
          <w:rFonts w:ascii="宋体" w:hAnsi="宋体" w:cs="宋体"/>
          <w:color w:val="auto"/>
          <w:kern w:val="0"/>
          <w:sz w:val="24"/>
          <w:szCs w:val="24"/>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snapToGrid w:val="0"/>
        <w:spacing w:before="50" w:after="50"/>
        <w:rPr>
          <w:rFonts w:ascii="宋体" w:hAnsi="宋体"/>
          <w:b/>
          <w:color w:val="auto"/>
          <w:sz w:val="24"/>
          <w:szCs w:val="24"/>
          <w:highlight w:val="none"/>
        </w:rPr>
      </w:pPr>
      <w:r>
        <w:rPr>
          <w:rFonts w:hint="eastAsia" w:ascii="宋体" w:hAnsi="宋体"/>
          <w:b/>
          <w:color w:val="auto"/>
          <w:sz w:val="24"/>
          <w:szCs w:val="24"/>
          <w:highlight w:val="none"/>
        </w:rPr>
        <w:t>附件三、报价一览表</w:t>
      </w:r>
    </w:p>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报价一览表</w:t>
      </w:r>
    </w:p>
    <w:p>
      <w:pPr>
        <w:snapToGrid w:val="0"/>
        <w:spacing w:before="50" w:after="50"/>
        <w:rPr>
          <w:rFonts w:ascii="宋体" w:hAnsi="宋体"/>
          <w:color w:val="auto"/>
          <w:sz w:val="24"/>
          <w:szCs w:val="24"/>
          <w:highlight w:val="none"/>
        </w:rPr>
      </w:pPr>
      <w:r>
        <w:rPr>
          <w:rFonts w:hint="eastAsia" w:ascii="宋体" w:hAnsi="宋体"/>
          <w:color w:val="auto"/>
          <w:sz w:val="24"/>
          <w:szCs w:val="24"/>
          <w:highlight w:val="none"/>
        </w:rPr>
        <w:t>磋商编号：</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供应商名称：</w:t>
      </w:r>
      <w:r>
        <w:rPr>
          <w:rFonts w:ascii="宋体" w:hAnsi="宋体"/>
          <w:color w:val="auto"/>
          <w:sz w:val="24"/>
          <w:szCs w:val="24"/>
          <w:highlight w:val="none"/>
          <w:u w:val="single"/>
        </w:rPr>
        <w:t xml:space="preserve">                    </w:t>
      </w:r>
      <w:r>
        <w:rPr>
          <w:rFonts w:hint="eastAsia" w:ascii="宋体" w:hAnsi="宋体"/>
          <w:color w:val="auto"/>
          <w:sz w:val="24"/>
          <w:szCs w:val="24"/>
          <w:highlight w:val="none"/>
        </w:rPr>
        <w:t>单位：元</w:t>
      </w:r>
      <w:r>
        <w:rPr>
          <w:rFonts w:ascii="宋体" w:hAnsi="宋体"/>
          <w:color w:val="auto"/>
          <w:sz w:val="24"/>
          <w:szCs w:val="24"/>
          <w:highlight w:val="none"/>
        </w:rPr>
        <w:t xml:space="preserve">                        </w:t>
      </w:r>
    </w:p>
    <w:tbl>
      <w:tblPr>
        <w:tblStyle w:val="11"/>
        <w:tblW w:w="880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2869"/>
        <w:gridCol w:w="1134"/>
        <w:gridCol w:w="1134"/>
        <w:gridCol w:w="285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标项</w:t>
            </w:r>
          </w:p>
        </w:tc>
        <w:tc>
          <w:tcPr>
            <w:tcW w:w="286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货物名称</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单位</w:t>
            </w:r>
          </w:p>
        </w:tc>
        <w:tc>
          <w:tcPr>
            <w:tcW w:w="28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4"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rPr>
                <w:rFonts w:ascii="宋体" w:hAnsi="宋体"/>
                <w:color w:val="auto"/>
                <w:sz w:val="24"/>
                <w:szCs w:val="24"/>
                <w:highlight w:val="none"/>
              </w:rPr>
            </w:pPr>
            <w:r>
              <w:rPr>
                <w:rFonts w:ascii="宋体" w:hAnsi="宋体"/>
                <w:color w:val="auto"/>
                <w:sz w:val="24"/>
                <w:szCs w:val="24"/>
                <w:highlight w:val="none"/>
              </w:rPr>
              <w:t>1</w:t>
            </w:r>
          </w:p>
        </w:tc>
        <w:tc>
          <w:tcPr>
            <w:tcW w:w="286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24"/>
                <w:szCs w:val="24"/>
                <w:highlight w:val="none"/>
              </w:rPr>
            </w:pPr>
            <w:r>
              <w:rPr>
                <w:rFonts w:hint="eastAsia" w:ascii="宋体" w:hAnsi="宋体"/>
                <w:sz w:val="24"/>
                <w:highlight w:val="none"/>
              </w:rPr>
              <w:t>2023年员工端午实物慰问品</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24"/>
                <w:szCs w:val="24"/>
                <w:highlight w:val="none"/>
              </w:rPr>
            </w:pPr>
            <w:r>
              <w:rPr>
                <w:rFonts w:hint="eastAsia" w:ascii="宋体" w:hAnsi="宋体"/>
                <w:color w:val="auto"/>
                <w:sz w:val="24"/>
                <w:szCs w:val="24"/>
                <w:highlight w:val="none"/>
              </w:rPr>
              <w:t>1</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24"/>
                <w:szCs w:val="24"/>
                <w:highlight w:val="none"/>
              </w:rPr>
            </w:pPr>
            <w:r>
              <w:rPr>
                <w:rFonts w:hint="eastAsia" w:ascii="宋体" w:hAnsi="宋体"/>
                <w:color w:val="auto"/>
                <w:sz w:val="24"/>
                <w:szCs w:val="24"/>
                <w:highlight w:val="none"/>
              </w:rPr>
              <w:t>批</w:t>
            </w:r>
          </w:p>
        </w:tc>
        <w:tc>
          <w:tcPr>
            <w:tcW w:w="28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817" w:type="dxa"/>
            <w:tcBorders>
              <w:top w:val="single" w:color="auto" w:sz="4" w:space="0"/>
              <w:left w:val="single" w:color="auto" w:sz="4" w:space="0"/>
              <w:bottom w:val="single" w:color="auto" w:sz="4" w:space="0"/>
              <w:right w:val="single" w:color="auto" w:sz="4" w:space="0"/>
            </w:tcBorders>
          </w:tcPr>
          <w:p>
            <w:pPr>
              <w:snapToGrid w:val="0"/>
              <w:spacing w:before="50" w:after="50"/>
              <w:rPr>
                <w:rFonts w:ascii="宋体" w:hAnsi="宋体"/>
                <w:color w:val="auto"/>
                <w:sz w:val="24"/>
                <w:szCs w:val="24"/>
                <w:highlight w:val="none"/>
              </w:rPr>
            </w:pPr>
            <w:r>
              <w:rPr>
                <w:rFonts w:hint="eastAsia" w:ascii="宋体" w:hAnsi="宋体"/>
                <w:color w:val="auto"/>
                <w:sz w:val="24"/>
                <w:szCs w:val="24"/>
                <w:highlight w:val="none"/>
              </w:rPr>
              <w:t>2</w:t>
            </w:r>
          </w:p>
        </w:tc>
        <w:tc>
          <w:tcPr>
            <w:tcW w:w="7988"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50" w:after="50"/>
              <w:rPr>
                <w:rFonts w:ascii="宋体" w:hAnsi="宋体"/>
                <w:color w:val="auto"/>
                <w:sz w:val="24"/>
                <w:szCs w:val="24"/>
                <w:highlight w:val="none"/>
              </w:rPr>
            </w:pPr>
            <w:r>
              <w:rPr>
                <w:rFonts w:hint="eastAsia" w:ascii="宋体" w:hAnsi="宋体"/>
                <w:color w:val="auto"/>
                <w:sz w:val="24"/>
                <w:szCs w:val="24"/>
                <w:highlight w:val="none"/>
              </w:rPr>
              <w:t>合计金额大写：                                     ￥</w:t>
            </w:r>
            <w:r>
              <w:rPr>
                <w:rFonts w:ascii="宋体" w:hAnsi="宋体"/>
                <w:color w:val="auto"/>
                <w:sz w:val="24"/>
                <w:szCs w:val="24"/>
                <w:highlight w:val="none"/>
                <w:u w:val="single"/>
              </w:rPr>
              <w:t xml:space="preserve">            </w:t>
            </w:r>
          </w:p>
          <w:p>
            <w:pPr>
              <w:snapToGrid w:val="0"/>
              <w:spacing w:before="50" w:after="50"/>
              <w:rPr>
                <w:rFonts w:ascii="宋体" w:hAnsi="宋体"/>
                <w:color w:val="auto"/>
                <w:sz w:val="24"/>
                <w:szCs w:val="24"/>
                <w:highlight w:val="none"/>
                <w:u w:val="single"/>
              </w:rPr>
            </w:pPr>
            <w:r>
              <w:rPr>
                <w:rFonts w:ascii="宋体" w:hAnsi="宋体"/>
                <w:color w:val="auto"/>
                <w:sz w:val="24"/>
                <w:szCs w:val="24"/>
                <w:highlight w:val="none"/>
              </w:rPr>
              <w:t xml:space="preserve">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p>
        </w:tc>
      </w:tr>
    </w:tbl>
    <w:p>
      <w:pPr>
        <w:snapToGrid w:val="0"/>
        <w:spacing w:before="50" w:after="50" w:line="420" w:lineRule="exact"/>
        <w:jc w:val="left"/>
        <w:rPr>
          <w:rFonts w:ascii="宋体" w:hAnsi="宋体"/>
          <w:color w:val="auto"/>
          <w:sz w:val="24"/>
          <w:szCs w:val="24"/>
          <w:highlight w:val="none"/>
        </w:rPr>
      </w:pPr>
      <w:r>
        <w:rPr>
          <w:rFonts w:hint="eastAsia" w:ascii="宋体" w:hAnsi="宋体"/>
          <w:color w:val="auto"/>
          <w:sz w:val="24"/>
          <w:szCs w:val="24"/>
          <w:highlight w:val="none"/>
        </w:rPr>
        <w:t>注</w:t>
      </w:r>
      <w:r>
        <w:rPr>
          <w:rFonts w:ascii="宋体" w:hAnsi="宋体"/>
          <w:color w:val="auto"/>
          <w:sz w:val="24"/>
          <w:szCs w:val="24"/>
          <w:highlight w:val="none"/>
        </w:rPr>
        <w:t>: 1</w:t>
      </w:r>
      <w:r>
        <w:rPr>
          <w:rFonts w:hint="eastAsia" w:ascii="宋体" w:hAnsi="宋体"/>
          <w:color w:val="auto"/>
          <w:sz w:val="24"/>
          <w:szCs w:val="24"/>
          <w:highlight w:val="none"/>
        </w:rPr>
        <w:t>、报价一经涂改，应在涂改处加盖单位公章或者由法定代表人或授权委托人签字或盖章，否则其投标作无效处理。</w:t>
      </w:r>
    </w:p>
    <w:p>
      <w:pPr>
        <w:snapToGrid w:val="0"/>
        <w:spacing w:before="50" w:after="50" w:line="420" w:lineRule="exact"/>
        <w:ind w:firstLine="480" w:firstLineChars="200"/>
        <w:jc w:val="left"/>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、凡需用专用耗材的专用设备类采购项目，应按磋商文件规定的耗材量或按耗材的常规试用量提供报价。</w:t>
      </w:r>
    </w:p>
    <w:p>
      <w:pPr>
        <w:snapToGrid w:val="0"/>
        <w:spacing w:before="50" w:after="50" w:line="420" w:lineRule="exact"/>
        <w:ind w:firstLine="480" w:firstLineChars="200"/>
        <w:jc w:val="left"/>
        <w:rPr>
          <w:rFonts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、磋商费用包括项目实施所需的设计费、人工费、包装费、服务费、运输费、安装调试费、购买及制作标书费、税费及其他一切费用。</w:t>
      </w:r>
    </w:p>
    <w:p>
      <w:pPr>
        <w:snapToGrid w:val="0"/>
        <w:spacing w:before="50" w:after="50" w:line="420" w:lineRule="exact"/>
        <w:ind w:firstLine="480" w:firstLineChars="200"/>
        <w:jc w:val="left"/>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、以上报价应与“报价明细表”中的“磋商总价”相一致。</w:t>
      </w: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r>
        <w:rPr>
          <w:rFonts w:hint="eastAsia" w:ascii="宋体" w:hAnsi="宋体"/>
          <w:color w:val="auto"/>
          <w:sz w:val="24"/>
          <w:szCs w:val="24"/>
          <w:highlight w:val="none"/>
        </w:rPr>
        <w:t>法定代表人或授权代表（签字或盖章）：</w:t>
      </w:r>
      <w:r>
        <w:rPr>
          <w:rFonts w:ascii="宋体" w:hAnsi="宋体"/>
          <w:color w:val="auto"/>
          <w:sz w:val="24"/>
          <w:szCs w:val="24"/>
          <w:highlight w:val="none"/>
        </w:rPr>
        <w:t xml:space="preserve">                    </w:t>
      </w: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r>
        <w:rPr>
          <w:rFonts w:hint="eastAsia" w:ascii="宋体" w:hAnsi="宋体"/>
          <w:color w:val="auto"/>
          <w:sz w:val="24"/>
          <w:szCs w:val="24"/>
          <w:highlight w:val="none"/>
        </w:rPr>
        <w:t>供应商名称（盖章）：</w:t>
      </w:r>
      <w:r>
        <w:rPr>
          <w:rFonts w:ascii="宋体" w:hAnsi="宋体"/>
          <w:color w:val="auto"/>
          <w:sz w:val="24"/>
          <w:szCs w:val="24"/>
          <w:highlight w:val="none"/>
        </w:rPr>
        <w:t xml:space="preserve">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日期：</w:t>
      </w:r>
      <w:r>
        <w:rPr>
          <w:rFonts w:ascii="宋体" w:hAnsi="宋体"/>
          <w:color w:val="auto"/>
          <w:sz w:val="24"/>
          <w:szCs w:val="24"/>
          <w:highlight w:val="none"/>
        </w:rPr>
        <w:t xml:space="preserve">    </w:t>
      </w:r>
      <w:r>
        <w:rPr>
          <w:rFonts w:hint="eastAsia" w:ascii="宋体" w:hAnsi="宋体"/>
          <w:color w:val="auto"/>
          <w:sz w:val="24"/>
          <w:szCs w:val="24"/>
          <w:highlight w:val="none"/>
        </w:rPr>
        <w:t>年</w:t>
      </w:r>
      <w:r>
        <w:rPr>
          <w:rFonts w:ascii="宋体" w:hAnsi="宋体"/>
          <w:color w:val="auto"/>
          <w:sz w:val="24"/>
          <w:szCs w:val="24"/>
          <w:highlight w:val="none"/>
        </w:rPr>
        <w:t xml:space="preserve">   </w:t>
      </w:r>
      <w:r>
        <w:rPr>
          <w:rFonts w:hint="eastAsia" w:ascii="宋体" w:hAnsi="宋体"/>
          <w:color w:val="auto"/>
          <w:sz w:val="24"/>
          <w:szCs w:val="24"/>
          <w:highlight w:val="none"/>
        </w:rPr>
        <w:t>月</w:t>
      </w:r>
      <w:r>
        <w:rPr>
          <w:rFonts w:ascii="宋体" w:hAnsi="宋体"/>
          <w:color w:val="auto"/>
          <w:sz w:val="24"/>
          <w:szCs w:val="24"/>
          <w:highlight w:val="none"/>
        </w:rPr>
        <w:t xml:space="preserve">   </w:t>
      </w:r>
      <w:r>
        <w:rPr>
          <w:rFonts w:hint="eastAsia" w:ascii="宋体" w:hAnsi="宋体"/>
          <w:color w:val="auto"/>
          <w:sz w:val="24"/>
          <w:szCs w:val="24"/>
          <w:highlight w:val="none"/>
        </w:rPr>
        <w:t>日</w:t>
      </w:r>
    </w:p>
    <w:p>
      <w:pPr>
        <w:pStyle w:val="4"/>
        <w:snapToGrid w:val="0"/>
        <w:spacing w:before="295" w:after="295"/>
        <w:rPr>
          <w:rFonts w:hAnsi="宋体"/>
          <w:b/>
          <w:color w:val="auto"/>
          <w:highlight w:val="none"/>
        </w:rPr>
      </w:pPr>
    </w:p>
    <w:p>
      <w:pPr>
        <w:pStyle w:val="4"/>
        <w:snapToGrid w:val="0"/>
        <w:spacing w:before="295" w:after="295"/>
        <w:rPr>
          <w:rFonts w:hAnsi="宋体"/>
          <w:b/>
          <w:color w:val="auto"/>
          <w:highlight w:val="none"/>
        </w:rPr>
      </w:pPr>
    </w:p>
    <w:p>
      <w:pPr>
        <w:pStyle w:val="4"/>
        <w:snapToGrid w:val="0"/>
        <w:spacing w:before="295" w:after="295"/>
        <w:rPr>
          <w:rFonts w:hAnsi="宋体"/>
          <w:b/>
          <w:color w:val="auto"/>
          <w:highlight w:val="none"/>
        </w:rPr>
      </w:pPr>
    </w:p>
    <w:p>
      <w:pPr>
        <w:pStyle w:val="4"/>
        <w:snapToGrid w:val="0"/>
        <w:spacing w:before="295" w:after="295"/>
        <w:rPr>
          <w:rFonts w:hAnsi="宋体"/>
          <w:b/>
          <w:color w:val="auto"/>
          <w:highlight w:val="none"/>
        </w:rPr>
      </w:pPr>
    </w:p>
    <w:p>
      <w:pPr>
        <w:pStyle w:val="4"/>
        <w:snapToGrid w:val="0"/>
        <w:spacing w:before="295" w:after="295"/>
        <w:rPr>
          <w:rFonts w:hAnsi="宋体"/>
          <w:b/>
          <w:color w:val="auto"/>
          <w:highlight w:val="none"/>
        </w:rPr>
      </w:pPr>
    </w:p>
    <w:p>
      <w:pPr>
        <w:pStyle w:val="4"/>
        <w:snapToGrid w:val="0"/>
        <w:spacing w:before="295" w:after="295"/>
        <w:rPr>
          <w:rFonts w:hAnsi="宋体"/>
          <w:b/>
          <w:color w:val="auto"/>
          <w:highlight w:val="none"/>
        </w:rPr>
      </w:pPr>
    </w:p>
    <w:p>
      <w:pPr>
        <w:pStyle w:val="4"/>
        <w:snapToGrid w:val="0"/>
        <w:spacing w:before="295" w:after="295"/>
        <w:rPr>
          <w:rFonts w:hAnsi="宋体"/>
          <w:b/>
          <w:color w:val="auto"/>
          <w:highlight w:val="none"/>
        </w:rPr>
      </w:pPr>
    </w:p>
    <w:p>
      <w:pPr>
        <w:pStyle w:val="4"/>
        <w:snapToGrid w:val="0"/>
        <w:spacing w:before="295" w:after="295"/>
        <w:rPr>
          <w:rFonts w:hAnsi="宋体"/>
          <w:b/>
          <w:color w:val="auto"/>
          <w:highlight w:val="none"/>
        </w:rPr>
      </w:pPr>
    </w:p>
    <w:p>
      <w:pPr>
        <w:pStyle w:val="4"/>
        <w:snapToGrid w:val="0"/>
        <w:spacing w:before="295" w:after="295"/>
        <w:rPr>
          <w:rFonts w:hAnsi="宋体"/>
          <w:b/>
          <w:color w:val="auto"/>
          <w:sz w:val="24"/>
          <w:szCs w:val="24"/>
          <w:highlight w:val="none"/>
        </w:rPr>
      </w:pPr>
      <w:r>
        <w:rPr>
          <w:rFonts w:hint="eastAsia" w:hAnsi="宋体"/>
          <w:b/>
          <w:color w:val="auto"/>
          <w:sz w:val="24"/>
          <w:szCs w:val="24"/>
          <w:highlight w:val="none"/>
        </w:rPr>
        <w:t xml:space="preserve">附件四 </w:t>
      </w:r>
      <w:r>
        <w:rPr>
          <w:rFonts w:hAnsi="宋体"/>
          <w:b/>
          <w:color w:val="auto"/>
          <w:sz w:val="24"/>
          <w:szCs w:val="24"/>
          <w:highlight w:val="none"/>
        </w:rPr>
        <w:t xml:space="preserve">报价明细表格式：       </w:t>
      </w:r>
    </w:p>
    <w:p>
      <w:pPr>
        <w:pStyle w:val="4"/>
        <w:snapToGrid w:val="0"/>
        <w:spacing w:before="295" w:after="295"/>
        <w:jc w:val="center"/>
        <w:rPr>
          <w:rFonts w:hAnsi="宋体"/>
          <w:color w:val="auto"/>
          <w:sz w:val="24"/>
          <w:szCs w:val="24"/>
          <w:highlight w:val="none"/>
        </w:rPr>
      </w:pPr>
      <w:r>
        <w:rPr>
          <w:rFonts w:hAnsi="宋体"/>
          <w:color w:val="auto"/>
          <w:sz w:val="24"/>
          <w:szCs w:val="24"/>
          <w:highlight w:val="none"/>
        </w:rPr>
        <w:t>报价明细表</w:t>
      </w:r>
    </w:p>
    <w:p>
      <w:pPr>
        <w:pStyle w:val="4"/>
        <w:snapToGrid w:val="0"/>
        <w:spacing w:before="295" w:after="295"/>
        <w:rPr>
          <w:rFonts w:hAnsi="宋体"/>
          <w:color w:val="auto"/>
          <w:sz w:val="24"/>
          <w:szCs w:val="24"/>
          <w:highlight w:val="none"/>
        </w:rPr>
      </w:pPr>
      <w:r>
        <w:rPr>
          <w:rFonts w:hAnsi="宋体"/>
          <w:color w:val="auto"/>
          <w:sz w:val="24"/>
          <w:szCs w:val="24"/>
          <w:highlight w:val="none"/>
        </w:rPr>
        <w:t>标项：</w:t>
      </w:r>
      <w:r>
        <w:rPr>
          <w:rFonts w:hAnsi="宋体"/>
          <w:color w:val="auto"/>
          <w:sz w:val="24"/>
          <w:szCs w:val="24"/>
          <w:highlight w:val="none"/>
          <w:u w:val="single"/>
        </w:rPr>
        <w:t xml:space="preserve">              </w:t>
      </w:r>
      <w:r>
        <w:rPr>
          <w:rFonts w:hAnsi="宋体"/>
          <w:color w:val="auto"/>
          <w:sz w:val="24"/>
          <w:szCs w:val="24"/>
          <w:highlight w:val="none"/>
        </w:rPr>
        <w:t xml:space="preserve">                   金额单位：人民币（元）</w:t>
      </w:r>
    </w:p>
    <w:p>
      <w:pPr>
        <w:snapToGrid w:val="0"/>
        <w:spacing w:before="50" w:after="50" w:line="360" w:lineRule="auto"/>
        <w:ind w:firstLine="360" w:firstLineChars="150"/>
        <w:rPr>
          <w:rFonts w:ascii="宋体" w:hAnsi="宋体"/>
          <w:color w:val="auto"/>
          <w:sz w:val="24"/>
          <w:highlight w:val="none"/>
        </w:rPr>
      </w:pPr>
      <w:r>
        <w:rPr>
          <w:rFonts w:hint="eastAsia" w:ascii="宋体" w:hAnsi="宋体"/>
          <w:color w:val="auto"/>
          <w:sz w:val="24"/>
          <w:highlight w:val="none"/>
        </w:rPr>
        <w:t>项目编号：</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单位：元</w:t>
      </w:r>
    </w:p>
    <w:tbl>
      <w:tblPr>
        <w:tblStyle w:val="11"/>
        <w:tblW w:w="932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27"/>
        <w:gridCol w:w="1625"/>
        <w:gridCol w:w="1417"/>
        <w:gridCol w:w="1134"/>
        <w:gridCol w:w="1377"/>
        <w:gridCol w:w="1620"/>
        <w:gridCol w:w="12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27" w:type="dxa"/>
            <w:tcBorders>
              <w:top w:val="single" w:color="auto" w:sz="4" w:space="0"/>
              <w:left w:val="single" w:color="auto" w:sz="4" w:space="0"/>
              <w:bottom w:val="single" w:color="auto" w:sz="4" w:space="0"/>
              <w:right w:val="single" w:color="auto" w:sz="4" w:space="0"/>
            </w:tcBorders>
            <w:vAlign w:val="center"/>
          </w:tcPr>
          <w:p>
            <w:pPr>
              <w:tabs>
                <w:tab w:val="left" w:pos="1418"/>
              </w:tabs>
              <w:spacing w:line="360" w:lineRule="auto"/>
              <w:jc w:val="center"/>
              <w:rPr>
                <w:rFonts w:ascii="宋体" w:hAnsi="宋体"/>
                <w:color w:val="auto"/>
                <w:spacing w:val="-6"/>
                <w:sz w:val="24"/>
                <w:highlight w:val="none"/>
              </w:rPr>
            </w:pPr>
            <w:r>
              <w:rPr>
                <w:rFonts w:hint="eastAsia" w:ascii="宋体" w:hAnsi="宋体"/>
                <w:color w:val="auto"/>
                <w:spacing w:val="-6"/>
                <w:sz w:val="24"/>
                <w:highlight w:val="none"/>
              </w:rPr>
              <w:t>序号</w:t>
            </w:r>
          </w:p>
        </w:tc>
        <w:tc>
          <w:tcPr>
            <w:tcW w:w="1625" w:type="dxa"/>
            <w:tcBorders>
              <w:top w:val="single" w:color="auto" w:sz="4" w:space="0"/>
              <w:left w:val="single" w:color="auto" w:sz="4" w:space="0"/>
              <w:bottom w:val="single" w:color="auto" w:sz="4" w:space="0"/>
              <w:right w:val="single" w:color="auto" w:sz="4" w:space="0"/>
            </w:tcBorders>
            <w:vAlign w:val="center"/>
          </w:tcPr>
          <w:p>
            <w:pPr>
              <w:tabs>
                <w:tab w:val="left" w:pos="1418"/>
              </w:tabs>
              <w:spacing w:line="360" w:lineRule="auto"/>
              <w:jc w:val="center"/>
              <w:rPr>
                <w:rFonts w:ascii="宋体" w:hAnsi="宋体"/>
                <w:color w:val="auto"/>
                <w:spacing w:val="-6"/>
                <w:sz w:val="24"/>
                <w:highlight w:val="none"/>
              </w:rPr>
            </w:pPr>
            <w:r>
              <w:rPr>
                <w:rFonts w:hint="eastAsia" w:ascii="宋体" w:hAnsi="宋体"/>
                <w:color w:val="auto"/>
                <w:spacing w:val="-6"/>
                <w:sz w:val="24"/>
                <w:highlight w:val="none"/>
              </w:rPr>
              <w:t>产品名称</w:t>
            </w:r>
          </w:p>
        </w:tc>
        <w:tc>
          <w:tcPr>
            <w:tcW w:w="1417" w:type="dxa"/>
            <w:tcBorders>
              <w:top w:val="single" w:color="auto" w:sz="4" w:space="0"/>
              <w:left w:val="single" w:color="auto" w:sz="4" w:space="0"/>
              <w:bottom w:val="single" w:color="auto" w:sz="4" w:space="0"/>
              <w:right w:val="single" w:color="auto" w:sz="4" w:space="0"/>
            </w:tcBorders>
            <w:vAlign w:val="center"/>
          </w:tcPr>
          <w:p>
            <w:pPr>
              <w:pStyle w:val="97"/>
              <w:rPr>
                <w:rFonts w:ascii="宋体" w:hAnsi="宋体" w:eastAsia="宋体"/>
                <w:color w:val="auto"/>
                <w:spacing w:val="-6"/>
                <w:kern w:val="2"/>
                <w:highlight w:val="none"/>
              </w:rPr>
            </w:pPr>
            <w:r>
              <w:rPr>
                <w:rFonts w:hint="eastAsia" w:ascii="宋体" w:hAnsi="宋体" w:eastAsia="宋体"/>
                <w:color w:val="auto"/>
                <w:spacing w:val="-6"/>
                <w:highlight w:val="none"/>
              </w:rPr>
              <w:t>品牌规格</w:t>
            </w:r>
          </w:p>
        </w:tc>
        <w:tc>
          <w:tcPr>
            <w:tcW w:w="1134" w:type="dxa"/>
            <w:tcBorders>
              <w:top w:val="single" w:color="auto" w:sz="4" w:space="0"/>
              <w:left w:val="single" w:color="auto" w:sz="4" w:space="0"/>
              <w:bottom w:val="single" w:color="auto" w:sz="4" w:space="0"/>
              <w:right w:val="single" w:color="auto" w:sz="4" w:space="0"/>
            </w:tcBorders>
            <w:vAlign w:val="center"/>
          </w:tcPr>
          <w:p>
            <w:pPr>
              <w:tabs>
                <w:tab w:val="left" w:pos="1418"/>
              </w:tabs>
              <w:spacing w:line="360" w:lineRule="auto"/>
              <w:jc w:val="center"/>
              <w:rPr>
                <w:rFonts w:ascii="宋体" w:hAnsi="宋体"/>
                <w:color w:val="auto"/>
                <w:spacing w:val="-6"/>
                <w:sz w:val="24"/>
                <w:highlight w:val="none"/>
              </w:rPr>
            </w:pPr>
            <w:r>
              <w:rPr>
                <w:rFonts w:ascii="宋体" w:hAnsi="宋体"/>
                <w:color w:val="auto"/>
                <w:spacing w:val="-6"/>
                <w:sz w:val="24"/>
                <w:highlight w:val="none"/>
              </w:rPr>
              <w:t>数量</w:t>
            </w:r>
          </w:p>
        </w:tc>
        <w:tc>
          <w:tcPr>
            <w:tcW w:w="1377" w:type="dxa"/>
            <w:tcBorders>
              <w:top w:val="single" w:color="auto" w:sz="4" w:space="0"/>
              <w:left w:val="single" w:color="auto" w:sz="4" w:space="0"/>
              <w:bottom w:val="single" w:color="auto" w:sz="4" w:space="0"/>
              <w:right w:val="single" w:color="auto" w:sz="4" w:space="0"/>
            </w:tcBorders>
            <w:vAlign w:val="center"/>
          </w:tcPr>
          <w:p>
            <w:pPr>
              <w:tabs>
                <w:tab w:val="left" w:pos="1418"/>
              </w:tabs>
              <w:spacing w:line="360" w:lineRule="auto"/>
              <w:jc w:val="center"/>
              <w:rPr>
                <w:rFonts w:ascii="宋体" w:hAnsi="宋体"/>
                <w:color w:val="auto"/>
                <w:spacing w:val="-6"/>
                <w:sz w:val="24"/>
                <w:highlight w:val="none"/>
              </w:rPr>
            </w:pPr>
            <w:r>
              <w:rPr>
                <w:rFonts w:hint="eastAsia" w:ascii="宋体" w:hAnsi="宋体"/>
                <w:color w:val="auto"/>
                <w:sz w:val="24"/>
                <w:highlight w:val="none"/>
              </w:rPr>
              <w:t>世纪联华超市价或相关产品旗舰店网上价格等</w:t>
            </w:r>
          </w:p>
        </w:tc>
        <w:tc>
          <w:tcPr>
            <w:tcW w:w="1620" w:type="dxa"/>
            <w:tcBorders>
              <w:top w:val="single" w:color="auto" w:sz="4" w:space="0"/>
              <w:left w:val="single" w:color="auto" w:sz="4" w:space="0"/>
              <w:bottom w:val="single" w:color="auto" w:sz="4" w:space="0"/>
              <w:right w:val="single" w:color="auto" w:sz="4" w:space="0"/>
            </w:tcBorders>
            <w:vAlign w:val="center"/>
          </w:tcPr>
          <w:p>
            <w:pPr>
              <w:tabs>
                <w:tab w:val="left" w:pos="1418"/>
              </w:tabs>
              <w:spacing w:line="360" w:lineRule="auto"/>
              <w:jc w:val="center"/>
              <w:rPr>
                <w:rFonts w:ascii="宋体" w:hAnsi="宋体"/>
                <w:color w:val="auto"/>
                <w:spacing w:val="-6"/>
                <w:sz w:val="24"/>
                <w:highlight w:val="none"/>
              </w:rPr>
            </w:pPr>
            <w:r>
              <w:rPr>
                <w:rFonts w:hint="eastAsia" w:ascii="宋体" w:hAnsi="宋体"/>
                <w:color w:val="auto"/>
                <w:spacing w:val="-6"/>
                <w:sz w:val="24"/>
                <w:highlight w:val="none"/>
              </w:rPr>
              <w:t>给予采购人的优惠单价</w:t>
            </w:r>
          </w:p>
        </w:tc>
        <w:tc>
          <w:tcPr>
            <w:tcW w:w="1220" w:type="dxa"/>
            <w:tcBorders>
              <w:top w:val="single" w:color="auto" w:sz="4" w:space="0"/>
              <w:left w:val="single" w:color="auto" w:sz="4" w:space="0"/>
              <w:bottom w:val="single" w:color="auto" w:sz="4" w:space="0"/>
              <w:right w:val="single" w:color="auto" w:sz="4" w:space="0"/>
            </w:tcBorders>
            <w:vAlign w:val="center"/>
          </w:tcPr>
          <w:p>
            <w:pPr>
              <w:tabs>
                <w:tab w:val="left" w:pos="1418"/>
              </w:tabs>
              <w:spacing w:line="360" w:lineRule="auto"/>
              <w:jc w:val="center"/>
              <w:rPr>
                <w:rFonts w:ascii="宋体" w:hAnsi="宋体"/>
                <w:color w:val="auto"/>
                <w:spacing w:val="-6"/>
                <w:sz w:val="24"/>
                <w:highlight w:val="none"/>
              </w:rPr>
            </w:pPr>
            <w:r>
              <w:rPr>
                <w:rFonts w:hint="eastAsia" w:ascii="宋体" w:hAnsi="宋体"/>
                <w:color w:val="auto"/>
                <w:spacing w:val="-6"/>
                <w:sz w:val="24"/>
                <w:highlight w:val="none"/>
              </w:rPr>
              <w:t>小计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27"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r>
              <w:rPr>
                <w:rFonts w:hint="eastAsia" w:ascii="宋体" w:hAnsi="宋体"/>
                <w:color w:val="auto"/>
                <w:spacing w:val="-6"/>
                <w:sz w:val="24"/>
                <w:highlight w:val="none"/>
              </w:rPr>
              <w:t>1</w:t>
            </w:r>
          </w:p>
        </w:tc>
        <w:tc>
          <w:tcPr>
            <w:tcW w:w="1625"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417"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134"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377"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220"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27"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r>
              <w:rPr>
                <w:rFonts w:hint="eastAsia" w:ascii="宋体" w:hAnsi="宋体"/>
                <w:color w:val="auto"/>
                <w:spacing w:val="-6"/>
                <w:sz w:val="24"/>
                <w:highlight w:val="none"/>
              </w:rPr>
              <w:t>2</w:t>
            </w:r>
          </w:p>
        </w:tc>
        <w:tc>
          <w:tcPr>
            <w:tcW w:w="1625"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417"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134"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377"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220"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27"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625"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417"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134"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377"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220"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27"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625"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417"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134"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377"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220"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27"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625"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417"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134"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377"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220"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27"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625"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417"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134"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377"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220"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27"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625"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417"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134"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377"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220"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27"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625"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417"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134"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377"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220"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r>
    </w:tbl>
    <w:p>
      <w:pPr>
        <w:snapToGrid w:val="0"/>
        <w:spacing w:before="50" w:line="360" w:lineRule="auto"/>
        <w:jc w:val="left"/>
        <w:rPr>
          <w:rFonts w:ascii="宋体" w:hAnsi="宋体"/>
          <w:b/>
          <w:color w:val="auto"/>
          <w:sz w:val="24"/>
          <w:highlight w:val="none"/>
          <w:u w:val="single"/>
        </w:rPr>
      </w:pPr>
      <w:r>
        <w:rPr>
          <w:rFonts w:hint="eastAsia" w:ascii="宋体" w:hAnsi="宋体"/>
          <w:b/>
          <w:color w:val="auto"/>
          <w:sz w:val="24"/>
          <w:highlight w:val="none"/>
        </w:rPr>
        <w:t>注：同时提供世纪联华超市价或相关产品旗舰店网上价格等，提供相关证明依据。</w:t>
      </w:r>
    </w:p>
    <w:p>
      <w:pPr>
        <w:tabs>
          <w:tab w:val="left" w:pos="1418"/>
        </w:tabs>
        <w:snapToGrid w:val="0"/>
        <w:spacing w:before="50" w:after="50"/>
        <w:ind w:left="1418" w:hanging="567"/>
        <w:jc w:val="center"/>
        <w:rPr>
          <w:rFonts w:ascii="宋体" w:hAnsi="宋体"/>
          <w:color w:val="auto"/>
          <w:spacing w:val="20"/>
          <w:sz w:val="24"/>
          <w:szCs w:val="24"/>
          <w:highlight w:val="none"/>
          <w:u w:val="single"/>
        </w:rPr>
      </w:pPr>
    </w:p>
    <w:p>
      <w:pPr>
        <w:tabs>
          <w:tab w:val="left" w:pos="1418"/>
        </w:tabs>
        <w:snapToGrid w:val="0"/>
        <w:spacing w:before="50" w:after="50"/>
        <w:ind w:left="1418" w:hanging="567"/>
        <w:jc w:val="center"/>
        <w:rPr>
          <w:rFonts w:ascii="宋体" w:hAnsi="宋体"/>
          <w:color w:val="auto"/>
          <w:spacing w:val="20"/>
          <w:sz w:val="24"/>
          <w:szCs w:val="24"/>
          <w:highlight w:val="none"/>
          <w:u w:val="single"/>
        </w:rPr>
      </w:pPr>
    </w:p>
    <w:p>
      <w:pPr>
        <w:snapToGrid w:val="0"/>
        <w:spacing w:before="50" w:after="50"/>
        <w:rPr>
          <w:rFonts w:ascii="宋体" w:hAnsi="宋体"/>
          <w:color w:val="auto"/>
          <w:spacing w:val="20"/>
          <w:sz w:val="24"/>
          <w:szCs w:val="24"/>
          <w:highlight w:val="none"/>
          <w:u w:val="single"/>
        </w:rPr>
      </w:pPr>
      <w:r>
        <w:rPr>
          <w:rFonts w:hint="eastAsia" w:ascii="宋体" w:hAnsi="宋体"/>
          <w:color w:val="auto"/>
          <w:spacing w:val="20"/>
          <w:sz w:val="24"/>
          <w:szCs w:val="24"/>
          <w:highlight w:val="none"/>
        </w:rPr>
        <w:t>授权代表签名：</w:t>
      </w:r>
      <w:r>
        <w:rPr>
          <w:rFonts w:ascii="宋体" w:hAnsi="宋体"/>
          <w:color w:val="auto"/>
          <w:spacing w:val="20"/>
          <w:sz w:val="24"/>
          <w:szCs w:val="24"/>
          <w:highlight w:val="none"/>
          <w:u w:val="single"/>
        </w:rPr>
        <w:t xml:space="preserve">     </w:t>
      </w:r>
      <w:r>
        <w:rPr>
          <w:rFonts w:hint="eastAsia" w:ascii="宋体" w:hAnsi="宋体"/>
          <w:color w:val="auto"/>
          <w:spacing w:val="20"/>
          <w:sz w:val="24"/>
          <w:szCs w:val="24"/>
          <w:highlight w:val="none"/>
          <w:u w:val="single"/>
        </w:rPr>
        <w:t xml:space="preserve">   </w:t>
      </w:r>
      <w:r>
        <w:rPr>
          <w:rFonts w:ascii="宋体" w:hAnsi="宋体"/>
          <w:color w:val="auto"/>
          <w:spacing w:val="20"/>
          <w:sz w:val="24"/>
          <w:szCs w:val="24"/>
          <w:highlight w:val="none"/>
          <w:u w:val="single"/>
        </w:rPr>
        <w:t xml:space="preserve">     </w:t>
      </w:r>
    </w:p>
    <w:p>
      <w:pPr>
        <w:snapToGrid w:val="0"/>
        <w:spacing w:before="50" w:after="50"/>
        <w:rPr>
          <w:rFonts w:ascii="宋体" w:hAnsi="宋体"/>
          <w:color w:val="auto"/>
          <w:spacing w:val="20"/>
          <w:sz w:val="24"/>
          <w:szCs w:val="24"/>
          <w:highlight w:val="none"/>
        </w:rPr>
      </w:pPr>
    </w:p>
    <w:p>
      <w:pPr>
        <w:snapToGrid w:val="0"/>
        <w:spacing w:before="50" w:after="50"/>
        <w:rPr>
          <w:rFonts w:ascii="宋体" w:hAnsi="宋体"/>
          <w:color w:val="auto"/>
          <w:spacing w:val="20"/>
          <w:sz w:val="24"/>
          <w:szCs w:val="24"/>
          <w:highlight w:val="none"/>
        </w:rPr>
      </w:pPr>
    </w:p>
    <w:p>
      <w:pPr>
        <w:snapToGrid w:val="0"/>
        <w:spacing w:before="50" w:after="50"/>
        <w:rPr>
          <w:rFonts w:ascii="宋体" w:hAnsi="宋体"/>
          <w:color w:val="auto"/>
          <w:spacing w:val="20"/>
          <w:sz w:val="24"/>
          <w:szCs w:val="24"/>
          <w:highlight w:val="none"/>
          <w:u w:val="single"/>
        </w:rPr>
      </w:pPr>
      <w:r>
        <w:rPr>
          <w:rFonts w:hint="eastAsia" w:ascii="宋体" w:hAnsi="宋体"/>
          <w:color w:val="auto"/>
          <w:spacing w:val="20"/>
          <w:sz w:val="24"/>
          <w:szCs w:val="24"/>
          <w:highlight w:val="none"/>
        </w:rPr>
        <w:t>供应商盖章：</w:t>
      </w:r>
      <w:r>
        <w:rPr>
          <w:rFonts w:ascii="宋体" w:hAnsi="宋体"/>
          <w:color w:val="auto"/>
          <w:spacing w:val="20"/>
          <w:sz w:val="24"/>
          <w:szCs w:val="24"/>
          <w:highlight w:val="none"/>
          <w:u w:val="single"/>
        </w:rPr>
        <w:t xml:space="preserve">               </w:t>
      </w:r>
      <w:r>
        <w:rPr>
          <w:rFonts w:ascii="宋体" w:hAnsi="宋体"/>
          <w:color w:val="auto"/>
          <w:spacing w:val="20"/>
          <w:sz w:val="24"/>
          <w:szCs w:val="24"/>
          <w:highlight w:val="none"/>
        </w:rPr>
        <w:t xml:space="preserve">           </w:t>
      </w:r>
      <w:r>
        <w:rPr>
          <w:rFonts w:hint="eastAsia" w:ascii="宋体" w:hAnsi="宋体"/>
          <w:color w:val="auto"/>
          <w:spacing w:val="20"/>
          <w:sz w:val="24"/>
          <w:szCs w:val="24"/>
          <w:highlight w:val="none"/>
        </w:rPr>
        <w:t>日</w:t>
      </w:r>
      <w:r>
        <w:rPr>
          <w:rFonts w:ascii="宋体" w:hAnsi="宋体"/>
          <w:color w:val="auto"/>
          <w:spacing w:val="20"/>
          <w:sz w:val="24"/>
          <w:szCs w:val="24"/>
          <w:highlight w:val="none"/>
        </w:rPr>
        <w:t xml:space="preserve">  </w:t>
      </w:r>
      <w:r>
        <w:rPr>
          <w:rFonts w:hint="eastAsia" w:ascii="宋体" w:hAnsi="宋体"/>
          <w:color w:val="auto"/>
          <w:spacing w:val="20"/>
          <w:sz w:val="24"/>
          <w:szCs w:val="24"/>
          <w:highlight w:val="none"/>
        </w:rPr>
        <w:t>期：</w:t>
      </w:r>
      <w:r>
        <w:rPr>
          <w:rFonts w:ascii="宋体" w:hAnsi="宋体"/>
          <w:color w:val="auto"/>
          <w:spacing w:val="20"/>
          <w:sz w:val="24"/>
          <w:szCs w:val="24"/>
          <w:highlight w:val="none"/>
          <w:u w:val="single"/>
        </w:rPr>
        <w:t xml:space="preserve">         </w:t>
      </w:r>
    </w:p>
    <w:p>
      <w:pPr>
        <w:snapToGrid w:val="0"/>
        <w:spacing w:before="50" w:after="50" w:line="420" w:lineRule="exact"/>
        <w:ind w:firstLine="480" w:firstLineChars="200"/>
        <w:jc w:val="left"/>
        <w:rPr>
          <w:rFonts w:ascii="宋体" w:hAnsi="宋体"/>
          <w:color w:val="auto"/>
          <w:sz w:val="24"/>
          <w:szCs w:val="24"/>
          <w:highlight w:val="none"/>
        </w:rPr>
      </w:pPr>
    </w:p>
    <w:p>
      <w:pPr>
        <w:snapToGrid w:val="0"/>
        <w:spacing w:before="50" w:after="50" w:line="420" w:lineRule="exact"/>
        <w:ind w:firstLine="480" w:firstLineChars="200"/>
        <w:jc w:val="left"/>
        <w:rPr>
          <w:rFonts w:ascii="宋体" w:hAnsi="宋体"/>
          <w:color w:val="auto"/>
          <w:sz w:val="24"/>
          <w:szCs w:val="24"/>
          <w:highlight w:val="none"/>
        </w:rPr>
      </w:pPr>
    </w:p>
    <w:p>
      <w:pPr>
        <w:snapToGrid w:val="0"/>
        <w:spacing w:before="50" w:after="50" w:line="420" w:lineRule="exact"/>
        <w:ind w:firstLine="480" w:firstLineChars="200"/>
        <w:jc w:val="left"/>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、以上报价包括项目实施所需的设计费、人工费、包装费、服务费、运输费、安装调试费、税费及其他一切费用。供应商也可以使用自行制作设计的投标报价明细表。</w:t>
      </w:r>
    </w:p>
    <w:p>
      <w:pPr>
        <w:snapToGrid w:val="0"/>
        <w:spacing w:before="50" w:after="50" w:line="42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2、以上单价必须是最终报价，与投标总价相对应，不允许在总价基础上再报优惠价。</w:t>
      </w:r>
    </w:p>
    <w:p>
      <w:pPr>
        <w:widowControl/>
        <w:jc w:val="left"/>
        <w:rPr>
          <w:rFonts w:ascii="宋体" w:hAnsi="宋体"/>
          <w:color w:val="auto"/>
          <w:highlight w:val="none"/>
        </w:rPr>
      </w:pPr>
    </w:p>
    <w:p>
      <w:pPr>
        <w:widowControl/>
        <w:jc w:val="left"/>
        <w:rPr>
          <w:rFonts w:ascii="宋体" w:hAnsi="宋体"/>
          <w:highlight w:val="none"/>
        </w:rPr>
      </w:pPr>
    </w:p>
    <w:p>
      <w:pPr>
        <w:widowControl/>
        <w:jc w:val="left"/>
        <w:rPr>
          <w:rFonts w:hint="eastAsia" w:ascii="宋体" w:hAnsi="宋体" w:eastAsia="宋体" w:cs="宋体"/>
        </w:rPr>
      </w:pPr>
    </w:p>
    <w:sectPr>
      <w:headerReference r:id="rId3" w:type="default"/>
      <w:footerReference r:id="rId4" w:type="default"/>
      <w:type w:val="continuous"/>
      <w:pgSz w:w="11906" w:h="16838"/>
      <w:pgMar w:top="1134" w:right="1247" w:bottom="1134" w:left="1247" w:header="567" w:footer="45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5837581"/>
      <w:docPartObj>
        <w:docPartGallery w:val="autotext"/>
      </w:docPartObj>
    </w:sdtPr>
    <w:sdtContent>
      <w:sdt>
        <w:sdtPr>
          <w:id w:val="1728636285"/>
          <w:docPartObj>
            <w:docPartGallery w:val="autotext"/>
          </w:docPartObj>
        </w:sdtPr>
        <w:sdtContent>
          <w:p>
            <w:pPr>
              <w:pStyle w:val="8"/>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12</w:t>
            </w:r>
            <w:r>
              <w:rPr>
                <w:b/>
                <w:bCs/>
                <w:sz w:val="24"/>
                <w:szCs w:val="24"/>
              </w:rPr>
              <w:fldChar w:fldCharType="end"/>
            </w:r>
          </w:p>
        </w:sdtContent>
      </w:sdt>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6" w:space="0"/>
      </w:pBdr>
      <w:ind w:right="1422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8E4A33"/>
    <w:multiLevelType w:val="multilevel"/>
    <w:tmpl w:val="108E4A33"/>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1FE00D11"/>
    <w:multiLevelType w:val="multilevel"/>
    <w:tmpl w:val="1FE00D11"/>
    <w:lvl w:ilvl="0" w:tentative="0">
      <w:start w:val="2"/>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26D56FA0"/>
    <w:multiLevelType w:val="multilevel"/>
    <w:tmpl w:val="26D56FA0"/>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53EC8E58"/>
    <w:multiLevelType w:val="singleLevel"/>
    <w:tmpl w:val="53EC8E58"/>
    <w:lvl w:ilvl="0" w:tentative="0">
      <w:start w:val="1"/>
      <w:numFmt w:val="decimal"/>
      <w:suff w:val="nothing"/>
      <w:lvlText w:val="（%1）"/>
      <w:lvlJc w:val="left"/>
    </w:lvl>
  </w:abstractNum>
  <w:abstractNum w:abstractNumId="4">
    <w:nsid w:val="73E32BA2"/>
    <w:multiLevelType w:val="multilevel"/>
    <w:tmpl w:val="73E32BA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B3B521E"/>
    <w:multiLevelType w:val="multilevel"/>
    <w:tmpl w:val="7B3B521E"/>
    <w:lvl w:ilvl="0" w:tentative="0">
      <w:start w:val="1"/>
      <w:numFmt w:val="japaneseCounting"/>
      <w:lvlText w:val="%1、"/>
      <w:lvlJc w:val="left"/>
      <w:pPr>
        <w:tabs>
          <w:tab w:val="left" w:pos="480"/>
        </w:tabs>
        <w:ind w:left="480" w:hanging="480"/>
      </w:pPr>
      <w:rPr>
        <w:rFonts w:hint="default"/>
        <w:lang w:val="en-US"/>
      </w:rPr>
    </w:lvl>
    <w:lvl w:ilvl="1" w:tentative="0">
      <w:start w:val="2"/>
      <w:numFmt w:val="japaneseCounting"/>
      <w:lvlText w:val="第%2章、"/>
      <w:lvlJc w:val="left"/>
      <w:pPr>
        <w:tabs>
          <w:tab w:val="left" w:pos="1440"/>
        </w:tabs>
        <w:ind w:left="1440" w:hanging="1080"/>
      </w:pPr>
      <w:rPr>
        <w:rFonts w:hint="default"/>
        <w:b/>
        <w:color w:val="00000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5"/>
  </w:num>
  <w:num w:numId="2">
    <w:abstractNumId w:val="1"/>
  </w:num>
  <w:num w:numId="3">
    <w:abstractNumId w:val="2"/>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ljY2VlNmZiOTIzYWU2OWVlNDBkMDI3Zjk1ZTFhMmUifQ=="/>
  </w:docVars>
  <w:rsids>
    <w:rsidRoot w:val="00504228"/>
    <w:rsid w:val="00000FDD"/>
    <w:rsid w:val="0000408C"/>
    <w:rsid w:val="0001099C"/>
    <w:rsid w:val="0001345D"/>
    <w:rsid w:val="000222D3"/>
    <w:rsid w:val="000235EF"/>
    <w:rsid w:val="00026F26"/>
    <w:rsid w:val="00031A31"/>
    <w:rsid w:val="00033FBA"/>
    <w:rsid w:val="00034DB8"/>
    <w:rsid w:val="000432ED"/>
    <w:rsid w:val="00044D2E"/>
    <w:rsid w:val="00047C73"/>
    <w:rsid w:val="0005057F"/>
    <w:rsid w:val="000554BD"/>
    <w:rsid w:val="00055AE2"/>
    <w:rsid w:val="000575BE"/>
    <w:rsid w:val="00060069"/>
    <w:rsid w:val="0006631C"/>
    <w:rsid w:val="0007285E"/>
    <w:rsid w:val="00073453"/>
    <w:rsid w:val="00074508"/>
    <w:rsid w:val="000747B8"/>
    <w:rsid w:val="000753F6"/>
    <w:rsid w:val="0007758F"/>
    <w:rsid w:val="00083D64"/>
    <w:rsid w:val="00086CAA"/>
    <w:rsid w:val="000874D1"/>
    <w:rsid w:val="00090006"/>
    <w:rsid w:val="00091549"/>
    <w:rsid w:val="00096771"/>
    <w:rsid w:val="000A3965"/>
    <w:rsid w:val="000A62C2"/>
    <w:rsid w:val="000B0F2D"/>
    <w:rsid w:val="000B1B46"/>
    <w:rsid w:val="000B2173"/>
    <w:rsid w:val="000B55A0"/>
    <w:rsid w:val="000B6FF1"/>
    <w:rsid w:val="000C072A"/>
    <w:rsid w:val="000C328E"/>
    <w:rsid w:val="000C61AC"/>
    <w:rsid w:val="000D1BCC"/>
    <w:rsid w:val="000D35AF"/>
    <w:rsid w:val="000D4989"/>
    <w:rsid w:val="000D71C1"/>
    <w:rsid w:val="000E35D7"/>
    <w:rsid w:val="000E378F"/>
    <w:rsid w:val="000E5EA2"/>
    <w:rsid w:val="000E6EFC"/>
    <w:rsid w:val="000E6F4C"/>
    <w:rsid w:val="000F61AB"/>
    <w:rsid w:val="00100F1D"/>
    <w:rsid w:val="001050F9"/>
    <w:rsid w:val="0010519A"/>
    <w:rsid w:val="00105FD5"/>
    <w:rsid w:val="00110D6E"/>
    <w:rsid w:val="001155BB"/>
    <w:rsid w:val="00115999"/>
    <w:rsid w:val="00123DF6"/>
    <w:rsid w:val="001335EB"/>
    <w:rsid w:val="00134F43"/>
    <w:rsid w:val="001358C6"/>
    <w:rsid w:val="0013797F"/>
    <w:rsid w:val="001427E4"/>
    <w:rsid w:val="00143659"/>
    <w:rsid w:val="001466F3"/>
    <w:rsid w:val="00147AAE"/>
    <w:rsid w:val="00147E50"/>
    <w:rsid w:val="001515EC"/>
    <w:rsid w:val="00152C64"/>
    <w:rsid w:val="00155C75"/>
    <w:rsid w:val="00156066"/>
    <w:rsid w:val="0015651D"/>
    <w:rsid w:val="00157C48"/>
    <w:rsid w:val="0016269C"/>
    <w:rsid w:val="001627FD"/>
    <w:rsid w:val="00163FB1"/>
    <w:rsid w:val="001666E7"/>
    <w:rsid w:val="00166916"/>
    <w:rsid w:val="0016758D"/>
    <w:rsid w:val="00170BFA"/>
    <w:rsid w:val="001733B2"/>
    <w:rsid w:val="00176C0F"/>
    <w:rsid w:val="00185186"/>
    <w:rsid w:val="0018617C"/>
    <w:rsid w:val="00190BB5"/>
    <w:rsid w:val="00191923"/>
    <w:rsid w:val="00192353"/>
    <w:rsid w:val="00192396"/>
    <w:rsid w:val="00192A91"/>
    <w:rsid w:val="0019795E"/>
    <w:rsid w:val="001A537E"/>
    <w:rsid w:val="001A7C12"/>
    <w:rsid w:val="001B431F"/>
    <w:rsid w:val="001C2847"/>
    <w:rsid w:val="001C2D1F"/>
    <w:rsid w:val="001C36D7"/>
    <w:rsid w:val="001C4AF2"/>
    <w:rsid w:val="001D444B"/>
    <w:rsid w:val="001E12C5"/>
    <w:rsid w:val="001E73B5"/>
    <w:rsid w:val="001E79B1"/>
    <w:rsid w:val="001F3150"/>
    <w:rsid w:val="001F3405"/>
    <w:rsid w:val="001F3ED1"/>
    <w:rsid w:val="001F4220"/>
    <w:rsid w:val="00200C45"/>
    <w:rsid w:val="00201814"/>
    <w:rsid w:val="002044E0"/>
    <w:rsid w:val="002052AA"/>
    <w:rsid w:val="00207192"/>
    <w:rsid w:val="00210F39"/>
    <w:rsid w:val="002115F0"/>
    <w:rsid w:val="00213238"/>
    <w:rsid w:val="002146EC"/>
    <w:rsid w:val="0021496F"/>
    <w:rsid w:val="00216784"/>
    <w:rsid w:val="002207F6"/>
    <w:rsid w:val="00222010"/>
    <w:rsid w:val="0022475D"/>
    <w:rsid w:val="0023068F"/>
    <w:rsid w:val="00230B0C"/>
    <w:rsid w:val="00240EF9"/>
    <w:rsid w:val="00245765"/>
    <w:rsid w:val="00251CF5"/>
    <w:rsid w:val="002524A5"/>
    <w:rsid w:val="00252A0B"/>
    <w:rsid w:val="002537B6"/>
    <w:rsid w:val="002558C7"/>
    <w:rsid w:val="00257400"/>
    <w:rsid w:val="00273967"/>
    <w:rsid w:val="00275CCF"/>
    <w:rsid w:val="002766EE"/>
    <w:rsid w:val="00276C18"/>
    <w:rsid w:val="00276D54"/>
    <w:rsid w:val="00277FFC"/>
    <w:rsid w:val="002848A8"/>
    <w:rsid w:val="00284B87"/>
    <w:rsid w:val="00285220"/>
    <w:rsid w:val="00287C7F"/>
    <w:rsid w:val="002924F6"/>
    <w:rsid w:val="00294FBF"/>
    <w:rsid w:val="002964EF"/>
    <w:rsid w:val="002A1BD1"/>
    <w:rsid w:val="002A1F17"/>
    <w:rsid w:val="002A3D24"/>
    <w:rsid w:val="002B1703"/>
    <w:rsid w:val="002B346E"/>
    <w:rsid w:val="002B3775"/>
    <w:rsid w:val="002C1C3A"/>
    <w:rsid w:val="002C1C47"/>
    <w:rsid w:val="002C685F"/>
    <w:rsid w:val="002D1BD3"/>
    <w:rsid w:val="002D410B"/>
    <w:rsid w:val="002D7D0F"/>
    <w:rsid w:val="002E09A9"/>
    <w:rsid w:val="002E1D91"/>
    <w:rsid w:val="002E20E2"/>
    <w:rsid w:val="002E3D60"/>
    <w:rsid w:val="002E3EE7"/>
    <w:rsid w:val="002E40D2"/>
    <w:rsid w:val="002F0C11"/>
    <w:rsid w:val="002F1230"/>
    <w:rsid w:val="002F24AB"/>
    <w:rsid w:val="002F6841"/>
    <w:rsid w:val="002F6B3B"/>
    <w:rsid w:val="00304404"/>
    <w:rsid w:val="00304437"/>
    <w:rsid w:val="00310D45"/>
    <w:rsid w:val="00311D90"/>
    <w:rsid w:val="003125DF"/>
    <w:rsid w:val="00313385"/>
    <w:rsid w:val="00316D6B"/>
    <w:rsid w:val="00320504"/>
    <w:rsid w:val="0032742D"/>
    <w:rsid w:val="00330342"/>
    <w:rsid w:val="00331A41"/>
    <w:rsid w:val="00332609"/>
    <w:rsid w:val="00333F65"/>
    <w:rsid w:val="003340C2"/>
    <w:rsid w:val="00334E07"/>
    <w:rsid w:val="003359CD"/>
    <w:rsid w:val="00335DCA"/>
    <w:rsid w:val="0035177E"/>
    <w:rsid w:val="00351BC9"/>
    <w:rsid w:val="00354843"/>
    <w:rsid w:val="00356118"/>
    <w:rsid w:val="0035692B"/>
    <w:rsid w:val="003574F8"/>
    <w:rsid w:val="00357B37"/>
    <w:rsid w:val="00357F5D"/>
    <w:rsid w:val="003627C2"/>
    <w:rsid w:val="003635EC"/>
    <w:rsid w:val="00377EFB"/>
    <w:rsid w:val="00384E7A"/>
    <w:rsid w:val="00385A71"/>
    <w:rsid w:val="0039133C"/>
    <w:rsid w:val="003A1521"/>
    <w:rsid w:val="003A6A22"/>
    <w:rsid w:val="003B50A9"/>
    <w:rsid w:val="003B55CF"/>
    <w:rsid w:val="003B7BC0"/>
    <w:rsid w:val="003E0FD0"/>
    <w:rsid w:val="003E1C1C"/>
    <w:rsid w:val="003E384F"/>
    <w:rsid w:val="003E4F22"/>
    <w:rsid w:val="003F22BA"/>
    <w:rsid w:val="003F7158"/>
    <w:rsid w:val="004063FB"/>
    <w:rsid w:val="004079EE"/>
    <w:rsid w:val="0041214E"/>
    <w:rsid w:val="0041315B"/>
    <w:rsid w:val="00415002"/>
    <w:rsid w:val="0041550C"/>
    <w:rsid w:val="0043027E"/>
    <w:rsid w:val="004334C4"/>
    <w:rsid w:val="00433D27"/>
    <w:rsid w:val="00435007"/>
    <w:rsid w:val="00436559"/>
    <w:rsid w:val="00441645"/>
    <w:rsid w:val="00447370"/>
    <w:rsid w:val="0044784C"/>
    <w:rsid w:val="00451E75"/>
    <w:rsid w:val="00453042"/>
    <w:rsid w:val="004541A9"/>
    <w:rsid w:val="00456492"/>
    <w:rsid w:val="00462FFD"/>
    <w:rsid w:val="0046340E"/>
    <w:rsid w:val="004645AE"/>
    <w:rsid w:val="004677DE"/>
    <w:rsid w:val="00483C7A"/>
    <w:rsid w:val="004859E9"/>
    <w:rsid w:val="00486CA3"/>
    <w:rsid w:val="00490F3C"/>
    <w:rsid w:val="00491A6D"/>
    <w:rsid w:val="0049677F"/>
    <w:rsid w:val="004A3424"/>
    <w:rsid w:val="004A36F6"/>
    <w:rsid w:val="004A7539"/>
    <w:rsid w:val="004B0F09"/>
    <w:rsid w:val="004B181D"/>
    <w:rsid w:val="004B2F32"/>
    <w:rsid w:val="004B56F1"/>
    <w:rsid w:val="004C1FA1"/>
    <w:rsid w:val="004C335E"/>
    <w:rsid w:val="004C5738"/>
    <w:rsid w:val="004C6AD2"/>
    <w:rsid w:val="004C7DA9"/>
    <w:rsid w:val="004D3015"/>
    <w:rsid w:val="004D3F16"/>
    <w:rsid w:val="004D4FAA"/>
    <w:rsid w:val="004D7E75"/>
    <w:rsid w:val="004E2AC4"/>
    <w:rsid w:val="004E3FAE"/>
    <w:rsid w:val="004E7BD5"/>
    <w:rsid w:val="004E7CFB"/>
    <w:rsid w:val="004F008F"/>
    <w:rsid w:val="004F1F83"/>
    <w:rsid w:val="004F3852"/>
    <w:rsid w:val="004F582D"/>
    <w:rsid w:val="004F6881"/>
    <w:rsid w:val="00500C09"/>
    <w:rsid w:val="00501295"/>
    <w:rsid w:val="00504228"/>
    <w:rsid w:val="005043E2"/>
    <w:rsid w:val="00504B95"/>
    <w:rsid w:val="00510001"/>
    <w:rsid w:val="00513228"/>
    <w:rsid w:val="00515131"/>
    <w:rsid w:val="00522A83"/>
    <w:rsid w:val="00525000"/>
    <w:rsid w:val="005254B2"/>
    <w:rsid w:val="00527FA4"/>
    <w:rsid w:val="005337ED"/>
    <w:rsid w:val="00537C17"/>
    <w:rsid w:val="00546F1A"/>
    <w:rsid w:val="005507F0"/>
    <w:rsid w:val="00553F90"/>
    <w:rsid w:val="00554C7C"/>
    <w:rsid w:val="00562D93"/>
    <w:rsid w:val="00563963"/>
    <w:rsid w:val="005661D4"/>
    <w:rsid w:val="00566ABB"/>
    <w:rsid w:val="005670E9"/>
    <w:rsid w:val="0057370A"/>
    <w:rsid w:val="0057558A"/>
    <w:rsid w:val="00585FFB"/>
    <w:rsid w:val="00591E6D"/>
    <w:rsid w:val="00596C06"/>
    <w:rsid w:val="005A2C2B"/>
    <w:rsid w:val="005A47ED"/>
    <w:rsid w:val="005B0AD8"/>
    <w:rsid w:val="005B390E"/>
    <w:rsid w:val="005B4396"/>
    <w:rsid w:val="005B632D"/>
    <w:rsid w:val="005C0090"/>
    <w:rsid w:val="005C07C7"/>
    <w:rsid w:val="005C39DA"/>
    <w:rsid w:val="005C534F"/>
    <w:rsid w:val="005C5C77"/>
    <w:rsid w:val="005C6DDA"/>
    <w:rsid w:val="005D0EE5"/>
    <w:rsid w:val="005D32C6"/>
    <w:rsid w:val="005D69C7"/>
    <w:rsid w:val="005E0EE6"/>
    <w:rsid w:val="005E2D68"/>
    <w:rsid w:val="005E7396"/>
    <w:rsid w:val="005F2E8A"/>
    <w:rsid w:val="005F74CB"/>
    <w:rsid w:val="00601334"/>
    <w:rsid w:val="006035F5"/>
    <w:rsid w:val="00604C71"/>
    <w:rsid w:val="00612DEE"/>
    <w:rsid w:val="00617354"/>
    <w:rsid w:val="00622125"/>
    <w:rsid w:val="00624409"/>
    <w:rsid w:val="00631C2F"/>
    <w:rsid w:val="0063356B"/>
    <w:rsid w:val="00647A34"/>
    <w:rsid w:val="00652305"/>
    <w:rsid w:val="006527D0"/>
    <w:rsid w:val="0066063B"/>
    <w:rsid w:val="00665B3D"/>
    <w:rsid w:val="00681EEE"/>
    <w:rsid w:val="00683F9D"/>
    <w:rsid w:val="006879E3"/>
    <w:rsid w:val="0069060B"/>
    <w:rsid w:val="00693818"/>
    <w:rsid w:val="00694C23"/>
    <w:rsid w:val="0069602E"/>
    <w:rsid w:val="006A16F4"/>
    <w:rsid w:val="006A57B3"/>
    <w:rsid w:val="006A6433"/>
    <w:rsid w:val="006B0940"/>
    <w:rsid w:val="006B171F"/>
    <w:rsid w:val="006B5475"/>
    <w:rsid w:val="006B5F12"/>
    <w:rsid w:val="006B790F"/>
    <w:rsid w:val="006C281D"/>
    <w:rsid w:val="006C2FB7"/>
    <w:rsid w:val="006C57B1"/>
    <w:rsid w:val="006D22DE"/>
    <w:rsid w:val="006D2968"/>
    <w:rsid w:val="006D484F"/>
    <w:rsid w:val="006E2BE7"/>
    <w:rsid w:val="006F2488"/>
    <w:rsid w:val="007047C6"/>
    <w:rsid w:val="0070669A"/>
    <w:rsid w:val="00711667"/>
    <w:rsid w:val="0071354E"/>
    <w:rsid w:val="00715E15"/>
    <w:rsid w:val="00722582"/>
    <w:rsid w:val="007254DE"/>
    <w:rsid w:val="00725732"/>
    <w:rsid w:val="00727BF4"/>
    <w:rsid w:val="007344A9"/>
    <w:rsid w:val="00736BBF"/>
    <w:rsid w:val="00737925"/>
    <w:rsid w:val="0074150D"/>
    <w:rsid w:val="00742B7C"/>
    <w:rsid w:val="0074510A"/>
    <w:rsid w:val="00756B16"/>
    <w:rsid w:val="00762838"/>
    <w:rsid w:val="00764C2C"/>
    <w:rsid w:val="00766C43"/>
    <w:rsid w:val="00767C4F"/>
    <w:rsid w:val="00770459"/>
    <w:rsid w:val="007719D3"/>
    <w:rsid w:val="007739F9"/>
    <w:rsid w:val="00776027"/>
    <w:rsid w:val="00777BB5"/>
    <w:rsid w:val="00780B7B"/>
    <w:rsid w:val="00782A19"/>
    <w:rsid w:val="00782B14"/>
    <w:rsid w:val="007845FF"/>
    <w:rsid w:val="00785208"/>
    <w:rsid w:val="00785222"/>
    <w:rsid w:val="007879DC"/>
    <w:rsid w:val="00791CA1"/>
    <w:rsid w:val="0079658B"/>
    <w:rsid w:val="00796FBA"/>
    <w:rsid w:val="007A0518"/>
    <w:rsid w:val="007A2DF5"/>
    <w:rsid w:val="007A4D37"/>
    <w:rsid w:val="007A5D68"/>
    <w:rsid w:val="007A6A4B"/>
    <w:rsid w:val="007B23A5"/>
    <w:rsid w:val="007B39A3"/>
    <w:rsid w:val="007C09E8"/>
    <w:rsid w:val="007C4076"/>
    <w:rsid w:val="007C5748"/>
    <w:rsid w:val="007C66C4"/>
    <w:rsid w:val="007D1378"/>
    <w:rsid w:val="007D2540"/>
    <w:rsid w:val="007D5BAD"/>
    <w:rsid w:val="007D6D61"/>
    <w:rsid w:val="007D74FB"/>
    <w:rsid w:val="007E058F"/>
    <w:rsid w:val="007E206E"/>
    <w:rsid w:val="007E3813"/>
    <w:rsid w:val="007E76D3"/>
    <w:rsid w:val="0080231E"/>
    <w:rsid w:val="008042E0"/>
    <w:rsid w:val="0080539B"/>
    <w:rsid w:val="00806906"/>
    <w:rsid w:val="0081087F"/>
    <w:rsid w:val="00812A99"/>
    <w:rsid w:val="008148A7"/>
    <w:rsid w:val="00816DD4"/>
    <w:rsid w:val="00820688"/>
    <w:rsid w:val="00821741"/>
    <w:rsid w:val="00833FDD"/>
    <w:rsid w:val="00836880"/>
    <w:rsid w:val="0083746C"/>
    <w:rsid w:val="008421C3"/>
    <w:rsid w:val="008454EC"/>
    <w:rsid w:val="00845DCE"/>
    <w:rsid w:val="00850CA6"/>
    <w:rsid w:val="008510C5"/>
    <w:rsid w:val="00852DF8"/>
    <w:rsid w:val="00864853"/>
    <w:rsid w:val="00864E68"/>
    <w:rsid w:val="00865AFE"/>
    <w:rsid w:val="00866D84"/>
    <w:rsid w:val="00867BE2"/>
    <w:rsid w:val="008712F5"/>
    <w:rsid w:val="008713BD"/>
    <w:rsid w:val="0087359E"/>
    <w:rsid w:val="00875421"/>
    <w:rsid w:val="00881A68"/>
    <w:rsid w:val="008849BE"/>
    <w:rsid w:val="00886957"/>
    <w:rsid w:val="00887737"/>
    <w:rsid w:val="008908C3"/>
    <w:rsid w:val="00893295"/>
    <w:rsid w:val="008937C5"/>
    <w:rsid w:val="008958F2"/>
    <w:rsid w:val="00896EBB"/>
    <w:rsid w:val="008975AD"/>
    <w:rsid w:val="008A1D6A"/>
    <w:rsid w:val="008A240E"/>
    <w:rsid w:val="008A2E57"/>
    <w:rsid w:val="008A59A5"/>
    <w:rsid w:val="008B2CF4"/>
    <w:rsid w:val="008B479E"/>
    <w:rsid w:val="008B685A"/>
    <w:rsid w:val="008B7440"/>
    <w:rsid w:val="008C19E1"/>
    <w:rsid w:val="008C6E2B"/>
    <w:rsid w:val="008D3C36"/>
    <w:rsid w:val="008E07C9"/>
    <w:rsid w:val="008E0F79"/>
    <w:rsid w:val="008E1CF9"/>
    <w:rsid w:val="008E2525"/>
    <w:rsid w:val="008E7202"/>
    <w:rsid w:val="008E7321"/>
    <w:rsid w:val="008F22B0"/>
    <w:rsid w:val="008F53FE"/>
    <w:rsid w:val="008F7858"/>
    <w:rsid w:val="008F7D9F"/>
    <w:rsid w:val="009013FB"/>
    <w:rsid w:val="00902499"/>
    <w:rsid w:val="00904A30"/>
    <w:rsid w:val="00906B34"/>
    <w:rsid w:val="009147F8"/>
    <w:rsid w:val="00917BF0"/>
    <w:rsid w:val="00923DB8"/>
    <w:rsid w:val="009246C3"/>
    <w:rsid w:val="009263FB"/>
    <w:rsid w:val="009372D2"/>
    <w:rsid w:val="00942565"/>
    <w:rsid w:val="009445FB"/>
    <w:rsid w:val="00944CD3"/>
    <w:rsid w:val="00947DF2"/>
    <w:rsid w:val="00951913"/>
    <w:rsid w:val="00952AFA"/>
    <w:rsid w:val="00953C31"/>
    <w:rsid w:val="0095439A"/>
    <w:rsid w:val="00955065"/>
    <w:rsid w:val="009559ED"/>
    <w:rsid w:val="009610BB"/>
    <w:rsid w:val="00962F27"/>
    <w:rsid w:val="009724F3"/>
    <w:rsid w:val="00972BE2"/>
    <w:rsid w:val="009755A9"/>
    <w:rsid w:val="009816BC"/>
    <w:rsid w:val="0098170B"/>
    <w:rsid w:val="00983CD1"/>
    <w:rsid w:val="00997FC6"/>
    <w:rsid w:val="009A45FB"/>
    <w:rsid w:val="009A4A78"/>
    <w:rsid w:val="009B39F0"/>
    <w:rsid w:val="009B3FF2"/>
    <w:rsid w:val="009B417B"/>
    <w:rsid w:val="009C1AA8"/>
    <w:rsid w:val="009D060E"/>
    <w:rsid w:val="009D1C9D"/>
    <w:rsid w:val="009D20AE"/>
    <w:rsid w:val="009D53FD"/>
    <w:rsid w:val="009E32BD"/>
    <w:rsid w:val="009E6657"/>
    <w:rsid w:val="009F362B"/>
    <w:rsid w:val="009F38D0"/>
    <w:rsid w:val="009F550D"/>
    <w:rsid w:val="009F6645"/>
    <w:rsid w:val="00A03903"/>
    <w:rsid w:val="00A10F67"/>
    <w:rsid w:val="00A16741"/>
    <w:rsid w:val="00A176A1"/>
    <w:rsid w:val="00A17B23"/>
    <w:rsid w:val="00A17D84"/>
    <w:rsid w:val="00A20161"/>
    <w:rsid w:val="00A310AD"/>
    <w:rsid w:val="00A32892"/>
    <w:rsid w:val="00A352AB"/>
    <w:rsid w:val="00A439B7"/>
    <w:rsid w:val="00A44783"/>
    <w:rsid w:val="00A44B27"/>
    <w:rsid w:val="00A52BA9"/>
    <w:rsid w:val="00A575B9"/>
    <w:rsid w:val="00A6494F"/>
    <w:rsid w:val="00A64E41"/>
    <w:rsid w:val="00A66895"/>
    <w:rsid w:val="00A67B4E"/>
    <w:rsid w:val="00A7760A"/>
    <w:rsid w:val="00A82E39"/>
    <w:rsid w:val="00A863E3"/>
    <w:rsid w:val="00A866DA"/>
    <w:rsid w:val="00A87769"/>
    <w:rsid w:val="00A87D8A"/>
    <w:rsid w:val="00A93D32"/>
    <w:rsid w:val="00A94AD6"/>
    <w:rsid w:val="00AA289B"/>
    <w:rsid w:val="00AA34B8"/>
    <w:rsid w:val="00AA37CA"/>
    <w:rsid w:val="00AA4A98"/>
    <w:rsid w:val="00AB527C"/>
    <w:rsid w:val="00AB5D50"/>
    <w:rsid w:val="00AB709F"/>
    <w:rsid w:val="00AC038C"/>
    <w:rsid w:val="00AD0103"/>
    <w:rsid w:val="00AD0313"/>
    <w:rsid w:val="00AD3ABF"/>
    <w:rsid w:val="00AD5A6A"/>
    <w:rsid w:val="00AD66C4"/>
    <w:rsid w:val="00AE1141"/>
    <w:rsid w:val="00AE1A4F"/>
    <w:rsid w:val="00AE63DD"/>
    <w:rsid w:val="00AF0526"/>
    <w:rsid w:val="00AF1C7A"/>
    <w:rsid w:val="00AF5213"/>
    <w:rsid w:val="00AF5706"/>
    <w:rsid w:val="00AF6F0E"/>
    <w:rsid w:val="00B002A8"/>
    <w:rsid w:val="00B011D3"/>
    <w:rsid w:val="00B02C50"/>
    <w:rsid w:val="00B02D22"/>
    <w:rsid w:val="00B032E4"/>
    <w:rsid w:val="00B0476E"/>
    <w:rsid w:val="00B1253B"/>
    <w:rsid w:val="00B224A9"/>
    <w:rsid w:val="00B239D3"/>
    <w:rsid w:val="00B2660E"/>
    <w:rsid w:val="00B3705B"/>
    <w:rsid w:val="00B41026"/>
    <w:rsid w:val="00B4301E"/>
    <w:rsid w:val="00B43659"/>
    <w:rsid w:val="00B45B95"/>
    <w:rsid w:val="00B511F5"/>
    <w:rsid w:val="00B55AD6"/>
    <w:rsid w:val="00B567CA"/>
    <w:rsid w:val="00B62B9F"/>
    <w:rsid w:val="00B63F90"/>
    <w:rsid w:val="00B64137"/>
    <w:rsid w:val="00B7428C"/>
    <w:rsid w:val="00B74FA2"/>
    <w:rsid w:val="00B75EF4"/>
    <w:rsid w:val="00B85E4A"/>
    <w:rsid w:val="00B87E48"/>
    <w:rsid w:val="00B92406"/>
    <w:rsid w:val="00B92FD5"/>
    <w:rsid w:val="00B93185"/>
    <w:rsid w:val="00B9389E"/>
    <w:rsid w:val="00B94B93"/>
    <w:rsid w:val="00BA2DD1"/>
    <w:rsid w:val="00BA2E17"/>
    <w:rsid w:val="00BA64FB"/>
    <w:rsid w:val="00BB61B8"/>
    <w:rsid w:val="00BB697F"/>
    <w:rsid w:val="00BC0943"/>
    <w:rsid w:val="00BC129B"/>
    <w:rsid w:val="00BC4586"/>
    <w:rsid w:val="00BD05B5"/>
    <w:rsid w:val="00BD3A19"/>
    <w:rsid w:val="00BD57B8"/>
    <w:rsid w:val="00BE1346"/>
    <w:rsid w:val="00BE1CE2"/>
    <w:rsid w:val="00BE432E"/>
    <w:rsid w:val="00BE4BA6"/>
    <w:rsid w:val="00BE5A51"/>
    <w:rsid w:val="00BE71D6"/>
    <w:rsid w:val="00BF29C4"/>
    <w:rsid w:val="00BF3E93"/>
    <w:rsid w:val="00BF5997"/>
    <w:rsid w:val="00C00086"/>
    <w:rsid w:val="00C015A9"/>
    <w:rsid w:val="00C01E5D"/>
    <w:rsid w:val="00C0546F"/>
    <w:rsid w:val="00C07CD4"/>
    <w:rsid w:val="00C12A81"/>
    <w:rsid w:val="00C20FF1"/>
    <w:rsid w:val="00C2367C"/>
    <w:rsid w:val="00C33692"/>
    <w:rsid w:val="00C35EE4"/>
    <w:rsid w:val="00C41810"/>
    <w:rsid w:val="00C479D1"/>
    <w:rsid w:val="00C52406"/>
    <w:rsid w:val="00C53AAB"/>
    <w:rsid w:val="00C53C9F"/>
    <w:rsid w:val="00C55239"/>
    <w:rsid w:val="00C56B66"/>
    <w:rsid w:val="00C577D2"/>
    <w:rsid w:val="00C673B6"/>
    <w:rsid w:val="00C71CD9"/>
    <w:rsid w:val="00C743D1"/>
    <w:rsid w:val="00C8219F"/>
    <w:rsid w:val="00C82644"/>
    <w:rsid w:val="00C82E74"/>
    <w:rsid w:val="00C84183"/>
    <w:rsid w:val="00C85188"/>
    <w:rsid w:val="00C87635"/>
    <w:rsid w:val="00C92761"/>
    <w:rsid w:val="00C92FE9"/>
    <w:rsid w:val="00CA2044"/>
    <w:rsid w:val="00CA3899"/>
    <w:rsid w:val="00CA7774"/>
    <w:rsid w:val="00CB04E3"/>
    <w:rsid w:val="00CB25C5"/>
    <w:rsid w:val="00CB2F0B"/>
    <w:rsid w:val="00CB626E"/>
    <w:rsid w:val="00CC09DC"/>
    <w:rsid w:val="00CC32D4"/>
    <w:rsid w:val="00CC733C"/>
    <w:rsid w:val="00CD0A48"/>
    <w:rsid w:val="00CD4012"/>
    <w:rsid w:val="00CD72D5"/>
    <w:rsid w:val="00CE0D21"/>
    <w:rsid w:val="00CE1D9F"/>
    <w:rsid w:val="00CE59BF"/>
    <w:rsid w:val="00CE64A5"/>
    <w:rsid w:val="00CE6DD3"/>
    <w:rsid w:val="00CF14E0"/>
    <w:rsid w:val="00CF5FDE"/>
    <w:rsid w:val="00CF7FE2"/>
    <w:rsid w:val="00D04BEF"/>
    <w:rsid w:val="00D05E1D"/>
    <w:rsid w:val="00D06FD4"/>
    <w:rsid w:val="00D10C62"/>
    <w:rsid w:val="00D15DDE"/>
    <w:rsid w:val="00D16B58"/>
    <w:rsid w:val="00D20B25"/>
    <w:rsid w:val="00D20BF4"/>
    <w:rsid w:val="00D23036"/>
    <w:rsid w:val="00D26F89"/>
    <w:rsid w:val="00D30041"/>
    <w:rsid w:val="00D323EE"/>
    <w:rsid w:val="00D46072"/>
    <w:rsid w:val="00D523CF"/>
    <w:rsid w:val="00D572D1"/>
    <w:rsid w:val="00D61620"/>
    <w:rsid w:val="00D62439"/>
    <w:rsid w:val="00D64BDA"/>
    <w:rsid w:val="00D65ABC"/>
    <w:rsid w:val="00D70255"/>
    <w:rsid w:val="00D708E8"/>
    <w:rsid w:val="00D70A94"/>
    <w:rsid w:val="00D71820"/>
    <w:rsid w:val="00D71F23"/>
    <w:rsid w:val="00D72184"/>
    <w:rsid w:val="00D73B07"/>
    <w:rsid w:val="00D74ACF"/>
    <w:rsid w:val="00D74E56"/>
    <w:rsid w:val="00D80DDE"/>
    <w:rsid w:val="00D827C0"/>
    <w:rsid w:val="00D841B2"/>
    <w:rsid w:val="00D86568"/>
    <w:rsid w:val="00D876ED"/>
    <w:rsid w:val="00D87AFD"/>
    <w:rsid w:val="00D91946"/>
    <w:rsid w:val="00D927C3"/>
    <w:rsid w:val="00D9475F"/>
    <w:rsid w:val="00DA50F7"/>
    <w:rsid w:val="00DB05C2"/>
    <w:rsid w:val="00DB376F"/>
    <w:rsid w:val="00DC2314"/>
    <w:rsid w:val="00DC7481"/>
    <w:rsid w:val="00DC75E4"/>
    <w:rsid w:val="00DD5600"/>
    <w:rsid w:val="00DD582F"/>
    <w:rsid w:val="00DE046B"/>
    <w:rsid w:val="00DE0C54"/>
    <w:rsid w:val="00DE342E"/>
    <w:rsid w:val="00DF4917"/>
    <w:rsid w:val="00DF637E"/>
    <w:rsid w:val="00DF6BFA"/>
    <w:rsid w:val="00E019A9"/>
    <w:rsid w:val="00E01EE7"/>
    <w:rsid w:val="00E032AA"/>
    <w:rsid w:val="00E04B7A"/>
    <w:rsid w:val="00E1681C"/>
    <w:rsid w:val="00E23C4B"/>
    <w:rsid w:val="00E23DB1"/>
    <w:rsid w:val="00E269E6"/>
    <w:rsid w:val="00E2744F"/>
    <w:rsid w:val="00E31D4F"/>
    <w:rsid w:val="00E32796"/>
    <w:rsid w:val="00E32C62"/>
    <w:rsid w:val="00E3428F"/>
    <w:rsid w:val="00E37DD5"/>
    <w:rsid w:val="00E41669"/>
    <w:rsid w:val="00E43D33"/>
    <w:rsid w:val="00E443DF"/>
    <w:rsid w:val="00E50C26"/>
    <w:rsid w:val="00E51AA6"/>
    <w:rsid w:val="00E54F9C"/>
    <w:rsid w:val="00E56D62"/>
    <w:rsid w:val="00E6134C"/>
    <w:rsid w:val="00E62268"/>
    <w:rsid w:val="00E63923"/>
    <w:rsid w:val="00E67AF1"/>
    <w:rsid w:val="00E67E46"/>
    <w:rsid w:val="00E909C4"/>
    <w:rsid w:val="00EA0DAB"/>
    <w:rsid w:val="00EB02D8"/>
    <w:rsid w:val="00EB240A"/>
    <w:rsid w:val="00EB2638"/>
    <w:rsid w:val="00EB2AEF"/>
    <w:rsid w:val="00EB62CC"/>
    <w:rsid w:val="00EB6F5A"/>
    <w:rsid w:val="00EC3E53"/>
    <w:rsid w:val="00EC4927"/>
    <w:rsid w:val="00EC4B06"/>
    <w:rsid w:val="00ED08EF"/>
    <w:rsid w:val="00ED1514"/>
    <w:rsid w:val="00ED4423"/>
    <w:rsid w:val="00ED4BA1"/>
    <w:rsid w:val="00ED5C09"/>
    <w:rsid w:val="00ED7C14"/>
    <w:rsid w:val="00EE2153"/>
    <w:rsid w:val="00EE21C9"/>
    <w:rsid w:val="00EE605E"/>
    <w:rsid w:val="00EE6C1E"/>
    <w:rsid w:val="00EF2504"/>
    <w:rsid w:val="00EF2580"/>
    <w:rsid w:val="00EF2B55"/>
    <w:rsid w:val="00EF3CAA"/>
    <w:rsid w:val="00EF4ECD"/>
    <w:rsid w:val="00F05EB2"/>
    <w:rsid w:val="00F05FBE"/>
    <w:rsid w:val="00F07DF7"/>
    <w:rsid w:val="00F13056"/>
    <w:rsid w:val="00F16EF0"/>
    <w:rsid w:val="00F23891"/>
    <w:rsid w:val="00F262CB"/>
    <w:rsid w:val="00F31F69"/>
    <w:rsid w:val="00F32164"/>
    <w:rsid w:val="00F35ED0"/>
    <w:rsid w:val="00F400A0"/>
    <w:rsid w:val="00F4064C"/>
    <w:rsid w:val="00F40DD2"/>
    <w:rsid w:val="00F41103"/>
    <w:rsid w:val="00F4203F"/>
    <w:rsid w:val="00F45C1F"/>
    <w:rsid w:val="00F5160B"/>
    <w:rsid w:val="00F53185"/>
    <w:rsid w:val="00F53609"/>
    <w:rsid w:val="00F66388"/>
    <w:rsid w:val="00F67F7F"/>
    <w:rsid w:val="00F71C86"/>
    <w:rsid w:val="00F7215A"/>
    <w:rsid w:val="00F77F0D"/>
    <w:rsid w:val="00F85B58"/>
    <w:rsid w:val="00F86E78"/>
    <w:rsid w:val="00F94211"/>
    <w:rsid w:val="00F978FE"/>
    <w:rsid w:val="00F97C04"/>
    <w:rsid w:val="00FA3304"/>
    <w:rsid w:val="00FB0839"/>
    <w:rsid w:val="00FB0CAB"/>
    <w:rsid w:val="00FB4C05"/>
    <w:rsid w:val="00FB6E7A"/>
    <w:rsid w:val="00FB77A3"/>
    <w:rsid w:val="00FC00EF"/>
    <w:rsid w:val="00FC043D"/>
    <w:rsid w:val="00FC0793"/>
    <w:rsid w:val="00FD5551"/>
    <w:rsid w:val="00FD57C2"/>
    <w:rsid w:val="00FD6E22"/>
    <w:rsid w:val="00FE0B50"/>
    <w:rsid w:val="00FE21AF"/>
    <w:rsid w:val="00FE3830"/>
    <w:rsid w:val="00FE5C80"/>
    <w:rsid w:val="00FE7F29"/>
    <w:rsid w:val="00FF456C"/>
    <w:rsid w:val="00FF4C69"/>
    <w:rsid w:val="20062369"/>
    <w:rsid w:val="28C7234B"/>
    <w:rsid w:val="326075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eastAsia="仿宋_GB2312"/>
      <w:sz w:val="32"/>
    </w:rPr>
  </w:style>
  <w:style w:type="paragraph" w:styleId="3">
    <w:name w:val="Body Text"/>
    <w:basedOn w:val="1"/>
    <w:link w:val="98"/>
    <w:semiHidden/>
    <w:unhideWhenUsed/>
    <w:qFormat/>
    <w:uiPriority w:val="99"/>
    <w:pPr>
      <w:spacing w:after="120"/>
    </w:pPr>
  </w:style>
  <w:style w:type="paragraph" w:styleId="4">
    <w:name w:val="Plain Text"/>
    <w:basedOn w:val="1"/>
    <w:link w:val="19"/>
    <w:unhideWhenUsed/>
    <w:qFormat/>
    <w:uiPriority w:val="99"/>
    <w:rPr>
      <w:rFonts w:ascii="宋体" w:hAnsi="Courier New" w:cs="Courier New"/>
      <w:szCs w:val="21"/>
    </w:rPr>
  </w:style>
  <w:style w:type="paragraph" w:styleId="5">
    <w:name w:val="Date"/>
    <w:basedOn w:val="1"/>
    <w:next w:val="1"/>
    <w:link w:val="24"/>
    <w:uiPriority w:val="0"/>
    <w:pPr>
      <w:adjustRightInd w:val="0"/>
      <w:spacing w:line="312" w:lineRule="atLeast"/>
      <w:textAlignment w:val="baseline"/>
    </w:pPr>
    <w:rPr>
      <w:rFonts w:ascii="仿宋_GB2312" w:eastAsia="仿宋_GB2312"/>
      <w:kern w:val="0"/>
      <w:sz w:val="28"/>
    </w:rPr>
  </w:style>
  <w:style w:type="paragraph" w:styleId="6">
    <w:name w:val="Body Text Indent 2"/>
    <w:basedOn w:val="1"/>
    <w:link w:val="21"/>
    <w:semiHidden/>
    <w:uiPriority w:val="0"/>
    <w:pPr>
      <w:adjustRightInd w:val="0"/>
      <w:snapToGrid w:val="0"/>
      <w:spacing w:line="500" w:lineRule="atLeast"/>
      <w:ind w:firstLine="552"/>
      <w:jc w:val="left"/>
      <w:textAlignment w:val="baseline"/>
    </w:pPr>
    <w:rPr>
      <w:rFonts w:ascii="仿宋_GB2312" w:eastAsia="仿宋_GB2312"/>
      <w:kern w:val="0"/>
      <w:sz w:val="28"/>
    </w:rPr>
  </w:style>
  <w:style w:type="paragraph" w:styleId="7">
    <w:name w:val="Balloon Text"/>
    <w:basedOn w:val="1"/>
    <w:link w:val="100"/>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link w:val="18"/>
    <w:unhideWhenUsed/>
    <w:uiPriority w:val="99"/>
    <w:rPr>
      <w:rFonts w:ascii="Courier New" w:hAnsi="Courier New" w:cs="Courier New" w:eastAsiaTheme="minorEastAsia"/>
      <w:szCs w:val="22"/>
    </w:rPr>
  </w:style>
  <w:style w:type="character" w:styleId="13">
    <w:name w:val="Strong"/>
    <w:basedOn w:val="12"/>
    <w:qFormat/>
    <w:uiPriority w:val="0"/>
    <w:rPr>
      <w:b/>
      <w:bCs/>
    </w:rPr>
  </w:style>
  <w:style w:type="character" w:styleId="14">
    <w:name w:val="FollowedHyperlink"/>
    <w:basedOn w:val="12"/>
    <w:semiHidden/>
    <w:unhideWhenUsed/>
    <w:qFormat/>
    <w:uiPriority w:val="99"/>
    <w:rPr>
      <w:color w:val="800080"/>
      <w:u w:val="single"/>
    </w:rPr>
  </w:style>
  <w:style w:type="character" w:styleId="15">
    <w:name w:val="Hyperlink"/>
    <w:basedOn w:val="12"/>
    <w:semiHidden/>
    <w:unhideWhenUsed/>
    <w:qFormat/>
    <w:uiPriority w:val="99"/>
    <w:rPr>
      <w:color w:val="0000FF"/>
      <w:u w:val="single"/>
    </w:rPr>
  </w:style>
  <w:style w:type="character" w:customStyle="1" w:styleId="16">
    <w:name w:val="页眉 字符"/>
    <w:basedOn w:val="12"/>
    <w:link w:val="9"/>
    <w:uiPriority w:val="99"/>
    <w:rPr>
      <w:sz w:val="18"/>
      <w:szCs w:val="18"/>
    </w:rPr>
  </w:style>
  <w:style w:type="character" w:customStyle="1" w:styleId="17">
    <w:name w:val="页脚 字符"/>
    <w:basedOn w:val="12"/>
    <w:link w:val="8"/>
    <w:qFormat/>
    <w:uiPriority w:val="99"/>
    <w:rPr>
      <w:sz w:val="18"/>
      <w:szCs w:val="18"/>
    </w:rPr>
  </w:style>
  <w:style w:type="character" w:customStyle="1" w:styleId="18">
    <w:name w:val="HTML 预设格式 字符"/>
    <w:link w:val="10"/>
    <w:uiPriority w:val="99"/>
    <w:rPr>
      <w:rFonts w:ascii="Courier New" w:hAnsi="Courier New" w:cs="Courier New"/>
    </w:rPr>
  </w:style>
  <w:style w:type="character" w:customStyle="1" w:styleId="19">
    <w:name w:val="纯文本 字符"/>
    <w:basedOn w:val="12"/>
    <w:link w:val="4"/>
    <w:qFormat/>
    <w:uiPriority w:val="0"/>
    <w:rPr>
      <w:rFonts w:ascii="宋体" w:hAnsi="Courier New" w:eastAsia="宋体" w:cs="Courier New"/>
      <w:szCs w:val="21"/>
    </w:rPr>
  </w:style>
  <w:style w:type="character" w:customStyle="1" w:styleId="20">
    <w:name w:val="HTML 预设格式 Char1"/>
    <w:basedOn w:val="12"/>
    <w:semiHidden/>
    <w:uiPriority w:val="99"/>
    <w:rPr>
      <w:rFonts w:ascii="Courier New" w:hAnsi="Courier New" w:eastAsia="宋体" w:cs="Courier New"/>
      <w:sz w:val="20"/>
      <w:szCs w:val="20"/>
    </w:rPr>
  </w:style>
  <w:style w:type="character" w:customStyle="1" w:styleId="21">
    <w:name w:val="正文文本缩进 2 字符"/>
    <w:basedOn w:val="12"/>
    <w:link w:val="6"/>
    <w:semiHidden/>
    <w:qFormat/>
    <w:uiPriority w:val="0"/>
    <w:rPr>
      <w:rFonts w:ascii="仿宋_GB2312" w:hAnsi="Times New Roman" w:eastAsia="仿宋_GB2312" w:cs="Times New Roman"/>
      <w:kern w:val="0"/>
      <w:sz w:val="28"/>
      <w:szCs w:val="20"/>
    </w:rPr>
  </w:style>
  <w:style w:type="paragraph" w:styleId="22">
    <w:name w:val="List Paragraph"/>
    <w:basedOn w:val="1"/>
    <w:qFormat/>
    <w:uiPriority w:val="34"/>
    <w:pPr>
      <w:ind w:firstLine="420" w:firstLineChars="200"/>
    </w:pPr>
  </w:style>
  <w:style w:type="character" w:customStyle="1" w:styleId="23">
    <w:name w:val="tpc_content1"/>
    <w:basedOn w:val="12"/>
    <w:uiPriority w:val="0"/>
    <w:rPr>
      <w:sz w:val="20"/>
      <w:szCs w:val="20"/>
    </w:rPr>
  </w:style>
  <w:style w:type="character" w:customStyle="1" w:styleId="24">
    <w:name w:val="日期 字符"/>
    <w:basedOn w:val="12"/>
    <w:link w:val="5"/>
    <w:semiHidden/>
    <w:qFormat/>
    <w:uiPriority w:val="0"/>
    <w:rPr>
      <w:rFonts w:ascii="仿宋_GB2312" w:hAnsi="Times New Roman" w:eastAsia="仿宋_GB2312" w:cs="Times New Roman"/>
      <w:kern w:val="0"/>
      <w:sz w:val="28"/>
      <w:szCs w:val="20"/>
    </w:rPr>
  </w:style>
  <w:style w:type="paragraph" w:customStyle="1" w:styleId="2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6">
    <w:name w:val="font6"/>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27">
    <w:name w:val="font7"/>
    <w:basedOn w:val="1"/>
    <w:uiPriority w:val="0"/>
    <w:pPr>
      <w:widowControl/>
      <w:spacing w:before="100" w:beforeAutospacing="1" w:after="100" w:afterAutospacing="1"/>
      <w:jc w:val="left"/>
    </w:pPr>
    <w:rPr>
      <w:color w:val="000000"/>
      <w:kern w:val="0"/>
      <w:sz w:val="24"/>
      <w:szCs w:val="24"/>
    </w:rPr>
  </w:style>
  <w:style w:type="paragraph" w:customStyle="1" w:styleId="28">
    <w:name w:val="font8"/>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29">
    <w:name w:val="font9"/>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0">
    <w:name w:val="font10"/>
    <w:basedOn w:val="1"/>
    <w:uiPriority w:val="0"/>
    <w:pPr>
      <w:widowControl/>
      <w:spacing w:before="100" w:beforeAutospacing="1" w:after="100" w:afterAutospacing="1"/>
      <w:jc w:val="left"/>
    </w:pPr>
    <w:rPr>
      <w:kern w:val="0"/>
      <w:sz w:val="24"/>
      <w:szCs w:val="24"/>
    </w:rPr>
  </w:style>
  <w:style w:type="paragraph" w:customStyle="1" w:styleId="31">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2">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4">
    <w:name w:val="xl6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3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36">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37">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38">
    <w:name w:val="xl7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39">
    <w:name w:val="xl7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40">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41">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4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bottom"/>
    </w:pPr>
    <w:rPr>
      <w:rFonts w:ascii="宋体" w:hAnsi="宋体" w:cs="宋体"/>
      <w:kern w:val="0"/>
      <w:sz w:val="24"/>
      <w:szCs w:val="24"/>
    </w:rPr>
  </w:style>
  <w:style w:type="paragraph" w:customStyle="1" w:styleId="4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44">
    <w:name w:val="xl77"/>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4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46">
    <w:name w:val="xl79"/>
    <w:basedOn w:val="1"/>
    <w:qFormat/>
    <w:uiPriority w:val="0"/>
    <w:pPr>
      <w:widowControl/>
      <w:spacing w:before="100" w:beforeAutospacing="1" w:after="100" w:afterAutospacing="1"/>
      <w:jc w:val="left"/>
      <w:textAlignment w:val="bottom"/>
    </w:pPr>
    <w:rPr>
      <w:rFonts w:ascii="宋体" w:hAnsi="宋体" w:cs="宋体"/>
      <w:kern w:val="0"/>
      <w:sz w:val="24"/>
      <w:szCs w:val="24"/>
    </w:rPr>
  </w:style>
  <w:style w:type="paragraph" w:customStyle="1" w:styleId="47">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szCs w:val="24"/>
    </w:rPr>
  </w:style>
  <w:style w:type="paragraph" w:customStyle="1" w:styleId="48">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9">
    <w:name w:val="xl8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50">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51">
    <w:name w:val="xl84"/>
    <w:basedOn w:val="1"/>
    <w:qFormat/>
    <w:uiPriority w:val="0"/>
    <w:pPr>
      <w:widowControl/>
      <w:spacing w:before="100" w:beforeAutospacing="1" w:after="100" w:afterAutospacing="1"/>
      <w:jc w:val="left"/>
      <w:textAlignment w:val="bottom"/>
    </w:pPr>
    <w:rPr>
      <w:rFonts w:ascii="宋体" w:hAnsi="宋体" w:cs="宋体"/>
      <w:kern w:val="0"/>
      <w:sz w:val="24"/>
      <w:szCs w:val="24"/>
    </w:rPr>
  </w:style>
  <w:style w:type="paragraph" w:customStyle="1" w:styleId="52">
    <w:name w:val="xl85"/>
    <w:basedOn w:val="1"/>
    <w:uiPriority w:val="0"/>
    <w:pPr>
      <w:widowControl/>
      <w:pBdr>
        <w:top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5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54">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55">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szCs w:val="24"/>
    </w:rPr>
  </w:style>
  <w:style w:type="paragraph" w:customStyle="1" w:styleId="56">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57">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58">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59">
    <w:name w:val="xl92"/>
    <w:basedOn w:val="1"/>
    <w:qFormat/>
    <w:uiPriority w:val="0"/>
    <w:pPr>
      <w:widowControl/>
      <w:spacing w:before="100" w:beforeAutospacing="1" w:after="100" w:afterAutospacing="1"/>
      <w:jc w:val="left"/>
      <w:textAlignment w:val="bottom"/>
    </w:pPr>
    <w:rPr>
      <w:kern w:val="0"/>
      <w:sz w:val="24"/>
      <w:szCs w:val="24"/>
    </w:rPr>
  </w:style>
  <w:style w:type="paragraph" w:customStyle="1" w:styleId="60">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1">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62">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3">
    <w:name w:val="xl9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4">
    <w:name w:val="xl9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65">
    <w:name w:val="xl9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66">
    <w:name w:val="xl99"/>
    <w:basedOn w:val="1"/>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67">
    <w:name w:val="xl10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68">
    <w:name w:val="xl10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kern w:val="0"/>
      <w:sz w:val="24"/>
      <w:szCs w:val="24"/>
    </w:rPr>
  </w:style>
  <w:style w:type="paragraph" w:customStyle="1" w:styleId="69">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70">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71">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72">
    <w:name w:val="xl105"/>
    <w:basedOn w:val="1"/>
    <w:qFormat/>
    <w:uiPriority w:val="0"/>
    <w:pPr>
      <w:widowControl/>
      <w:pBdr>
        <w:left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73">
    <w:name w:val="xl10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74">
    <w:name w:val="xl107"/>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5">
    <w:name w:val="xl108"/>
    <w:basedOn w:val="1"/>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76">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77">
    <w:name w:val="xl11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78">
    <w:name w:val="xl11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79">
    <w:name w:val="xl11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80">
    <w:name w:val="xl11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81">
    <w:name w:val="xl11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82">
    <w:name w:val="xl11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83">
    <w:name w:val="xl11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84">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85">
    <w:name w:val="xl11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86">
    <w:name w:val="xl119"/>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87">
    <w:name w:val="xl12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88">
    <w:name w:val="xl12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89">
    <w:name w:val="xl122"/>
    <w:basedOn w:val="1"/>
    <w:qFormat/>
    <w:uiPriority w:val="0"/>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0">
    <w:name w:val="xl12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1">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Calibri" w:hAnsi="Calibri" w:cs="Calibri"/>
      <w:kern w:val="0"/>
      <w:szCs w:val="21"/>
    </w:rPr>
  </w:style>
  <w:style w:type="paragraph" w:customStyle="1" w:styleId="92">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alibri" w:hAnsi="Calibri" w:cs="Calibri"/>
      <w:kern w:val="0"/>
      <w:szCs w:val="21"/>
    </w:rPr>
  </w:style>
  <w:style w:type="paragraph" w:customStyle="1" w:styleId="93">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94">
    <w:name w:val="xl127"/>
    <w:basedOn w:val="1"/>
    <w:qFormat/>
    <w:uiPriority w:val="0"/>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5">
    <w:name w:val="xl12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character" w:customStyle="1" w:styleId="96">
    <w:name w:val="纯文本 Char1"/>
    <w:qFormat/>
    <w:uiPriority w:val="0"/>
    <w:rPr>
      <w:rFonts w:ascii="宋体" w:hAnsi="Courier New" w:eastAsia="宋体"/>
      <w:kern w:val="2"/>
      <w:sz w:val="24"/>
      <w:szCs w:val="24"/>
      <w:lang w:val="en-US" w:eastAsia="zh-CN" w:bidi="ar-SA"/>
    </w:rPr>
  </w:style>
  <w:style w:type="paragraph" w:customStyle="1" w:styleId="97">
    <w:name w:val="表内文字"/>
    <w:basedOn w:val="1"/>
    <w:qFormat/>
    <w:uiPriority w:val="0"/>
    <w:pPr>
      <w:tabs>
        <w:tab w:val="left" w:pos="1418"/>
      </w:tabs>
      <w:spacing w:line="360" w:lineRule="auto"/>
      <w:jc w:val="center"/>
    </w:pPr>
    <w:rPr>
      <w:rFonts w:ascii="仿宋_GB2312" w:eastAsia="仿宋_GB2312"/>
      <w:spacing w:val="-20"/>
      <w:kern w:val="0"/>
      <w:sz w:val="24"/>
      <w:szCs w:val="24"/>
    </w:rPr>
  </w:style>
  <w:style w:type="character" w:customStyle="1" w:styleId="98">
    <w:name w:val="正文文本 字符"/>
    <w:basedOn w:val="12"/>
    <w:link w:val="3"/>
    <w:semiHidden/>
    <w:qFormat/>
    <w:uiPriority w:val="99"/>
    <w:rPr>
      <w:rFonts w:ascii="Times New Roman" w:hAnsi="Times New Roman" w:eastAsia="宋体" w:cs="Times New Roman"/>
      <w:szCs w:val="20"/>
    </w:rPr>
  </w:style>
  <w:style w:type="paragraph" w:customStyle="1" w:styleId="99">
    <w:name w:val="默认段落字体 Para Char Char Char Char Char Char Char Char Char1 Char Char Char Char"/>
    <w:basedOn w:val="1"/>
    <w:qFormat/>
    <w:uiPriority w:val="0"/>
    <w:rPr>
      <w:rFonts w:ascii="Tahoma" w:hAnsi="Tahoma"/>
      <w:sz w:val="24"/>
    </w:rPr>
  </w:style>
  <w:style w:type="character" w:customStyle="1" w:styleId="100">
    <w:name w:val="批注框文本 字符"/>
    <w:basedOn w:val="12"/>
    <w:link w:val="7"/>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B60A4-8024-497F-9D47-35259EFDCFF1}">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15</Pages>
  <Words>7427</Words>
  <Characters>7865</Characters>
  <Lines>51</Lines>
  <Paragraphs>14</Paragraphs>
  <TotalTime>0</TotalTime>
  <ScaleCrop>false</ScaleCrop>
  <LinksUpToDate>false</LinksUpToDate>
  <CharactersWithSpaces>8780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2023-05-18T01:24:00Z</dcterms:created>
  <dc:creator>lenovo</dc:creator>
  <cp:lastModifiedBy>ZJU4H</cp:lastModifiedBy>
  <cp:lastPrinted>2019-11-28T07:31:00Z</cp:lastPrinted>
  <dcterms:modified xsi:type="dcterms:W3CDTF">2023-05-19T04:31:57Z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58AC61EDC8134B1DA8010CBE8199C7CC_12</vt:lpwstr>
  </property>
</Properties>
</file>