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auto"/>
          <w:sz w:val="32"/>
          <w:szCs w:val="32"/>
          <w:highlight w:val="none"/>
        </w:rPr>
      </w:pPr>
    </w:p>
    <w:p>
      <w:pPr>
        <w:jc w:val="center"/>
        <w:rPr>
          <w:rFonts w:ascii="宋体" w:hAnsi="宋体"/>
          <w:b/>
          <w:color w:val="auto"/>
          <w:sz w:val="36"/>
          <w:szCs w:val="36"/>
          <w:highlight w:val="none"/>
        </w:rPr>
      </w:pPr>
      <w:r>
        <w:rPr>
          <w:rFonts w:hint="eastAsia" w:ascii="宋体" w:hAnsi="宋体"/>
          <w:b/>
          <w:color w:val="auto"/>
          <w:sz w:val="36"/>
          <w:szCs w:val="36"/>
          <w:highlight w:val="none"/>
        </w:rPr>
        <w:t>浙江大学</w:t>
      </w:r>
      <w:r>
        <w:rPr>
          <w:rFonts w:hint="eastAsia" w:ascii="宋体" w:hAnsi="宋体"/>
          <w:b/>
          <w:color w:val="auto"/>
          <w:sz w:val="36"/>
          <w:szCs w:val="36"/>
          <w:highlight w:val="none"/>
          <w:lang w:val="en-US" w:eastAsia="zh-CN"/>
        </w:rPr>
        <w:t>国际健康医学研究院会议平板</w:t>
      </w:r>
      <w:r>
        <w:rPr>
          <w:rFonts w:hint="eastAsia" w:ascii="宋体" w:hAnsi="宋体"/>
          <w:b/>
          <w:color w:val="auto"/>
          <w:sz w:val="36"/>
          <w:szCs w:val="36"/>
          <w:highlight w:val="none"/>
        </w:rPr>
        <w:t>招标文件</w:t>
      </w:r>
    </w:p>
    <w:p>
      <w:pPr>
        <w:autoSpaceDE w:val="0"/>
        <w:autoSpaceDN w:val="0"/>
        <w:adjustRightInd w:val="0"/>
        <w:spacing w:line="360" w:lineRule="auto"/>
        <w:jc w:val="center"/>
        <w:rPr>
          <w:rFonts w:ascii="宋体" w:hAnsi="宋体"/>
          <w:b/>
          <w:bCs/>
          <w:color w:val="auto"/>
          <w:sz w:val="30"/>
          <w:szCs w:val="30"/>
          <w:highlight w:val="none"/>
          <w:lang w:val="zh-CN"/>
        </w:rPr>
      </w:pPr>
      <w:r>
        <w:rPr>
          <w:rFonts w:hint="eastAsia" w:ascii="宋体" w:hAnsi="宋体"/>
          <w:b/>
          <w:bCs/>
          <w:color w:val="auto"/>
          <w:sz w:val="30"/>
          <w:szCs w:val="30"/>
          <w:highlight w:val="none"/>
          <w:lang w:val="zh-CN"/>
        </w:rPr>
        <w:t>第一章 招标公告</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根据浙江大学</w:t>
      </w:r>
      <w:r>
        <w:rPr>
          <w:rFonts w:hint="eastAsia" w:ascii="宋体" w:hAnsi="宋体"/>
          <w:color w:val="auto"/>
          <w:sz w:val="24"/>
          <w:highlight w:val="none"/>
          <w:lang w:val="en-US" w:eastAsia="zh-CN"/>
        </w:rPr>
        <w:t>国际健康医学研究院</w:t>
      </w:r>
      <w:r>
        <w:rPr>
          <w:rFonts w:hint="eastAsia" w:ascii="宋体" w:hAnsi="宋体"/>
          <w:color w:val="auto"/>
          <w:sz w:val="24"/>
          <w:highlight w:val="none"/>
        </w:rPr>
        <w:t>采购要求, 对我院</w:t>
      </w:r>
      <w:r>
        <w:rPr>
          <w:rFonts w:hint="eastAsia" w:ascii="宋体" w:hAnsi="宋体"/>
          <w:color w:val="auto"/>
          <w:sz w:val="24"/>
          <w:highlight w:val="none"/>
          <w:lang w:val="en-US" w:eastAsia="zh-CN"/>
        </w:rPr>
        <w:t>会议平板</w:t>
      </w:r>
      <w:r>
        <w:rPr>
          <w:rFonts w:hint="eastAsia" w:ascii="宋体" w:hAnsi="宋体"/>
          <w:color w:val="auto"/>
          <w:sz w:val="24"/>
          <w:highlight w:val="none"/>
        </w:rPr>
        <w:t>进行公开的招标采购。投标单位在投标之前必须认真阅读本招标文件的说明、表格、条件及规范等所有内容，投标方因未能遵循此要求而造成的对本招标文件所要求投标方提供的任何资料、信息、数据的遗漏或任何非针对招标文件要求项目的报价，均须自担风险并承担可能导致其投标文件被招标方拒绝的后果。</w:t>
      </w:r>
    </w:p>
    <w:p>
      <w:pPr>
        <w:numPr>
          <w:ilvl w:val="0"/>
          <w:numId w:val="1"/>
        </w:numPr>
        <w:spacing w:line="360" w:lineRule="auto"/>
        <w:rPr>
          <w:rFonts w:ascii="宋体" w:hAnsi="宋体"/>
          <w:color w:val="auto"/>
          <w:sz w:val="24"/>
          <w:highlight w:val="none"/>
        </w:rPr>
      </w:pPr>
      <w:r>
        <w:rPr>
          <w:rFonts w:hint="eastAsia" w:ascii="宋体" w:hAnsi="宋体"/>
          <w:color w:val="auto"/>
          <w:sz w:val="24"/>
          <w:highlight w:val="none"/>
        </w:rPr>
        <w:t>项目编号:</w:t>
      </w:r>
      <w:r>
        <w:rPr>
          <w:rFonts w:hint="eastAsia" w:ascii="宋体" w:hAnsi="宋体"/>
          <w:color w:val="auto"/>
          <w:sz w:val="24"/>
          <w:highlight w:val="none"/>
          <w:lang w:val="en-US" w:eastAsia="zh-CN"/>
        </w:rPr>
        <w:t>ZDYJYYN20230706</w:t>
      </w:r>
    </w:p>
    <w:p>
      <w:pPr>
        <w:numPr>
          <w:ilvl w:val="0"/>
          <w:numId w:val="1"/>
        </w:numPr>
        <w:spacing w:line="360" w:lineRule="auto"/>
        <w:rPr>
          <w:rFonts w:ascii="宋体" w:hAnsi="宋体"/>
          <w:color w:val="auto"/>
          <w:sz w:val="24"/>
          <w:highlight w:val="none"/>
        </w:rPr>
      </w:pPr>
      <w:r>
        <w:rPr>
          <w:rFonts w:hint="eastAsia" w:ascii="宋体" w:hAnsi="宋体"/>
          <w:color w:val="auto"/>
          <w:sz w:val="24"/>
          <w:szCs w:val="24"/>
          <w:highlight w:val="none"/>
        </w:rPr>
        <w:t>采购组织类型：</w:t>
      </w:r>
      <w:r>
        <w:rPr>
          <w:rFonts w:hint="eastAsia" w:ascii="宋体" w:hAnsi="宋体"/>
          <w:color w:val="auto"/>
          <w:sz w:val="24"/>
          <w:szCs w:val="24"/>
          <w:highlight w:val="none"/>
          <w:lang w:val="en-US" w:eastAsia="zh-CN"/>
        </w:rPr>
        <w:t>自行</w:t>
      </w:r>
      <w:r>
        <w:rPr>
          <w:rFonts w:hint="eastAsia" w:ascii="宋体" w:hAnsi="宋体"/>
          <w:color w:val="auto"/>
          <w:sz w:val="24"/>
          <w:szCs w:val="24"/>
          <w:highlight w:val="none"/>
        </w:rPr>
        <w:t>采购</w:t>
      </w:r>
    </w:p>
    <w:p>
      <w:pPr>
        <w:numPr>
          <w:ilvl w:val="0"/>
          <w:numId w:val="1"/>
        </w:numPr>
        <w:spacing w:line="360" w:lineRule="auto"/>
        <w:rPr>
          <w:rFonts w:ascii="宋体" w:hAnsi="宋体"/>
          <w:color w:val="auto"/>
          <w:sz w:val="24"/>
          <w:highlight w:val="none"/>
        </w:rPr>
      </w:pPr>
      <w:r>
        <w:rPr>
          <w:rFonts w:hint="eastAsia" w:ascii="宋体" w:hAnsi="宋体"/>
          <w:color w:val="auto"/>
          <w:sz w:val="24"/>
          <w:highlight w:val="none"/>
        </w:rPr>
        <w:t>采购方式：公开招标</w:t>
      </w:r>
    </w:p>
    <w:p>
      <w:pPr>
        <w:numPr>
          <w:ilvl w:val="0"/>
          <w:numId w:val="1"/>
        </w:numPr>
        <w:spacing w:line="360" w:lineRule="auto"/>
        <w:rPr>
          <w:rFonts w:ascii="宋体" w:hAnsi="宋体"/>
          <w:color w:val="auto"/>
          <w:sz w:val="24"/>
          <w:highlight w:val="none"/>
        </w:rPr>
      </w:pPr>
      <w:r>
        <w:rPr>
          <w:rFonts w:ascii="宋体" w:hAnsi="宋体"/>
          <w:color w:val="auto"/>
          <w:sz w:val="24"/>
          <w:highlight w:val="none"/>
        </w:rPr>
        <w:t>采购人</w:t>
      </w:r>
      <w:r>
        <w:rPr>
          <w:rFonts w:hint="eastAsia" w:ascii="宋体" w:hAnsi="宋体"/>
          <w:color w:val="auto"/>
          <w:sz w:val="24"/>
          <w:highlight w:val="none"/>
        </w:rPr>
        <w:t>：</w:t>
      </w:r>
      <w:r>
        <w:rPr>
          <w:rFonts w:hint="eastAsia" w:ascii="宋体" w:hAnsi="宋体" w:cs="宋体"/>
          <w:color w:val="auto"/>
          <w:kern w:val="0"/>
          <w:sz w:val="24"/>
          <w:szCs w:val="24"/>
          <w:highlight w:val="none"/>
        </w:rPr>
        <w:t>浙江大学</w:t>
      </w:r>
      <w:r>
        <w:rPr>
          <w:rFonts w:hint="eastAsia" w:ascii="宋体" w:hAnsi="宋体" w:cs="宋体"/>
          <w:color w:val="auto"/>
          <w:kern w:val="0"/>
          <w:sz w:val="24"/>
          <w:szCs w:val="24"/>
          <w:highlight w:val="none"/>
          <w:lang w:val="en-US" w:eastAsia="zh-CN"/>
        </w:rPr>
        <w:t>国际健康医学研究院</w:t>
      </w:r>
    </w:p>
    <w:p>
      <w:pPr>
        <w:numPr>
          <w:ilvl w:val="0"/>
          <w:numId w:val="1"/>
        </w:numPr>
        <w:spacing w:line="360" w:lineRule="auto"/>
        <w:rPr>
          <w:rFonts w:ascii="宋体" w:hAnsi="宋体"/>
          <w:color w:val="auto"/>
          <w:sz w:val="24"/>
          <w:highlight w:val="none"/>
        </w:rPr>
      </w:pPr>
      <w:r>
        <w:rPr>
          <w:rFonts w:hint="eastAsia" w:ascii="宋体" w:hAnsi="宋体"/>
          <w:color w:val="auto"/>
          <w:sz w:val="24"/>
          <w:highlight w:val="none"/>
        </w:rPr>
        <w:t>采购内容：</w:t>
      </w:r>
      <w:r>
        <w:rPr>
          <w:rFonts w:hint="eastAsia" w:ascii="宋体" w:hAnsi="宋体"/>
          <w:color w:val="auto"/>
          <w:sz w:val="24"/>
          <w:highlight w:val="none"/>
          <w:lang w:val="en-US" w:eastAsia="zh-CN"/>
        </w:rPr>
        <w:t>会议平板</w:t>
      </w:r>
    </w:p>
    <w:p>
      <w:pPr>
        <w:numPr>
          <w:ilvl w:val="0"/>
          <w:numId w:val="1"/>
        </w:numPr>
        <w:spacing w:line="360" w:lineRule="auto"/>
        <w:rPr>
          <w:rFonts w:ascii="宋体" w:hAnsi="宋体"/>
          <w:color w:val="auto"/>
          <w:sz w:val="24"/>
          <w:highlight w:val="none"/>
        </w:rPr>
      </w:pPr>
      <w:r>
        <w:rPr>
          <w:rFonts w:ascii="宋体" w:hAnsi="宋体"/>
          <w:color w:val="auto"/>
          <w:sz w:val="24"/>
          <w:highlight w:val="none"/>
        </w:rPr>
        <w:t>采购预算</w:t>
      </w:r>
      <w:r>
        <w:rPr>
          <w:rFonts w:hint="eastAsia" w:ascii="宋体" w:hAnsi="宋体"/>
          <w:color w:val="auto"/>
          <w:sz w:val="24"/>
          <w:highlight w:val="none"/>
        </w:rPr>
        <w:t>及最高限价：</w:t>
      </w:r>
      <w:r>
        <w:rPr>
          <w:rFonts w:hint="eastAsia" w:ascii="宋体" w:hAnsi="宋体"/>
          <w:b/>
          <w:color w:val="auto"/>
          <w:sz w:val="24"/>
          <w:szCs w:val="24"/>
          <w:highlight w:val="none"/>
        </w:rPr>
        <w:t>本项目设最高限价</w:t>
      </w:r>
      <w:r>
        <w:rPr>
          <w:rFonts w:hint="eastAsia" w:ascii="宋体" w:hAnsi="宋体"/>
          <w:b/>
          <w:color w:val="auto"/>
          <w:sz w:val="24"/>
          <w:szCs w:val="24"/>
          <w:highlight w:val="none"/>
          <w:lang w:val="en-US" w:eastAsia="zh-CN"/>
        </w:rPr>
        <w:t>10</w:t>
      </w:r>
      <w:r>
        <w:rPr>
          <w:rFonts w:hint="eastAsia" w:ascii="宋体" w:hAnsi="宋体"/>
          <w:b/>
          <w:color w:val="auto"/>
          <w:sz w:val="24"/>
          <w:szCs w:val="24"/>
          <w:highlight w:val="none"/>
        </w:rPr>
        <w:t>万，</w:t>
      </w:r>
      <w:r>
        <w:rPr>
          <w:rFonts w:ascii="宋体" w:hAnsi="宋体"/>
          <w:b/>
          <w:color w:val="auto"/>
          <w:sz w:val="24"/>
          <w:szCs w:val="24"/>
          <w:highlight w:val="none"/>
        </w:rPr>
        <w:t>投标报价</w:t>
      </w:r>
      <w:r>
        <w:rPr>
          <w:rFonts w:hint="eastAsia" w:ascii="宋体" w:hAnsi="宋体"/>
          <w:b/>
          <w:color w:val="auto"/>
          <w:sz w:val="24"/>
          <w:szCs w:val="24"/>
          <w:highlight w:val="none"/>
        </w:rPr>
        <w:t>高于</w:t>
      </w:r>
      <w:r>
        <w:rPr>
          <w:rFonts w:ascii="宋体" w:hAnsi="宋体"/>
          <w:b/>
          <w:color w:val="auto"/>
          <w:sz w:val="24"/>
          <w:szCs w:val="24"/>
          <w:highlight w:val="none"/>
        </w:rPr>
        <w:t>最</w:t>
      </w:r>
      <w:r>
        <w:rPr>
          <w:rFonts w:hint="eastAsia" w:ascii="宋体" w:hAnsi="宋体"/>
          <w:b/>
          <w:color w:val="auto"/>
          <w:sz w:val="24"/>
          <w:szCs w:val="24"/>
          <w:highlight w:val="none"/>
        </w:rPr>
        <w:t>高</w:t>
      </w:r>
      <w:r>
        <w:rPr>
          <w:rFonts w:ascii="宋体" w:hAnsi="宋体"/>
          <w:b/>
          <w:color w:val="auto"/>
          <w:sz w:val="24"/>
          <w:szCs w:val="24"/>
          <w:highlight w:val="none"/>
        </w:rPr>
        <w:t>限价的，其投标均为无效标</w:t>
      </w:r>
      <w:r>
        <w:rPr>
          <w:rFonts w:hint="eastAsia" w:ascii="宋体" w:hAnsi="宋体" w:cs="宋体"/>
          <w:color w:val="auto"/>
          <w:kern w:val="0"/>
          <w:sz w:val="24"/>
          <w:szCs w:val="24"/>
          <w:highlight w:val="none"/>
        </w:rPr>
        <w:t>。</w:t>
      </w:r>
    </w:p>
    <w:p>
      <w:pPr>
        <w:numPr>
          <w:ilvl w:val="0"/>
          <w:numId w:val="1"/>
        </w:numPr>
        <w:spacing w:line="360" w:lineRule="auto"/>
        <w:rPr>
          <w:rFonts w:ascii="宋体" w:hAnsi="宋体"/>
          <w:color w:val="auto"/>
          <w:sz w:val="24"/>
          <w:highlight w:val="none"/>
        </w:rPr>
      </w:pPr>
      <w:r>
        <w:rPr>
          <w:rFonts w:ascii="宋体" w:hAnsi="宋体" w:cs="宋体"/>
          <w:color w:val="auto"/>
          <w:kern w:val="0"/>
          <w:sz w:val="24"/>
          <w:szCs w:val="24"/>
          <w:highlight w:val="none"/>
        </w:rPr>
        <w:t>评标</w:t>
      </w:r>
      <w:r>
        <w:rPr>
          <w:rFonts w:hint="eastAsia" w:ascii="宋体" w:hAnsi="宋体"/>
          <w:color w:val="auto"/>
          <w:sz w:val="24"/>
          <w:highlight w:val="none"/>
        </w:rPr>
        <w:t>方法</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综合评分法</w:t>
      </w:r>
      <w:r>
        <w:rPr>
          <w:rFonts w:hint="eastAsia" w:ascii="宋体" w:hAnsi="宋体" w:cs="宋体"/>
          <w:color w:val="auto"/>
          <w:kern w:val="0"/>
          <w:sz w:val="24"/>
          <w:szCs w:val="24"/>
          <w:highlight w:val="none"/>
        </w:rPr>
        <w:t>。</w:t>
      </w:r>
    </w:p>
    <w:p>
      <w:pPr>
        <w:numPr>
          <w:ilvl w:val="0"/>
          <w:numId w:val="1"/>
        </w:numPr>
        <w:spacing w:line="360" w:lineRule="auto"/>
        <w:rPr>
          <w:rFonts w:ascii="宋体" w:hAnsi="宋体"/>
          <w:color w:val="auto"/>
          <w:sz w:val="24"/>
          <w:highlight w:val="none"/>
        </w:rPr>
      </w:pPr>
      <w:r>
        <w:rPr>
          <w:rFonts w:hint="eastAsia" w:ascii="宋体" w:hAnsi="宋体"/>
          <w:color w:val="auto"/>
          <w:sz w:val="24"/>
          <w:highlight w:val="none"/>
          <w:lang w:val="en-US" w:eastAsia="zh-CN"/>
        </w:rPr>
        <w:t>工期</w:t>
      </w:r>
      <w:r>
        <w:rPr>
          <w:rFonts w:hint="eastAsia" w:ascii="宋体" w:hAnsi="宋体"/>
          <w:color w:val="auto"/>
          <w:sz w:val="24"/>
          <w:highlight w:val="none"/>
        </w:rPr>
        <w:t>：</w:t>
      </w:r>
      <w:r>
        <w:rPr>
          <w:rFonts w:hint="eastAsia" w:ascii="宋体" w:hAnsi="宋体" w:eastAsia="宋体" w:cs="宋体"/>
          <w:sz w:val="24"/>
          <w:highlight w:val="none"/>
        </w:rPr>
        <w:t>按采购人要求</w:t>
      </w:r>
      <w:r>
        <w:rPr>
          <w:rFonts w:hint="eastAsia" w:ascii="宋体" w:hAnsi="宋体" w:eastAsia="宋体" w:cs="宋体"/>
          <w:sz w:val="24"/>
          <w:highlight w:val="none"/>
          <w:lang w:val="en-US" w:eastAsia="zh-CN"/>
        </w:rPr>
        <w:t>一个月内</w:t>
      </w:r>
      <w:r>
        <w:rPr>
          <w:rFonts w:hint="eastAsia" w:ascii="宋体" w:hAnsi="宋体" w:eastAsia="宋体" w:cs="宋体"/>
          <w:sz w:val="24"/>
          <w:highlight w:val="none"/>
        </w:rPr>
        <w:t>完成并验收合格</w:t>
      </w:r>
      <w:r>
        <w:rPr>
          <w:rFonts w:hint="eastAsia" w:ascii="宋体" w:hAnsi="宋体"/>
          <w:color w:val="auto"/>
          <w:sz w:val="24"/>
          <w:highlight w:val="none"/>
        </w:rPr>
        <w:t>。</w:t>
      </w:r>
    </w:p>
    <w:p>
      <w:pPr>
        <w:numPr>
          <w:ilvl w:val="0"/>
          <w:numId w:val="1"/>
        </w:numPr>
        <w:spacing w:line="360" w:lineRule="auto"/>
        <w:rPr>
          <w:rFonts w:ascii="宋体" w:hAnsi="宋体"/>
          <w:color w:val="auto"/>
          <w:sz w:val="24"/>
          <w:highlight w:val="none"/>
        </w:rPr>
      </w:pPr>
      <w:r>
        <w:rPr>
          <w:rFonts w:hint="eastAsia" w:ascii="宋体" w:hAnsi="宋体"/>
          <w:color w:val="auto"/>
          <w:sz w:val="24"/>
          <w:highlight w:val="none"/>
        </w:rPr>
        <w:t>投标单位的资格要求：</w:t>
      </w:r>
    </w:p>
    <w:p>
      <w:pPr>
        <w:pStyle w:val="28"/>
        <w:widowControl/>
        <w:spacing w:line="360" w:lineRule="auto"/>
        <w:ind w:left="480" w:firstLine="0" w:firstLineChars="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1、国内具有独立法人资格。</w:t>
      </w:r>
    </w:p>
    <w:p>
      <w:pPr>
        <w:pStyle w:val="28"/>
        <w:widowControl/>
        <w:spacing w:line="360" w:lineRule="auto"/>
        <w:ind w:left="480" w:firstLine="0" w:firstLineChars="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2、符合《中华人民共和国政府采购法》第二十二条对供应商的要求。</w:t>
      </w:r>
    </w:p>
    <w:p>
      <w:pPr>
        <w:pStyle w:val="28"/>
        <w:widowControl/>
        <w:spacing w:line="360" w:lineRule="auto"/>
        <w:ind w:left="480" w:firstLine="0" w:firstLineChars="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3、本项目不接受联合体投标。</w:t>
      </w:r>
    </w:p>
    <w:p>
      <w:pPr>
        <w:pStyle w:val="28"/>
        <w:widowControl/>
        <w:spacing w:line="360" w:lineRule="auto"/>
        <w:ind w:left="480" w:firstLine="0" w:firstLineChars="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参加政府采购活动前三年内，在经营活动中没有重大违法记录。供应商无以下不良行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或被“信用中国”（www.creditchina.gov.cn）、中国政府采购网（www.ccgp.gov.cn）列入失信被执行人、重大税收违法案件当事人名单、政府采购严重违法失信行为记录名单的。</w:t>
      </w:r>
    </w:p>
    <w:p>
      <w:pPr>
        <w:pStyle w:val="28"/>
        <w:widowControl/>
        <w:spacing w:line="360" w:lineRule="auto"/>
        <w:ind w:left="480" w:firstLine="0" w:firstLineChars="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5、该行业国家规定必备的资质、资格。</w:t>
      </w:r>
    </w:p>
    <w:p>
      <w:pPr>
        <w:pStyle w:val="28"/>
        <w:numPr>
          <w:ilvl w:val="0"/>
          <w:numId w:val="1"/>
        </w:numPr>
        <w:spacing w:line="360" w:lineRule="auto"/>
        <w:ind w:firstLineChars="0"/>
        <w:rPr>
          <w:rFonts w:ascii="宋体" w:hAnsi="宋体"/>
          <w:color w:val="auto"/>
          <w:sz w:val="24"/>
          <w:highlight w:val="none"/>
        </w:rPr>
      </w:pPr>
      <w:r>
        <w:rPr>
          <w:rFonts w:hint="eastAsia" w:ascii="宋体" w:hAnsi="宋体"/>
          <w:color w:val="auto"/>
          <w:sz w:val="24"/>
          <w:highlight w:val="none"/>
        </w:rPr>
        <w:t>招标文件发放方式：浙江大学医学院附属第四医院网站</w:t>
      </w:r>
      <w:r>
        <w:rPr>
          <w:rFonts w:ascii="微软雅黑" w:hAnsi="微软雅黑" w:eastAsia="微软雅黑" w:cs="微软雅黑"/>
          <w:i w:val="0"/>
          <w:iCs w:val="0"/>
          <w:caps w:val="0"/>
          <w:color w:val="484848"/>
          <w:spacing w:val="0"/>
          <w:sz w:val="19"/>
          <w:szCs w:val="19"/>
        </w:rPr>
        <w:t>https://www.zju4h.com/</w:t>
      </w:r>
      <w:r>
        <w:rPr>
          <w:rFonts w:hint="eastAsia" w:ascii="宋体" w:hAnsi="宋体"/>
          <w:color w:val="auto"/>
          <w:sz w:val="24"/>
          <w:highlight w:val="none"/>
        </w:rPr>
        <w:t>免费下载</w:t>
      </w:r>
      <w:bookmarkStart w:id="3" w:name="_GoBack"/>
      <w:bookmarkEnd w:id="3"/>
    </w:p>
    <w:p>
      <w:pPr>
        <w:pStyle w:val="28"/>
        <w:numPr>
          <w:ilvl w:val="0"/>
          <w:numId w:val="1"/>
        </w:numPr>
        <w:spacing w:line="360" w:lineRule="auto"/>
        <w:ind w:firstLineChars="0"/>
        <w:rPr>
          <w:rFonts w:ascii="宋体" w:hAnsi="宋体"/>
          <w:color w:val="auto"/>
          <w:sz w:val="24"/>
          <w:highlight w:val="none"/>
        </w:rPr>
      </w:pPr>
      <w:r>
        <w:rPr>
          <w:rFonts w:hint="eastAsia" w:ascii="宋体" w:hAnsi="宋体"/>
          <w:color w:val="auto"/>
          <w:sz w:val="24"/>
          <w:highlight w:val="none"/>
        </w:rPr>
        <w:t>报名方式</w:t>
      </w:r>
      <w:r>
        <w:rPr>
          <w:rFonts w:ascii="宋体" w:hAnsi="宋体"/>
          <w:color w:val="auto"/>
          <w:sz w:val="24"/>
          <w:highlight w:val="none"/>
        </w:rPr>
        <w:t>：</w:t>
      </w:r>
      <w:r>
        <w:rPr>
          <w:rFonts w:hint="eastAsia" w:ascii="宋体" w:hAnsi="宋体"/>
          <w:color w:val="auto"/>
          <w:sz w:val="24"/>
          <w:highlight w:val="none"/>
        </w:rPr>
        <w:t>投标单位必须于</w:t>
      </w:r>
      <w:r>
        <w:rPr>
          <w:rFonts w:ascii="宋体" w:hAnsi="宋体"/>
          <w:color w:val="auto"/>
          <w:sz w:val="24"/>
          <w:highlight w:val="yellow"/>
        </w:rPr>
        <w:t>202</w:t>
      </w:r>
      <w:r>
        <w:rPr>
          <w:rFonts w:hint="eastAsia" w:ascii="宋体" w:hAnsi="宋体"/>
          <w:color w:val="auto"/>
          <w:sz w:val="24"/>
          <w:highlight w:val="yellow"/>
          <w:lang w:val="en-US" w:eastAsia="zh-CN"/>
        </w:rPr>
        <w:t>3</w:t>
      </w:r>
      <w:r>
        <w:rPr>
          <w:rFonts w:hint="eastAsia" w:ascii="宋体" w:hAnsi="宋体"/>
          <w:color w:val="auto"/>
          <w:sz w:val="24"/>
          <w:highlight w:val="yellow"/>
        </w:rPr>
        <w:t>年</w:t>
      </w:r>
      <w:r>
        <w:rPr>
          <w:rFonts w:hint="eastAsia" w:ascii="宋体" w:hAnsi="宋体"/>
          <w:color w:val="auto"/>
          <w:sz w:val="24"/>
          <w:highlight w:val="yellow"/>
          <w:lang w:val="en-US" w:eastAsia="zh-CN"/>
        </w:rPr>
        <w:t>07</w:t>
      </w:r>
      <w:r>
        <w:rPr>
          <w:rFonts w:hint="eastAsia" w:ascii="宋体" w:hAnsi="宋体"/>
          <w:color w:val="auto"/>
          <w:sz w:val="24"/>
          <w:highlight w:val="yellow"/>
        </w:rPr>
        <w:t>月</w:t>
      </w:r>
      <w:r>
        <w:rPr>
          <w:rFonts w:hint="eastAsia" w:ascii="宋体" w:hAnsi="宋体"/>
          <w:color w:val="auto"/>
          <w:sz w:val="24"/>
          <w:highlight w:val="yellow"/>
          <w:lang w:val="en-US" w:eastAsia="zh-CN"/>
        </w:rPr>
        <w:t>05</w:t>
      </w:r>
      <w:r>
        <w:rPr>
          <w:rFonts w:hint="eastAsia" w:ascii="宋体" w:hAnsi="宋体"/>
          <w:color w:val="auto"/>
          <w:sz w:val="24"/>
          <w:highlight w:val="yellow"/>
        </w:rPr>
        <w:t>日</w:t>
      </w:r>
      <w:r>
        <w:rPr>
          <w:rFonts w:hint="eastAsia" w:ascii="宋体" w:hAnsi="宋体"/>
          <w:color w:val="auto"/>
          <w:sz w:val="24"/>
          <w:highlight w:val="none"/>
        </w:rPr>
        <w:t>17:00之前将</w:t>
      </w:r>
      <w:r>
        <w:rPr>
          <w:rFonts w:hint="eastAsia"/>
          <w:b/>
          <w:color w:val="auto"/>
          <w:sz w:val="24"/>
          <w:highlight w:val="none"/>
        </w:rPr>
        <w:t>以下</w:t>
      </w:r>
      <w:r>
        <w:rPr>
          <w:b/>
          <w:color w:val="auto"/>
          <w:sz w:val="24"/>
          <w:highlight w:val="none"/>
        </w:rPr>
        <w:t>报名资料</w:t>
      </w:r>
      <w:r>
        <w:rPr>
          <w:rFonts w:hint="eastAsia"/>
          <w:b/>
          <w:color w:val="auto"/>
          <w:sz w:val="24"/>
          <w:highlight w:val="none"/>
          <w:lang w:val="en-US" w:eastAsia="zh-CN"/>
        </w:rPr>
        <w:t>发送至邮箱luckymeng1007@163.com</w:t>
      </w:r>
      <w:r>
        <w:rPr>
          <w:rFonts w:hint="eastAsia" w:ascii="宋体" w:hAnsi="宋体"/>
          <w:b/>
          <w:color w:val="auto"/>
          <w:sz w:val="24"/>
          <w:highlight w:val="none"/>
        </w:rPr>
        <w:t>（邮件标题以“投标项目+投标单位”格式命名），</w:t>
      </w:r>
      <w:r>
        <w:rPr>
          <w:rFonts w:hint="eastAsia" w:ascii="宋体" w:hAnsi="宋体"/>
          <w:color w:val="auto"/>
          <w:sz w:val="24"/>
          <w:highlight w:val="none"/>
        </w:rPr>
        <w:t>复印件加盖公章的原件在开标当天补交。</w:t>
      </w:r>
    </w:p>
    <w:p>
      <w:pPr>
        <w:pStyle w:val="28"/>
        <w:numPr>
          <w:ilvl w:val="0"/>
          <w:numId w:val="2"/>
        </w:numPr>
        <w:spacing w:line="360" w:lineRule="auto"/>
        <w:ind w:firstLineChars="0"/>
        <w:rPr>
          <w:rFonts w:ascii="宋体" w:hAnsi="宋体"/>
          <w:color w:val="auto"/>
          <w:sz w:val="24"/>
          <w:highlight w:val="none"/>
        </w:rPr>
      </w:pPr>
      <w:r>
        <w:rPr>
          <w:b/>
          <w:color w:val="auto"/>
          <w:sz w:val="24"/>
          <w:highlight w:val="none"/>
        </w:rPr>
        <w:t>单位营业执照</w:t>
      </w:r>
      <w:r>
        <w:rPr>
          <w:rFonts w:hint="eastAsia" w:ascii="宋体" w:hAnsi="宋体"/>
          <w:color w:val="auto"/>
          <w:sz w:val="24"/>
          <w:highlight w:val="none"/>
        </w:rPr>
        <w:t>（加盖单位公章 红章）；</w:t>
      </w:r>
    </w:p>
    <w:p>
      <w:pPr>
        <w:pStyle w:val="28"/>
        <w:numPr>
          <w:ilvl w:val="0"/>
          <w:numId w:val="2"/>
        </w:numPr>
        <w:spacing w:line="360" w:lineRule="auto"/>
        <w:ind w:firstLineChars="0"/>
        <w:rPr>
          <w:rFonts w:ascii="宋体" w:hAnsi="宋体"/>
          <w:color w:val="auto"/>
          <w:sz w:val="24"/>
          <w:highlight w:val="none"/>
        </w:rPr>
      </w:pPr>
      <w:r>
        <w:rPr>
          <w:rFonts w:hint="eastAsia" w:ascii="宋体" w:hAnsi="宋体"/>
          <w:color w:val="auto"/>
          <w:sz w:val="24"/>
          <w:highlight w:val="none"/>
        </w:rPr>
        <w:t>企业法定代表人或授权委托书及被委托人身份证复印件（加盖单位公章）；</w:t>
      </w:r>
    </w:p>
    <w:p>
      <w:pPr>
        <w:pStyle w:val="28"/>
        <w:numPr>
          <w:ilvl w:val="0"/>
          <w:numId w:val="2"/>
        </w:numPr>
        <w:spacing w:line="360" w:lineRule="auto"/>
        <w:ind w:firstLineChars="0"/>
        <w:rPr>
          <w:rFonts w:ascii="宋体" w:hAnsi="宋体"/>
          <w:color w:val="auto"/>
          <w:sz w:val="24"/>
          <w:highlight w:val="none"/>
        </w:rPr>
      </w:pPr>
      <w:r>
        <w:rPr>
          <w:rFonts w:hint="eastAsia" w:ascii="宋体" w:hAnsi="宋体"/>
          <w:color w:val="auto"/>
          <w:sz w:val="24"/>
          <w:highlight w:val="none"/>
        </w:rPr>
        <w:t>投标人联系单（含电话、邮箱等）。</w:t>
      </w:r>
    </w:p>
    <w:p>
      <w:pPr>
        <w:pStyle w:val="28"/>
        <w:numPr>
          <w:ilvl w:val="0"/>
          <w:numId w:val="1"/>
        </w:numPr>
        <w:spacing w:line="360" w:lineRule="auto"/>
        <w:ind w:firstLineChars="0"/>
        <w:rPr>
          <w:rFonts w:ascii="宋体" w:hAnsi="宋体"/>
          <w:color w:val="auto"/>
          <w:sz w:val="24"/>
          <w:highlight w:val="none"/>
        </w:rPr>
      </w:pPr>
      <w:r>
        <w:rPr>
          <w:rFonts w:hint="eastAsia" w:ascii="宋体" w:hAnsi="宋体"/>
          <w:color w:val="auto"/>
          <w:sz w:val="24"/>
          <w:highlight w:val="none"/>
        </w:rPr>
        <w:t xml:space="preserve">投标时间和地点： </w:t>
      </w:r>
    </w:p>
    <w:p>
      <w:pPr>
        <w:spacing w:line="360" w:lineRule="auto"/>
        <w:ind w:left="480"/>
        <w:rPr>
          <w:rFonts w:ascii="宋体" w:hAnsi="宋体"/>
          <w:color w:val="auto"/>
          <w:sz w:val="24"/>
          <w:highlight w:val="none"/>
        </w:rPr>
      </w:pPr>
      <w:r>
        <w:rPr>
          <w:rFonts w:hint="eastAsia" w:ascii="宋体" w:hAnsi="宋体"/>
          <w:color w:val="auto"/>
          <w:sz w:val="24"/>
          <w:highlight w:val="none"/>
        </w:rPr>
        <w:t>投标单位应于</w:t>
      </w:r>
      <w:r>
        <w:rPr>
          <w:rFonts w:ascii="宋体" w:hAnsi="宋体"/>
          <w:color w:val="auto"/>
          <w:sz w:val="24"/>
          <w:highlight w:val="yellow"/>
          <w:u w:val="single"/>
        </w:rPr>
        <w:t>202</w:t>
      </w:r>
      <w:r>
        <w:rPr>
          <w:rFonts w:hint="eastAsia" w:ascii="宋体" w:hAnsi="宋体"/>
          <w:color w:val="auto"/>
          <w:sz w:val="24"/>
          <w:highlight w:val="yellow"/>
          <w:u w:val="single"/>
          <w:lang w:val="en-US" w:eastAsia="zh-CN"/>
        </w:rPr>
        <w:t>3</w:t>
      </w:r>
      <w:r>
        <w:rPr>
          <w:rFonts w:hint="eastAsia" w:ascii="宋体" w:hAnsi="宋体"/>
          <w:color w:val="auto"/>
          <w:sz w:val="24"/>
          <w:highlight w:val="yellow"/>
          <w:u w:val="single"/>
        </w:rPr>
        <w:t>年</w:t>
      </w:r>
      <w:r>
        <w:rPr>
          <w:rFonts w:hint="eastAsia" w:ascii="宋体" w:hAnsi="宋体"/>
          <w:color w:val="auto"/>
          <w:sz w:val="24"/>
          <w:highlight w:val="yellow"/>
          <w:u w:val="single"/>
          <w:lang w:val="en-US" w:eastAsia="zh-CN"/>
        </w:rPr>
        <w:t>07</w:t>
      </w:r>
      <w:r>
        <w:rPr>
          <w:rFonts w:hint="eastAsia" w:ascii="宋体" w:hAnsi="宋体"/>
          <w:color w:val="auto"/>
          <w:sz w:val="24"/>
          <w:highlight w:val="yellow"/>
          <w:u w:val="single"/>
        </w:rPr>
        <w:t>月</w:t>
      </w:r>
      <w:r>
        <w:rPr>
          <w:rFonts w:hint="eastAsia" w:ascii="宋体" w:hAnsi="宋体"/>
          <w:color w:val="auto"/>
          <w:sz w:val="24"/>
          <w:highlight w:val="yellow"/>
          <w:u w:val="single"/>
          <w:lang w:val="en-US" w:eastAsia="zh-CN"/>
        </w:rPr>
        <w:t>06</w:t>
      </w:r>
      <w:r>
        <w:rPr>
          <w:rFonts w:hint="eastAsia" w:ascii="宋体" w:hAnsi="宋体"/>
          <w:color w:val="auto"/>
          <w:sz w:val="24"/>
          <w:highlight w:val="yellow"/>
          <w:u w:val="single"/>
        </w:rPr>
        <w:t>日</w:t>
      </w:r>
      <w:r>
        <w:rPr>
          <w:rFonts w:hint="eastAsia" w:ascii="宋体" w:hAnsi="宋体"/>
          <w:color w:val="auto"/>
          <w:sz w:val="24"/>
          <w:highlight w:val="yellow"/>
          <w:u w:val="single"/>
          <w:lang w:val="en-US" w:eastAsia="zh-CN"/>
        </w:rPr>
        <w:t>09</w:t>
      </w:r>
      <w:r>
        <w:rPr>
          <w:rFonts w:hint="eastAsia" w:ascii="宋体" w:hAnsi="宋体"/>
          <w:color w:val="auto"/>
          <w:sz w:val="24"/>
          <w:highlight w:val="yellow"/>
          <w:u w:val="single"/>
        </w:rPr>
        <w:t>:00</w:t>
      </w:r>
      <w:r>
        <w:rPr>
          <w:rFonts w:hint="eastAsia" w:ascii="宋体" w:hAnsi="宋体"/>
          <w:color w:val="auto"/>
          <w:sz w:val="24"/>
          <w:highlight w:val="none"/>
          <w:u w:val="single"/>
        </w:rPr>
        <w:t>前</w:t>
      </w:r>
      <w:r>
        <w:rPr>
          <w:rFonts w:hint="eastAsia" w:ascii="宋体" w:hAnsi="宋体"/>
          <w:color w:val="auto"/>
          <w:sz w:val="24"/>
          <w:highlight w:val="none"/>
        </w:rPr>
        <w:t>将投标文件密封交到投标地点。</w:t>
      </w:r>
    </w:p>
    <w:p>
      <w:pPr>
        <w:spacing w:line="360" w:lineRule="auto"/>
        <w:ind w:left="480"/>
        <w:rPr>
          <w:rFonts w:ascii="宋体" w:hAnsi="宋体"/>
          <w:color w:val="auto"/>
          <w:sz w:val="24"/>
          <w:highlight w:val="none"/>
        </w:rPr>
      </w:pPr>
      <w:r>
        <w:rPr>
          <w:rFonts w:hint="eastAsia" w:ascii="宋体" w:hAnsi="宋体"/>
          <w:color w:val="auto"/>
          <w:sz w:val="24"/>
          <w:highlight w:val="none"/>
        </w:rPr>
        <w:t>投标地点：快递邮寄或开标当天投标至</w:t>
      </w:r>
      <w:r>
        <w:rPr>
          <w:rFonts w:hint="eastAsia" w:ascii="宋体" w:hAnsi="宋体"/>
          <w:color w:val="auto"/>
          <w:sz w:val="24"/>
          <w:highlight w:val="none"/>
          <w:lang w:val="en-US" w:eastAsia="zh-CN"/>
        </w:rPr>
        <w:t>浙江大学国际健康医学研究院五楼会议室</w:t>
      </w:r>
      <w:r>
        <w:rPr>
          <w:rFonts w:hint="eastAsia" w:ascii="宋体" w:hAnsi="宋体"/>
          <w:color w:val="auto"/>
          <w:sz w:val="24"/>
          <w:highlight w:val="none"/>
        </w:rPr>
        <w:t>。</w:t>
      </w:r>
    </w:p>
    <w:p>
      <w:pPr>
        <w:numPr>
          <w:ilvl w:val="0"/>
          <w:numId w:val="1"/>
        </w:numPr>
        <w:tabs>
          <w:tab w:val="left" w:pos="426"/>
          <w:tab w:val="clear" w:pos="480"/>
        </w:tabs>
        <w:spacing w:line="360" w:lineRule="auto"/>
        <w:rPr>
          <w:rFonts w:ascii="宋体" w:hAnsi="宋体"/>
          <w:color w:val="auto"/>
          <w:sz w:val="24"/>
          <w:highlight w:val="none"/>
        </w:rPr>
      </w:pPr>
      <w:r>
        <w:rPr>
          <w:rFonts w:hint="eastAsia" w:ascii="宋体" w:hAnsi="宋体"/>
          <w:color w:val="auto"/>
          <w:sz w:val="24"/>
          <w:highlight w:val="none"/>
        </w:rPr>
        <w:t>开标时间和地点：</w:t>
      </w:r>
    </w:p>
    <w:p>
      <w:pPr>
        <w:spacing w:line="360" w:lineRule="auto"/>
        <w:ind w:left="480"/>
        <w:rPr>
          <w:rFonts w:ascii="宋体" w:hAnsi="宋体"/>
          <w:color w:val="auto"/>
          <w:sz w:val="24"/>
          <w:highlight w:val="none"/>
        </w:rPr>
      </w:pPr>
      <w:r>
        <w:rPr>
          <w:rFonts w:hint="eastAsia" w:ascii="宋体" w:hAnsi="宋体"/>
          <w:color w:val="auto"/>
          <w:sz w:val="24"/>
          <w:highlight w:val="none"/>
        </w:rPr>
        <w:t>开标时间：</w:t>
      </w:r>
      <w:r>
        <w:rPr>
          <w:rFonts w:ascii="宋体" w:hAnsi="宋体"/>
          <w:color w:val="auto"/>
          <w:sz w:val="24"/>
          <w:highlight w:val="yellow"/>
          <w:u w:val="single"/>
        </w:rPr>
        <w:t>202</w:t>
      </w:r>
      <w:r>
        <w:rPr>
          <w:rFonts w:hint="eastAsia" w:ascii="宋体" w:hAnsi="宋体"/>
          <w:color w:val="auto"/>
          <w:sz w:val="24"/>
          <w:highlight w:val="yellow"/>
          <w:u w:val="single"/>
          <w:lang w:val="en-US" w:eastAsia="zh-CN"/>
        </w:rPr>
        <w:t>3</w:t>
      </w:r>
      <w:r>
        <w:rPr>
          <w:rFonts w:hint="eastAsia" w:ascii="宋体" w:hAnsi="宋体"/>
          <w:color w:val="auto"/>
          <w:sz w:val="24"/>
          <w:highlight w:val="yellow"/>
          <w:u w:val="single"/>
        </w:rPr>
        <w:t>年</w:t>
      </w:r>
      <w:r>
        <w:rPr>
          <w:rFonts w:hint="eastAsia" w:ascii="宋体" w:hAnsi="宋体"/>
          <w:color w:val="auto"/>
          <w:sz w:val="24"/>
          <w:highlight w:val="yellow"/>
          <w:u w:val="single"/>
          <w:lang w:val="en-US" w:eastAsia="zh-CN"/>
        </w:rPr>
        <w:t>07</w:t>
      </w:r>
      <w:r>
        <w:rPr>
          <w:rFonts w:hint="eastAsia" w:ascii="宋体" w:hAnsi="宋体"/>
          <w:color w:val="auto"/>
          <w:sz w:val="24"/>
          <w:highlight w:val="yellow"/>
          <w:u w:val="single"/>
        </w:rPr>
        <w:t>月</w:t>
      </w:r>
      <w:r>
        <w:rPr>
          <w:rFonts w:hint="eastAsia" w:ascii="宋体" w:hAnsi="宋体"/>
          <w:color w:val="auto"/>
          <w:sz w:val="24"/>
          <w:highlight w:val="yellow"/>
          <w:u w:val="single"/>
          <w:lang w:val="en-US" w:eastAsia="zh-CN"/>
        </w:rPr>
        <w:t>06</w:t>
      </w:r>
      <w:r>
        <w:rPr>
          <w:rFonts w:hint="eastAsia" w:ascii="宋体" w:hAnsi="宋体"/>
          <w:color w:val="auto"/>
          <w:sz w:val="24"/>
          <w:highlight w:val="yellow"/>
          <w:u w:val="single"/>
        </w:rPr>
        <w:t>日</w:t>
      </w:r>
      <w:r>
        <w:rPr>
          <w:rFonts w:hint="eastAsia" w:ascii="宋体" w:hAnsi="宋体"/>
          <w:color w:val="auto"/>
          <w:sz w:val="24"/>
          <w:highlight w:val="yellow"/>
          <w:u w:val="single"/>
          <w:lang w:val="en-US" w:eastAsia="zh-CN"/>
        </w:rPr>
        <w:t>09</w:t>
      </w:r>
      <w:r>
        <w:rPr>
          <w:rFonts w:hint="eastAsia" w:ascii="宋体" w:hAnsi="宋体"/>
          <w:color w:val="auto"/>
          <w:sz w:val="24"/>
          <w:highlight w:val="yellow"/>
          <w:u w:val="single"/>
        </w:rPr>
        <w:t>:00</w:t>
      </w:r>
    </w:p>
    <w:p>
      <w:pPr>
        <w:spacing w:line="360" w:lineRule="auto"/>
        <w:ind w:left="480"/>
        <w:rPr>
          <w:rFonts w:ascii="宋体" w:hAnsi="宋体"/>
          <w:color w:val="auto"/>
          <w:sz w:val="24"/>
          <w:highlight w:val="none"/>
        </w:rPr>
      </w:pPr>
      <w:r>
        <w:rPr>
          <w:rFonts w:hint="eastAsia" w:ascii="宋体" w:hAnsi="宋体"/>
          <w:color w:val="auto"/>
          <w:sz w:val="24"/>
          <w:highlight w:val="none"/>
        </w:rPr>
        <w:t>开标地点：</w:t>
      </w:r>
      <w:r>
        <w:rPr>
          <w:rFonts w:hint="eastAsia" w:ascii="宋体" w:hAnsi="宋体"/>
          <w:color w:val="auto"/>
          <w:sz w:val="24"/>
          <w:highlight w:val="none"/>
          <w:lang w:val="en-US" w:eastAsia="zh-CN"/>
        </w:rPr>
        <w:t>浙江大学国际健康医学研究院五楼会议室</w:t>
      </w:r>
    </w:p>
    <w:p>
      <w:pPr>
        <w:numPr>
          <w:ilvl w:val="0"/>
          <w:numId w:val="1"/>
        </w:numPr>
        <w:tabs>
          <w:tab w:val="left" w:pos="426"/>
          <w:tab w:val="clear" w:pos="480"/>
        </w:tabs>
        <w:spacing w:line="360" w:lineRule="auto"/>
        <w:rPr>
          <w:rFonts w:ascii="宋体" w:hAnsi="宋体"/>
          <w:color w:val="auto"/>
          <w:sz w:val="24"/>
          <w:highlight w:val="none"/>
        </w:rPr>
      </w:pPr>
      <w:r>
        <w:rPr>
          <w:rFonts w:hint="eastAsia" w:ascii="宋体" w:hAnsi="宋体"/>
          <w:color w:val="auto"/>
          <w:sz w:val="24"/>
          <w:highlight w:val="none"/>
        </w:rPr>
        <w:t>联系地址和电话：</w:t>
      </w:r>
    </w:p>
    <w:p>
      <w:pPr>
        <w:spacing w:line="360" w:lineRule="auto"/>
        <w:ind w:left="480"/>
        <w:rPr>
          <w:rFonts w:hint="default" w:ascii="宋体" w:hAnsi="宋体"/>
          <w:color w:val="auto"/>
          <w:sz w:val="24"/>
          <w:highlight w:val="none"/>
          <w:lang w:val="en-US" w:eastAsia="zh-CN"/>
        </w:rPr>
      </w:pPr>
      <w:r>
        <w:rPr>
          <w:rFonts w:hint="eastAsia" w:ascii="宋体" w:hAnsi="宋体"/>
          <w:color w:val="auto"/>
          <w:sz w:val="24"/>
          <w:highlight w:val="none"/>
        </w:rPr>
        <w:t>地  址：</w:t>
      </w:r>
      <w:r>
        <w:rPr>
          <w:rFonts w:hint="eastAsia" w:ascii="宋体" w:hAnsi="宋体"/>
          <w:color w:val="auto"/>
          <w:sz w:val="24"/>
          <w:highlight w:val="none"/>
          <w:lang w:val="en-US" w:eastAsia="zh-CN"/>
        </w:rPr>
        <w:t>浙江大学国际健康医学研究院五楼会议室508-7</w:t>
      </w:r>
    </w:p>
    <w:p>
      <w:pPr>
        <w:spacing w:line="360" w:lineRule="auto"/>
        <w:ind w:left="480"/>
        <w:rPr>
          <w:rFonts w:hint="default" w:ascii="宋体" w:hAnsi="宋体" w:eastAsia="宋体"/>
          <w:color w:val="auto"/>
          <w:sz w:val="24"/>
          <w:highlight w:val="none"/>
          <w:lang w:val="en-US" w:eastAsia="zh-CN"/>
        </w:rPr>
      </w:pPr>
      <w:r>
        <w:rPr>
          <w:rFonts w:hint="eastAsia" w:ascii="宋体" w:hAnsi="宋体"/>
          <w:color w:val="auto"/>
          <w:sz w:val="24"/>
          <w:highlight w:val="none"/>
        </w:rPr>
        <w:t>联系人：</w:t>
      </w:r>
      <w:r>
        <w:rPr>
          <w:rFonts w:hint="eastAsia" w:ascii="宋体" w:hAnsi="宋体"/>
          <w:color w:val="auto"/>
          <w:sz w:val="24"/>
          <w:highlight w:val="none"/>
          <w:lang w:val="en-US" w:eastAsia="zh-CN"/>
        </w:rPr>
        <w:t>李老师</w:t>
      </w:r>
    </w:p>
    <w:p>
      <w:pPr>
        <w:spacing w:line="360" w:lineRule="auto"/>
        <w:ind w:left="480"/>
        <w:rPr>
          <w:rFonts w:hint="default" w:ascii="宋体" w:hAnsi="宋体" w:eastAsia="宋体"/>
          <w:color w:val="auto"/>
          <w:sz w:val="24"/>
          <w:highlight w:val="none"/>
          <w:u w:val="single"/>
          <w:lang w:val="en-US" w:eastAsia="zh-CN"/>
        </w:rPr>
      </w:pPr>
      <w:r>
        <w:rPr>
          <w:rFonts w:hint="eastAsia" w:ascii="宋体" w:hAnsi="宋体"/>
          <w:color w:val="auto"/>
          <w:sz w:val="24"/>
          <w:highlight w:val="none"/>
        </w:rPr>
        <w:t>联系电话：</w:t>
      </w:r>
      <w:r>
        <w:rPr>
          <w:rFonts w:hint="eastAsia" w:ascii="宋体" w:hAnsi="宋体"/>
          <w:color w:val="auto"/>
          <w:sz w:val="24"/>
          <w:highlight w:val="none"/>
          <w:u w:val="single"/>
        </w:rPr>
        <w:t xml:space="preserve"> 0579-8993</w:t>
      </w:r>
      <w:r>
        <w:rPr>
          <w:rFonts w:hint="eastAsia" w:ascii="宋体" w:hAnsi="宋体"/>
          <w:color w:val="auto"/>
          <w:sz w:val="24"/>
          <w:highlight w:val="none"/>
          <w:u w:val="single"/>
          <w:lang w:val="en-US" w:eastAsia="zh-CN"/>
        </w:rPr>
        <w:t>2017</w:t>
      </w:r>
    </w:p>
    <w:p>
      <w:pPr>
        <w:widowControl/>
        <w:spacing w:line="420" w:lineRule="atLeast"/>
        <w:rPr>
          <w:rFonts w:ascii="宋体" w:hAnsi="宋体"/>
          <w:color w:val="auto"/>
          <w:sz w:val="24"/>
          <w:highlight w:val="none"/>
        </w:rPr>
      </w:pPr>
      <w:r>
        <w:rPr>
          <w:rFonts w:ascii="宋体" w:hAnsi="宋体"/>
          <w:color w:val="auto"/>
          <w:sz w:val="24"/>
          <w:highlight w:val="none"/>
        </w:rPr>
        <w:t>十五</w:t>
      </w:r>
      <w:r>
        <w:rPr>
          <w:rFonts w:hint="eastAsia" w:ascii="宋体" w:hAnsi="宋体"/>
          <w:color w:val="auto"/>
          <w:sz w:val="24"/>
          <w:highlight w:val="none"/>
        </w:rPr>
        <w:t>、</w:t>
      </w:r>
      <w:r>
        <w:rPr>
          <w:rFonts w:ascii="宋体" w:hAnsi="宋体"/>
          <w:color w:val="auto"/>
          <w:sz w:val="24"/>
          <w:highlight w:val="none"/>
        </w:rPr>
        <w:t>其他</w:t>
      </w:r>
    </w:p>
    <w:p>
      <w:pPr>
        <w:widowControl/>
        <w:spacing w:line="420" w:lineRule="atLeas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 xml:space="preserve">   1</w:t>
      </w:r>
      <w:r>
        <w:rPr>
          <w:rFonts w:hint="eastAsia" w:ascii="宋体" w:hAnsi="宋体"/>
          <w:color w:val="auto"/>
          <w:sz w:val="24"/>
          <w:highlight w:val="none"/>
        </w:rPr>
        <w:t>、</w:t>
      </w:r>
      <w:r>
        <w:rPr>
          <w:rFonts w:ascii="宋体" w:hAnsi="宋体"/>
          <w:color w:val="auto"/>
          <w:sz w:val="24"/>
          <w:highlight w:val="none"/>
        </w:rPr>
        <w:t>“★”标记系指必须满足不能负偏离或必须应答的条款。如不能响应</w:t>
      </w:r>
      <w:r>
        <w:rPr>
          <w:rFonts w:hint="eastAsia" w:ascii="宋体" w:hAnsi="宋体"/>
          <w:color w:val="auto"/>
          <w:sz w:val="24"/>
          <w:highlight w:val="none"/>
        </w:rPr>
        <w:t>，</w:t>
      </w:r>
      <w:r>
        <w:rPr>
          <w:rFonts w:ascii="宋体" w:hAnsi="宋体"/>
          <w:color w:val="auto"/>
          <w:sz w:val="24"/>
          <w:highlight w:val="none"/>
        </w:rPr>
        <w:t>作废标处理</w:t>
      </w:r>
      <w:r>
        <w:rPr>
          <w:rFonts w:hint="eastAsia" w:ascii="宋体" w:hAnsi="宋体"/>
          <w:color w:val="auto"/>
          <w:sz w:val="24"/>
          <w:highlight w:val="none"/>
        </w:rPr>
        <w:t>。</w:t>
      </w: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pStyle w:val="2"/>
      </w:pP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rPr>
          <w:rFonts w:hint="eastAsia" w:ascii="宋体" w:hAnsi="宋体" w:cs="宋体"/>
          <w:color w:val="auto"/>
          <w:kern w:val="0"/>
          <w:sz w:val="24"/>
          <w:szCs w:val="24"/>
          <w:highlight w:val="none"/>
        </w:rPr>
      </w:pPr>
    </w:p>
    <w:p>
      <w:pPr>
        <w:autoSpaceDE w:val="0"/>
        <w:autoSpaceDN w:val="0"/>
        <w:adjustRightInd w:val="0"/>
        <w:spacing w:line="360" w:lineRule="auto"/>
        <w:jc w:val="center"/>
        <w:rPr>
          <w:rFonts w:ascii="宋体" w:hAnsi="宋体"/>
          <w:b/>
          <w:bCs/>
          <w:color w:val="auto"/>
          <w:sz w:val="30"/>
          <w:szCs w:val="30"/>
          <w:highlight w:val="none"/>
          <w:lang w:val="zh-CN"/>
        </w:rPr>
      </w:pPr>
    </w:p>
    <w:p>
      <w:pPr>
        <w:autoSpaceDE w:val="0"/>
        <w:autoSpaceDN w:val="0"/>
        <w:adjustRightInd w:val="0"/>
        <w:spacing w:line="360" w:lineRule="auto"/>
        <w:jc w:val="center"/>
        <w:rPr>
          <w:rFonts w:ascii="宋体" w:hAnsi="宋体"/>
          <w:b/>
          <w:bCs/>
          <w:color w:val="auto"/>
          <w:sz w:val="30"/>
          <w:szCs w:val="30"/>
          <w:highlight w:val="none"/>
          <w:lang w:val="zh-CN"/>
        </w:rPr>
      </w:pPr>
      <w:r>
        <w:rPr>
          <w:rFonts w:ascii="宋体" w:hAnsi="宋体"/>
          <w:b/>
          <w:bCs/>
          <w:color w:val="auto"/>
          <w:sz w:val="30"/>
          <w:szCs w:val="30"/>
          <w:highlight w:val="none"/>
          <w:lang w:val="zh-CN"/>
        </w:rPr>
        <w:t>第二章</w:t>
      </w:r>
      <w:r>
        <w:rPr>
          <w:rFonts w:hint="eastAsia" w:ascii="宋体" w:hAnsi="宋体"/>
          <w:b/>
          <w:bCs/>
          <w:color w:val="auto"/>
          <w:sz w:val="30"/>
          <w:szCs w:val="30"/>
          <w:highlight w:val="none"/>
          <w:lang w:val="zh-CN"/>
        </w:rPr>
        <w:t xml:space="preserve"> </w:t>
      </w:r>
      <w:r>
        <w:rPr>
          <w:rFonts w:ascii="宋体" w:hAnsi="宋体"/>
          <w:b/>
          <w:bCs/>
          <w:color w:val="auto"/>
          <w:sz w:val="30"/>
          <w:szCs w:val="30"/>
          <w:highlight w:val="none"/>
          <w:lang w:val="zh-CN"/>
        </w:rPr>
        <w:t>投标须知</w:t>
      </w:r>
    </w:p>
    <w:p>
      <w:pPr>
        <w:widowControl/>
        <w:spacing w:line="420" w:lineRule="atLeast"/>
        <w:rPr>
          <w:rFonts w:ascii="宋体" w:hAnsi="宋体"/>
          <w:color w:val="auto"/>
          <w:sz w:val="24"/>
          <w:szCs w:val="21"/>
          <w:highlight w:val="none"/>
        </w:rPr>
      </w:pPr>
      <w:r>
        <w:rPr>
          <w:rFonts w:ascii="宋体" w:hAnsi="宋体"/>
          <w:color w:val="auto"/>
          <w:sz w:val="24"/>
          <w:szCs w:val="21"/>
          <w:highlight w:val="none"/>
        </w:rPr>
        <w:t>1、适用范围</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1.1 本招标文件仅适用于本次招标采购所叙述的服务项目。</w:t>
      </w:r>
    </w:p>
    <w:p>
      <w:pPr>
        <w:widowControl/>
        <w:spacing w:line="420" w:lineRule="atLeast"/>
        <w:rPr>
          <w:rFonts w:ascii="宋体" w:hAnsi="宋体"/>
          <w:color w:val="auto"/>
          <w:sz w:val="24"/>
          <w:szCs w:val="21"/>
          <w:highlight w:val="none"/>
        </w:rPr>
      </w:pPr>
      <w:r>
        <w:rPr>
          <w:rFonts w:ascii="宋体" w:hAnsi="宋体"/>
          <w:color w:val="auto"/>
          <w:sz w:val="24"/>
          <w:szCs w:val="21"/>
          <w:highlight w:val="none"/>
        </w:rPr>
        <w:t>2、定义</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2.1采购人：系指</w:t>
      </w:r>
      <w:r>
        <w:rPr>
          <w:rFonts w:hint="eastAsia" w:ascii="宋体" w:hAnsi="宋体"/>
          <w:color w:val="auto"/>
          <w:sz w:val="24"/>
          <w:szCs w:val="21"/>
          <w:highlight w:val="none"/>
        </w:rPr>
        <w:t>浙江大学</w:t>
      </w:r>
      <w:r>
        <w:rPr>
          <w:rFonts w:hint="eastAsia" w:ascii="宋体" w:hAnsi="宋体"/>
          <w:color w:val="auto"/>
          <w:sz w:val="24"/>
          <w:szCs w:val="21"/>
          <w:highlight w:val="none"/>
          <w:lang w:val="en-US" w:eastAsia="zh-CN"/>
        </w:rPr>
        <w:t>国际健康医学研究院</w:t>
      </w:r>
      <w:r>
        <w:rPr>
          <w:rFonts w:ascii="宋体" w:hAnsi="宋体"/>
          <w:color w:val="auto"/>
          <w:sz w:val="24"/>
          <w:szCs w:val="21"/>
          <w:highlight w:val="none"/>
        </w:rPr>
        <w:t>。</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2.2投标人：系指符合采购公告要求的投标供应商。</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2.3服务：系指招标文件规定投标人须承担的运输、技术支持、培训、维修保养及其它类似的服务。</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2.4货物：系指按招标文件规定投标人须向采购人提供的一切材料、设备、机械、仪器仪表、工具及其它有关技术资料和文字材料。</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2.5甲方：即采购人，在招投标阶段称为采购人，在签订和执行合同阶段称为甲方。</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2.6乙方：在招投标阶段称为投标人，中标后在签订和执行合同阶段称为乙方。</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2.7“原产地”是指货物开采、生长或生产、或提供有关服务的来源地。</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2.8“★”标记系指必须满足不能负偏离或必须应答的条款。</w:t>
      </w:r>
    </w:p>
    <w:p>
      <w:pPr>
        <w:widowControl/>
        <w:spacing w:line="420" w:lineRule="atLeast"/>
        <w:rPr>
          <w:rFonts w:ascii="宋体" w:hAnsi="宋体"/>
          <w:color w:val="auto"/>
          <w:sz w:val="24"/>
          <w:szCs w:val="21"/>
          <w:highlight w:val="none"/>
        </w:rPr>
      </w:pPr>
      <w:r>
        <w:rPr>
          <w:rFonts w:ascii="宋体" w:hAnsi="宋体"/>
          <w:color w:val="auto"/>
          <w:sz w:val="24"/>
          <w:szCs w:val="21"/>
          <w:highlight w:val="none"/>
        </w:rPr>
        <w:t>3、合格的投标人</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3.1具有独立法人资格。</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3.2法律、行政法规规定的其它条件。</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3.3 该行业国家规定必备的资质、资格。</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3.4采购公告中要求的条件。</w:t>
      </w:r>
    </w:p>
    <w:p>
      <w:pPr>
        <w:widowControl/>
        <w:spacing w:line="420" w:lineRule="atLeast"/>
        <w:rPr>
          <w:rFonts w:ascii="宋体" w:hAnsi="宋体"/>
          <w:color w:val="auto"/>
          <w:sz w:val="24"/>
          <w:szCs w:val="21"/>
          <w:highlight w:val="none"/>
        </w:rPr>
      </w:pPr>
      <w:r>
        <w:rPr>
          <w:rFonts w:ascii="宋体" w:hAnsi="宋体"/>
          <w:color w:val="auto"/>
          <w:sz w:val="24"/>
          <w:szCs w:val="21"/>
          <w:highlight w:val="none"/>
        </w:rPr>
        <w:t>4、保证</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4.1投标单位应保证所提交给招标机构和采购人的资料和数据是真实的。</w:t>
      </w:r>
    </w:p>
    <w:p>
      <w:pPr>
        <w:widowControl/>
        <w:spacing w:line="420" w:lineRule="atLeast"/>
        <w:rPr>
          <w:rFonts w:ascii="宋体" w:hAnsi="宋体"/>
          <w:color w:val="auto"/>
          <w:sz w:val="24"/>
          <w:szCs w:val="21"/>
          <w:highlight w:val="none"/>
        </w:rPr>
      </w:pPr>
      <w:r>
        <w:rPr>
          <w:rFonts w:ascii="宋体" w:hAnsi="宋体"/>
          <w:color w:val="auto"/>
          <w:sz w:val="24"/>
          <w:szCs w:val="21"/>
          <w:highlight w:val="none"/>
        </w:rPr>
        <w:t xml:space="preserve">5、现场勘察 </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5.1采购方不统一组织投标方前往项目实施场地踏勘，根据项目实际投标需求，投标方可自行前往项目实施场地进行现场探勘，以获取编制投标文件所需资料，如投标方因未现场踏勘原因导致投标文件出现错误或遗漏的，由投标方自行承担责任。</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 xml:space="preserve">5.2投标单位在考察过程中发生的各类事件及所发生的各项费用，均由投标单位自行承担。采购人和代理机构概不负责。 </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5.3采购人向投标单位提供的有关现场的数据和资料，是采购人现有的能被投标人利用的资料，采购人对投标人据此做出的任何推论、理解和结论不负责任。</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5.4现场踏勘完毕，将认为投标人己了解现场情况，并充分理解了为之所承担的风险、义务和责任。</w:t>
      </w:r>
    </w:p>
    <w:p>
      <w:pPr>
        <w:widowControl/>
        <w:spacing w:line="420" w:lineRule="atLeast"/>
        <w:rPr>
          <w:rFonts w:ascii="宋体" w:hAnsi="宋体"/>
          <w:color w:val="auto"/>
          <w:sz w:val="24"/>
          <w:szCs w:val="21"/>
          <w:highlight w:val="none"/>
        </w:rPr>
      </w:pPr>
      <w:r>
        <w:rPr>
          <w:rFonts w:ascii="宋体" w:hAnsi="宋体"/>
          <w:color w:val="auto"/>
          <w:sz w:val="24"/>
          <w:szCs w:val="21"/>
          <w:highlight w:val="none"/>
        </w:rPr>
        <w:t>6、联合体投标</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本项目不接受联合体投标。</w:t>
      </w:r>
    </w:p>
    <w:p>
      <w:pPr>
        <w:widowControl/>
        <w:spacing w:line="420" w:lineRule="atLeast"/>
        <w:rPr>
          <w:rFonts w:ascii="宋体" w:hAnsi="宋体"/>
          <w:color w:val="auto"/>
          <w:sz w:val="24"/>
          <w:szCs w:val="21"/>
          <w:highlight w:val="none"/>
        </w:rPr>
      </w:pPr>
      <w:r>
        <w:rPr>
          <w:rFonts w:ascii="宋体" w:hAnsi="宋体"/>
          <w:color w:val="auto"/>
          <w:sz w:val="24"/>
          <w:szCs w:val="21"/>
          <w:highlight w:val="none"/>
        </w:rPr>
        <w:t>7、投标人发生下列情况之一时，除严格依法依规进行处理外，还将通报市信用管理部门，列入严重失信名单：</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（1）投标人在规定的投标有效期内撤回投标或放弃中标的；</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（2）有意串标或提供虚假材料者的；</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（3）中标人在收到中标通知书后，因自身原因不能在投标有效期内和采购人签订合同。</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（4）中标人未在规定时间缴纳招标代理费的。</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（5）中标供应商在标后履约过程中未按合同约定的期限和要求履约的。</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（6）因中标供应商原因在标后履约过程中擅自终止合同的。</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（7）不符合招标文件要求的其他失信行为。</w:t>
      </w:r>
    </w:p>
    <w:p>
      <w:pPr>
        <w:spacing w:line="360" w:lineRule="auto"/>
        <w:rPr>
          <w:b/>
          <w:color w:val="auto"/>
          <w:sz w:val="36"/>
          <w:szCs w:val="36"/>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ind w:firstLine="321" w:firstLineChars="100"/>
        <w:jc w:val="center"/>
        <w:rPr>
          <w:rFonts w:ascii="宋体" w:hAnsi="宋体"/>
          <w:b/>
          <w:color w:val="auto"/>
          <w:sz w:val="32"/>
          <w:szCs w:val="32"/>
          <w:highlight w:val="none"/>
        </w:rPr>
      </w:pPr>
      <w:r>
        <w:rPr>
          <w:rFonts w:hint="eastAsia" w:ascii="宋体" w:hAnsi="宋体"/>
          <w:b/>
          <w:color w:val="auto"/>
          <w:sz w:val="32"/>
          <w:szCs w:val="32"/>
          <w:highlight w:val="none"/>
        </w:rPr>
        <w:t>第三章   项目概况及要求</w:t>
      </w:r>
    </w:p>
    <w:p>
      <w:pPr>
        <w:spacing w:line="360" w:lineRule="auto"/>
        <w:rPr>
          <w:rFonts w:ascii="宋体" w:hAnsi="宋体"/>
          <w:b/>
          <w:color w:val="auto"/>
          <w:sz w:val="24"/>
          <w:szCs w:val="24"/>
          <w:highlight w:val="none"/>
        </w:rPr>
      </w:pPr>
      <w:r>
        <w:rPr>
          <w:rFonts w:ascii="宋体" w:hAnsi="宋体"/>
          <w:b/>
          <w:color w:val="auto"/>
          <w:sz w:val="28"/>
          <w:szCs w:val="28"/>
          <w:highlight w:val="none"/>
        </w:rPr>
        <w:t>一</w:t>
      </w:r>
      <w:r>
        <w:rPr>
          <w:rFonts w:hint="eastAsia" w:ascii="宋体" w:hAnsi="宋体"/>
          <w:b/>
          <w:color w:val="auto"/>
          <w:sz w:val="28"/>
          <w:szCs w:val="28"/>
          <w:highlight w:val="none"/>
        </w:rPr>
        <w:t>、</w:t>
      </w:r>
      <w:r>
        <w:rPr>
          <w:rFonts w:ascii="宋体" w:hAnsi="宋体"/>
          <w:b/>
          <w:color w:val="auto"/>
          <w:sz w:val="28"/>
          <w:szCs w:val="28"/>
          <w:highlight w:val="none"/>
        </w:rPr>
        <w:t>项目概况</w:t>
      </w:r>
    </w:p>
    <w:p>
      <w:pPr>
        <w:spacing w:line="360" w:lineRule="auto"/>
        <w:ind w:firstLine="480" w:firstLineChars="200"/>
        <w:rPr>
          <w:rFonts w:hint="default" w:ascii="Times New Roman" w:hAnsi="Times New Roman" w:eastAsia="宋体" w:cs="Times New Roman"/>
          <w:b/>
          <w:color w:val="auto"/>
          <w:sz w:val="24"/>
          <w:szCs w:val="24"/>
          <w:highlight w:val="none"/>
          <w:lang w:val="en-US"/>
        </w:rPr>
      </w:pPr>
      <w:r>
        <w:rPr>
          <w:rFonts w:hint="default" w:ascii="Times New Roman" w:hAnsi="Times New Roman" w:eastAsia="宋体" w:cs="Times New Roman"/>
          <w:color w:val="auto"/>
          <w:sz w:val="24"/>
          <w:szCs w:val="24"/>
          <w:highlight w:val="none"/>
          <w:lang w:val="en-US" w:eastAsia="zh-CN"/>
        </w:rPr>
        <w:t>本次招标项目</w:t>
      </w:r>
      <w:r>
        <w:rPr>
          <w:rFonts w:hint="eastAsia" w:cs="Times New Roman"/>
          <w:color w:val="auto"/>
          <w:sz w:val="24"/>
          <w:szCs w:val="24"/>
          <w:highlight w:val="none"/>
          <w:lang w:val="en-US" w:eastAsia="zh-CN"/>
        </w:rPr>
        <w:t>共有会议平板5台，招标预算为10万。</w:t>
      </w:r>
    </w:p>
    <w:p>
      <w:pPr>
        <w:spacing w:line="360" w:lineRule="auto"/>
        <w:rPr>
          <w:rFonts w:ascii="宋体" w:hAnsi="宋体"/>
          <w:b/>
          <w:color w:val="auto"/>
          <w:sz w:val="28"/>
          <w:szCs w:val="28"/>
          <w:highlight w:val="none"/>
        </w:rPr>
      </w:pPr>
      <w:r>
        <w:rPr>
          <w:rFonts w:hint="eastAsia" w:ascii="宋体" w:hAnsi="宋体"/>
          <w:b/>
          <w:color w:val="auto"/>
          <w:sz w:val="28"/>
          <w:szCs w:val="28"/>
          <w:highlight w:val="none"/>
        </w:rPr>
        <w:t>二</w:t>
      </w:r>
      <w:r>
        <w:rPr>
          <w:rFonts w:ascii="宋体" w:hAnsi="宋体"/>
          <w:b/>
          <w:color w:val="auto"/>
          <w:sz w:val="28"/>
          <w:szCs w:val="28"/>
          <w:highlight w:val="none"/>
        </w:rPr>
        <w:t>、</w:t>
      </w:r>
      <w:r>
        <w:rPr>
          <w:rFonts w:hint="eastAsia" w:ascii="宋体" w:hAnsi="宋体"/>
          <w:b/>
          <w:color w:val="auto"/>
          <w:sz w:val="28"/>
          <w:szCs w:val="28"/>
          <w:highlight w:val="none"/>
          <w:lang w:val="en-US" w:eastAsia="zh-CN"/>
        </w:rPr>
        <w:t>技术</w:t>
      </w:r>
      <w:r>
        <w:rPr>
          <w:rFonts w:ascii="宋体" w:hAnsi="宋体"/>
          <w:b/>
          <w:color w:val="auto"/>
          <w:sz w:val="28"/>
          <w:szCs w:val="28"/>
          <w:highlight w:val="none"/>
        </w:rPr>
        <w:t>要求</w:t>
      </w:r>
    </w:p>
    <w:p>
      <w:pPr>
        <w:pStyle w:val="28"/>
        <w:widowControl/>
        <w:numPr>
          <w:ilvl w:val="0"/>
          <w:numId w:val="0"/>
        </w:numPr>
        <w:spacing w:line="360" w:lineRule="auto"/>
        <w:ind w:leftChars="0"/>
        <w:rPr>
          <w:rFonts w:hint="eastAsia" w:ascii="宋体" w:hAnsi="宋体" w:eastAsia="宋体" w:cs="宋体"/>
          <w:sz w:val="24"/>
          <w:szCs w:val="24"/>
          <w:lang w:eastAsia="zh-CN"/>
        </w:rPr>
      </w:pPr>
      <w:bookmarkStart w:id="0" w:name="_Hlk101350627"/>
      <w:r>
        <w:rPr>
          <w:rFonts w:hint="eastAsia" w:ascii="宋体" w:hAnsi="宋体" w:eastAsia="宋体" w:cs="宋体"/>
          <w:sz w:val="24"/>
          <w:szCs w:val="24"/>
          <w:lang w:val="en-US" w:eastAsia="zh-CN"/>
        </w:rPr>
        <w:t>1.</w:t>
      </w:r>
      <w:r>
        <w:rPr>
          <w:rFonts w:hint="eastAsia" w:ascii="宋体" w:hAnsi="宋体" w:eastAsia="宋体" w:cs="宋体"/>
          <w:sz w:val="24"/>
          <w:szCs w:val="24"/>
        </w:rPr>
        <w:t>86英寸（对角线）液晶面板</w:t>
      </w:r>
      <w:r>
        <w:rPr>
          <w:rFonts w:hint="eastAsia" w:ascii="宋体" w:hAnsi="宋体" w:eastAsia="宋体" w:cs="宋体"/>
          <w:sz w:val="24"/>
          <w:szCs w:val="24"/>
          <w:lang w:val="en-US" w:eastAsia="zh-CN"/>
        </w:rPr>
        <w:t>屏幕，</w:t>
      </w:r>
      <w:r>
        <w:rPr>
          <w:rFonts w:hint="eastAsia" w:ascii="宋体" w:hAnsi="宋体" w:eastAsia="宋体" w:cs="宋体"/>
          <w:sz w:val="24"/>
          <w:szCs w:val="24"/>
        </w:rPr>
        <w:t>整机一体化设计，外观简洁无任何可见内部功能模块连接线</w:t>
      </w:r>
      <w:r>
        <w:rPr>
          <w:rFonts w:hint="eastAsia" w:ascii="宋体" w:hAnsi="宋体" w:eastAsia="宋体" w:cs="宋体"/>
          <w:sz w:val="24"/>
          <w:szCs w:val="24"/>
          <w:lang w:eastAsia="zh-CN"/>
        </w:rPr>
        <w:t>；</w:t>
      </w:r>
    </w:p>
    <w:p>
      <w:pPr>
        <w:pStyle w:val="28"/>
        <w:widowControl/>
        <w:numPr>
          <w:ilvl w:val="0"/>
          <w:numId w:val="0"/>
        </w:numPr>
        <w:spacing w:line="360" w:lineRule="auto"/>
        <w:ind w:left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全金属外壳，弧形边角，表面无尖锐边缘或凸起</w:t>
      </w:r>
      <w:r>
        <w:rPr>
          <w:rFonts w:hint="eastAsia" w:ascii="宋体" w:hAnsi="宋体" w:eastAsia="宋体" w:cs="宋体"/>
          <w:sz w:val="24"/>
          <w:szCs w:val="24"/>
          <w:lang w:eastAsia="zh-CN"/>
        </w:rPr>
        <w:t>，</w:t>
      </w:r>
      <w:r>
        <w:rPr>
          <w:rFonts w:hint="eastAsia" w:ascii="宋体" w:hAnsi="宋体" w:eastAsia="宋体" w:cs="宋体"/>
          <w:sz w:val="24"/>
          <w:szCs w:val="24"/>
        </w:rPr>
        <w:t>屏幕边缘采用金属圆角包边防护，金属材质背板</w:t>
      </w:r>
      <w:r>
        <w:rPr>
          <w:rFonts w:hint="eastAsia" w:ascii="宋体" w:hAnsi="宋体" w:eastAsia="宋体" w:cs="宋体"/>
          <w:sz w:val="24"/>
          <w:szCs w:val="24"/>
          <w:lang w:eastAsia="zh-CN"/>
        </w:rPr>
        <w:t>；</w:t>
      </w:r>
    </w:p>
    <w:p>
      <w:pPr>
        <w:pStyle w:val="28"/>
        <w:widowControl/>
        <w:numPr>
          <w:ilvl w:val="0"/>
          <w:numId w:val="0"/>
        </w:numPr>
        <w:spacing w:line="360" w:lineRule="auto"/>
        <w:ind w:left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整机通过高低温工作及贮存检测，防火材料外壳，防潮耐盐雾蚀锈</w:t>
      </w:r>
      <w:r>
        <w:rPr>
          <w:rFonts w:hint="eastAsia" w:ascii="宋体" w:hAnsi="宋体" w:eastAsia="宋体" w:cs="宋体"/>
          <w:sz w:val="24"/>
          <w:szCs w:val="24"/>
          <w:lang w:eastAsia="zh-CN"/>
        </w:rPr>
        <w:t>；</w:t>
      </w:r>
    </w:p>
    <w:p>
      <w:pPr>
        <w:pStyle w:val="28"/>
        <w:widowControl/>
        <w:numPr>
          <w:ilvl w:val="0"/>
          <w:numId w:val="0"/>
        </w:numPr>
        <w:spacing w:line="360" w:lineRule="auto"/>
        <w:ind w:left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UHD超高清液晶屏，显示比例16:9，分辨率3840*2160，可视角度≥178°</w:t>
      </w:r>
      <w:r>
        <w:rPr>
          <w:rFonts w:hint="eastAsia" w:ascii="宋体" w:hAnsi="宋体" w:eastAsia="宋体" w:cs="宋体"/>
          <w:sz w:val="24"/>
          <w:szCs w:val="24"/>
          <w:lang w:eastAsia="zh-CN"/>
        </w:rPr>
        <w:t>；</w:t>
      </w:r>
    </w:p>
    <w:p>
      <w:pPr>
        <w:pStyle w:val="28"/>
        <w:widowControl/>
        <w:numPr>
          <w:ilvl w:val="0"/>
          <w:numId w:val="0"/>
        </w:numPr>
        <w:spacing w:line="360" w:lineRule="auto"/>
        <w:ind w:leftChars="0"/>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画面对比度及色彩还原真实，画面细节及Gamma无损失</w:t>
      </w:r>
      <w:r>
        <w:rPr>
          <w:rFonts w:hint="eastAsia" w:ascii="宋体" w:hAnsi="宋体" w:eastAsia="宋体" w:cs="宋体"/>
          <w:b/>
          <w:bCs/>
          <w:sz w:val="24"/>
          <w:szCs w:val="24"/>
        </w:rPr>
        <w:t>（提供</w:t>
      </w:r>
      <w:r>
        <w:rPr>
          <w:rFonts w:hint="eastAsia" w:ascii="宋体" w:hAnsi="宋体" w:eastAsia="宋体" w:cs="宋体"/>
          <w:b/>
          <w:bCs/>
          <w:sz w:val="24"/>
          <w:szCs w:val="24"/>
          <w:lang w:val="en-US" w:eastAsia="zh-CN"/>
        </w:rPr>
        <w:t>国家权威机构出具的相关证明材料</w:t>
      </w:r>
      <w:r>
        <w:rPr>
          <w:rFonts w:hint="eastAsia" w:ascii="宋体" w:hAnsi="宋体" w:eastAsia="宋体" w:cs="宋体"/>
          <w:b/>
          <w:bCs/>
          <w:sz w:val="24"/>
          <w:szCs w:val="24"/>
        </w:rPr>
        <w:t>）</w:t>
      </w:r>
      <w:r>
        <w:rPr>
          <w:rFonts w:hint="eastAsia" w:ascii="宋体" w:hAnsi="宋体" w:eastAsia="宋体" w:cs="宋体"/>
          <w:b/>
          <w:bCs/>
          <w:sz w:val="24"/>
          <w:szCs w:val="24"/>
          <w:lang w:eastAsia="zh-CN"/>
        </w:rPr>
        <w:t>；</w:t>
      </w:r>
    </w:p>
    <w:p>
      <w:pPr>
        <w:pStyle w:val="28"/>
        <w:widowControl/>
        <w:numPr>
          <w:ilvl w:val="0"/>
          <w:numId w:val="0"/>
        </w:numPr>
        <w:spacing w:line="360" w:lineRule="auto"/>
        <w:ind w:leftChars="0"/>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支持全通道4K高清显示</w:t>
      </w:r>
      <w:r>
        <w:rPr>
          <w:rFonts w:hint="eastAsia" w:ascii="宋体" w:hAnsi="宋体" w:eastAsia="宋体" w:cs="宋体"/>
          <w:sz w:val="24"/>
          <w:szCs w:val="24"/>
          <w:lang w:eastAsia="zh-CN"/>
        </w:rPr>
        <w:t>，</w:t>
      </w:r>
      <w:r>
        <w:rPr>
          <w:rFonts w:hint="eastAsia" w:ascii="宋体" w:hAnsi="宋体" w:eastAsia="宋体" w:cs="宋体"/>
          <w:sz w:val="24"/>
          <w:szCs w:val="24"/>
        </w:rPr>
        <w:t>全通道OSD菜单及内置系统均支持4K图像显示</w:t>
      </w:r>
      <w:r>
        <w:rPr>
          <w:rFonts w:hint="eastAsia" w:ascii="宋体" w:hAnsi="宋体" w:eastAsia="宋体" w:cs="宋体"/>
          <w:sz w:val="24"/>
          <w:szCs w:val="24"/>
          <w:lang w:eastAsia="zh-CN"/>
        </w:rPr>
        <w:t>；</w:t>
      </w:r>
    </w:p>
    <w:p>
      <w:pPr>
        <w:pStyle w:val="28"/>
        <w:widowControl/>
        <w:numPr>
          <w:ilvl w:val="0"/>
          <w:numId w:val="0"/>
        </w:numPr>
        <w:spacing w:line="360" w:lineRule="auto"/>
        <w:ind w:leftChars="0"/>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直流背光源，保证显示画面无频闪</w:t>
      </w:r>
      <w:r>
        <w:rPr>
          <w:rFonts w:hint="eastAsia" w:ascii="宋体" w:hAnsi="宋体" w:eastAsia="宋体" w:cs="宋体"/>
          <w:sz w:val="24"/>
          <w:szCs w:val="24"/>
          <w:lang w:eastAsia="zh-CN"/>
        </w:rPr>
        <w:t>；</w:t>
      </w:r>
    </w:p>
    <w:p>
      <w:pPr>
        <w:pStyle w:val="28"/>
        <w:widowControl/>
        <w:numPr>
          <w:ilvl w:val="0"/>
          <w:numId w:val="0"/>
        </w:numPr>
        <w:spacing w:line="360" w:lineRule="auto"/>
        <w:ind w:left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rPr>
        <w:t>屏幕灰度等级≥256级，NTSC色域覆盖率≥85%</w:t>
      </w:r>
      <w:r>
        <w:rPr>
          <w:rFonts w:hint="eastAsia" w:ascii="宋体" w:hAnsi="宋体" w:eastAsia="宋体" w:cs="宋体"/>
          <w:sz w:val="24"/>
          <w:szCs w:val="24"/>
          <w:lang w:eastAsia="zh-CN"/>
        </w:rPr>
        <w:t>；</w:t>
      </w:r>
    </w:p>
    <w:p>
      <w:pPr>
        <w:pStyle w:val="28"/>
        <w:widowControl/>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r>
        <w:rPr>
          <w:rFonts w:hint="eastAsia" w:ascii="宋体" w:hAnsi="宋体" w:eastAsia="宋体" w:cs="宋体"/>
          <w:sz w:val="24"/>
          <w:szCs w:val="24"/>
        </w:rPr>
        <w:t>最大屏幕亮度≥300cd/m²，使用时屏幕亮度</w:t>
      </w:r>
      <w:r>
        <w:rPr>
          <w:rFonts w:hint="eastAsia" w:ascii="宋体" w:hAnsi="宋体" w:eastAsia="宋体" w:cs="宋体"/>
          <w:sz w:val="24"/>
          <w:szCs w:val="24"/>
          <w:lang w:val="en-US" w:eastAsia="zh-CN"/>
        </w:rPr>
        <w:t>≤</w:t>
      </w:r>
      <w:r>
        <w:rPr>
          <w:rFonts w:hint="eastAsia" w:ascii="宋体" w:hAnsi="宋体" w:eastAsia="宋体" w:cs="宋体"/>
          <w:sz w:val="24"/>
          <w:szCs w:val="24"/>
        </w:rPr>
        <w:t>400cd/m²，符合GB</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40070-2021</w:t>
      </w:r>
      <w:r>
        <w:rPr>
          <w:rFonts w:hint="eastAsia" w:ascii="宋体" w:hAnsi="宋体" w:eastAsia="宋体" w:cs="宋体"/>
          <w:sz w:val="24"/>
          <w:szCs w:val="24"/>
          <w:lang w:val="en-US" w:eastAsia="zh-CN"/>
        </w:rPr>
        <w:t>要求；</w:t>
      </w:r>
    </w:p>
    <w:p>
      <w:pPr>
        <w:pStyle w:val="28"/>
        <w:widowControl/>
        <w:numPr>
          <w:ilvl w:val="0"/>
          <w:numId w:val="0"/>
        </w:numPr>
        <w:spacing w:line="360" w:lineRule="auto"/>
        <w:ind w:left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10.</w:t>
      </w:r>
      <w:r>
        <w:rPr>
          <w:rFonts w:hint="eastAsia" w:ascii="宋体" w:hAnsi="宋体" w:eastAsia="宋体" w:cs="宋体"/>
          <w:sz w:val="24"/>
          <w:szCs w:val="24"/>
        </w:rPr>
        <w:t>支持高色准，sRGB色彩△E≤1.5</w:t>
      </w:r>
      <w:r>
        <w:rPr>
          <w:rFonts w:hint="eastAsia" w:ascii="宋体" w:hAnsi="宋体" w:eastAsia="宋体" w:cs="宋体"/>
          <w:sz w:val="24"/>
          <w:szCs w:val="24"/>
          <w:lang w:eastAsia="zh-CN"/>
        </w:rPr>
        <w:t>；</w:t>
      </w:r>
    </w:p>
    <w:p>
      <w:pPr>
        <w:pStyle w:val="28"/>
        <w:widowControl/>
        <w:numPr>
          <w:ilvl w:val="0"/>
          <w:numId w:val="0"/>
        </w:numPr>
        <w:spacing w:line="360" w:lineRule="auto"/>
        <w:ind w:left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11.</w:t>
      </w:r>
      <w:r>
        <w:rPr>
          <w:rFonts w:hint="eastAsia" w:ascii="宋体" w:hAnsi="宋体" w:eastAsia="宋体" w:cs="宋体"/>
          <w:sz w:val="24"/>
          <w:szCs w:val="24"/>
        </w:rPr>
        <w:t>硬件低蓝光背光技术，蓝光占比（有害蓝光415</w:t>
      </w:r>
      <w:r>
        <w:rPr>
          <w:rFonts w:hint="eastAsia" w:ascii="宋体" w:hAnsi="宋体" w:eastAsia="宋体" w:cs="宋体"/>
          <w:sz w:val="24"/>
          <w:szCs w:val="24"/>
          <w:lang w:val="en-US" w:eastAsia="zh-CN"/>
        </w:rPr>
        <w:t>~</w:t>
      </w:r>
      <w:r>
        <w:rPr>
          <w:rFonts w:hint="eastAsia" w:ascii="宋体" w:hAnsi="宋体" w:eastAsia="宋体" w:cs="宋体"/>
          <w:sz w:val="24"/>
          <w:szCs w:val="24"/>
        </w:rPr>
        <w:t>455nm能量综合）/（整体蓝光400</w:t>
      </w:r>
      <w:r>
        <w:rPr>
          <w:rFonts w:hint="eastAsia" w:ascii="宋体" w:hAnsi="宋体" w:eastAsia="宋体" w:cs="宋体"/>
          <w:sz w:val="24"/>
          <w:szCs w:val="24"/>
          <w:lang w:val="en-US" w:eastAsia="zh-CN"/>
        </w:rPr>
        <w:t>~</w:t>
      </w:r>
      <w:r>
        <w:rPr>
          <w:rFonts w:hint="eastAsia" w:ascii="宋体" w:hAnsi="宋体" w:eastAsia="宋体" w:cs="宋体"/>
          <w:sz w:val="24"/>
          <w:szCs w:val="24"/>
        </w:rPr>
        <w:t>500能量综合）＜50%，低蓝光保护显示不偏色、不泛黄</w:t>
      </w:r>
      <w:r>
        <w:rPr>
          <w:rFonts w:hint="eastAsia" w:ascii="宋体" w:hAnsi="宋体" w:eastAsia="宋体" w:cs="宋体"/>
          <w:sz w:val="24"/>
          <w:szCs w:val="24"/>
          <w:lang w:eastAsia="zh-CN"/>
        </w:rPr>
        <w:t>；</w:t>
      </w:r>
    </w:p>
    <w:p>
      <w:pPr>
        <w:pStyle w:val="28"/>
        <w:widowControl/>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r>
        <w:rPr>
          <w:rFonts w:hint="eastAsia" w:ascii="宋体" w:hAnsi="宋体" w:eastAsia="宋体" w:cs="宋体"/>
          <w:sz w:val="24"/>
          <w:szCs w:val="24"/>
        </w:rPr>
        <w:t>视网膜蓝光危害（蓝光加权辐射亮度LB）满足IEC TR 62778:2014蓝光危害RG0级别</w:t>
      </w:r>
      <w:r>
        <w:rPr>
          <w:rFonts w:hint="eastAsia" w:ascii="宋体" w:hAnsi="宋体" w:eastAsia="宋体" w:cs="宋体"/>
          <w:sz w:val="24"/>
          <w:szCs w:val="24"/>
          <w:lang w:val="en-US" w:eastAsia="zh-CN"/>
        </w:rPr>
        <w:t>要求；</w:t>
      </w:r>
    </w:p>
    <w:p>
      <w:pPr>
        <w:pStyle w:val="28"/>
        <w:widowControl/>
        <w:numPr>
          <w:ilvl w:val="0"/>
          <w:numId w:val="0"/>
        </w:numPr>
        <w:spacing w:line="360" w:lineRule="auto"/>
        <w:ind w:left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13.</w:t>
      </w:r>
      <w:r>
        <w:rPr>
          <w:rFonts w:hint="eastAsia" w:ascii="宋体" w:hAnsi="宋体" w:eastAsia="宋体" w:cs="宋体"/>
          <w:sz w:val="24"/>
          <w:szCs w:val="24"/>
        </w:rPr>
        <w:t>支持标准、护眼、HDR、节能、自定义等图像模式，自定义模式可自定义亮度、对比度、饱和度、色温等</w:t>
      </w:r>
      <w:r>
        <w:rPr>
          <w:rFonts w:hint="eastAsia" w:ascii="宋体" w:hAnsi="宋体" w:eastAsia="宋体" w:cs="宋体"/>
          <w:sz w:val="24"/>
          <w:szCs w:val="24"/>
          <w:lang w:eastAsia="zh-CN"/>
        </w:rPr>
        <w:t>；</w:t>
      </w:r>
    </w:p>
    <w:p>
      <w:pPr>
        <w:pStyle w:val="28"/>
        <w:widowControl/>
        <w:numPr>
          <w:ilvl w:val="0"/>
          <w:numId w:val="0"/>
        </w:numPr>
        <w:spacing w:line="36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14.具有</w:t>
      </w:r>
      <w:r>
        <w:rPr>
          <w:rFonts w:hint="eastAsia" w:ascii="宋体" w:hAnsi="宋体" w:eastAsia="宋体" w:cs="宋体"/>
          <w:sz w:val="24"/>
          <w:szCs w:val="24"/>
        </w:rPr>
        <w:t>自动光感功能</w:t>
      </w:r>
      <w:r>
        <w:rPr>
          <w:rFonts w:hint="eastAsia" w:ascii="宋体" w:hAnsi="宋体" w:eastAsia="宋体" w:cs="宋体"/>
          <w:sz w:val="24"/>
          <w:szCs w:val="24"/>
          <w:lang w:eastAsia="zh-CN"/>
        </w:rPr>
        <w:t>（</w:t>
      </w:r>
      <w:r>
        <w:rPr>
          <w:rFonts w:hint="eastAsia" w:ascii="宋体" w:hAnsi="宋体" w:eastAsia="宋体" w:cs="宋体"/>
          <w:sz w:val="24"/>
          <w:szCs w:val="24"/>
        </w:rPr>
        <w:t>可设置开启或关闭</w:t>
      </w:r>
      <w:r>
        <w:rPr>
          <w:rFonts w:hint="eastAsia" w:ascii="宋体" w:hAnsi="宋体" w:eastAsia="宋体" w:cs="宋体"/>
          <w:sz w:val="24"/>
          <w:szCs w:val="24"/>
          <w:lang w:eastAsia="zh-CN"/>
        </w:rPr>
        <w:t>）</w:t>
      </w:r>
      <w:r>
        <w:rPr>
          <w:rFonts w:hint="eastAsia" w:ascii="宋体" w:hAnsi="宋体" w:eastAsia="宋体" w:cs="宋体"/>
          <w:sz w:val="24"/>
          <w:szCs w:val="24"/>
        </w:rPr>
        <w:t>，能感应并自动调节屏幕亮度</w:t>
      </w:r>
      <w:r>
        <w:rPr>
          <w:rFonts w:hint="eastAsia" w:ascii="宋体" w:hAnsi="宋体" w:eastAsia="宋体" w:cs="宋体"/>
          <w:sz w:val="24"/>
          <w:szCs w:val="24"/>
          <w:lang w:eastAsia="zh-CN"/>
        </w:rPr>
        <w:t>；</w:t>
      </w:r>
    </w:p>
    <w:p>
      <w:pPr>
        <w:pStyle w:val="28"/>
        <w:widowControl/>
        <w:numPr>
          <w:ilvl w:val="0"/>
          <w:numId w:val="0"/>
        </w:numPr>
        <w:spacing w:line="360" w:lineRule="auto"/>
        <w:ind w:leftChars="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15.</w:t>
      </w:r>
      <w:r>
        <w:rPr>
          <w:rFonts w:hint="eastAsia" w:ascii="宋体" w:hAnsi="宋体" w:eastAsia="宋体" w:cs="宋体"/>
          <w:sz w:val="24"/>
          <w:szCs w:val="24"/>
        </w:rPr>
        <w:t>屏幕结合光感调节，屏幕亮度与环境亮度匹配曲线合理</w:t>
      </w:r>
      <w:r>
        <w:rPr>
          <w:rFonts w:hint="eastAsia" w:ascii="宋体" w:hAnsi="宋体" w:eastAsia="宋体" w:cs="宋体"/>
          <w:b/>
          <w:bCs/>
          <w:sz w:val="24"/>
          <w:szCs w:val="24"/>
        </w:rPr>
        <w:t>（提供国家权威机构出具的相关证明材料）；</w:t>
      </w:r>
    </w:p>
    <w:p>
      <w:pPr>
        <w:pStyle w:val="28"/>
        <w:widowControl/>
        <w:numPr>
          <w:ilvl w:val="0"/>
          <w:numId w:val="0"/>
        </w:numPr>
        <w:spacing w:line="360" w:lineRule="auto"/>
        <w:ind w:left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16.具有</w:t>
      </w:r>
      <w:r>
        <w:rPr>
          <w:rFonts w:hint="eastAsia" w:ascii="宋体" w:hAnsi="宋体" w:eastAsia="宋体" w:cs="宋体"/>
          <w:sz w:val="24"/>
          <w:szCs w:val="24"/>
        </w:rPr>
        <w:t>多种智能护眼功能，可通过两侧触控按键及前置物理按键进行护眼模式切换，护眼模式下显示画面更加柔和</w:t>
      </w:r>
      <w:r>
        <w:rPr>
          <w:rFonts w:hint="eastAsia" w:ascii="宋体" w:hAnsi="宋体" w:eastAsia="宋体" w:cs="宋体"/>
          <w:sz w:val="24"/>
          <w:szCs w:val="24"/>
          <w:lang w:eastAsia="zh-CN"/>
        </w:rPr>
        <w:t>；</w:t>
      </w:r>
    </w:p>
    <w:p>
      <w:pPr>
        <w:pStyle w:val="28"/>
        <w:widowControl/>
        <w:numPr>
          <w:ilvl w:val="0"/>
          <w:numId w:val="0"/>
        </w:numPr>
        <w:spacing w:line="360" w:lineRule="auto"/>
        <w:ind w:leftChars="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17.</w:t>
      </w:r>
      <w:r>
        <w:rPr>
          <w:rFonts w:hint="eastAsia" w:ascii="宋体" w:hAnsi="宋体" w:eastAsia="宋体" w:cs="宋体"/>
          <w:sz w:val="24"/>
          <w:szCs w:val="24"/>
        </w:rPr>
        <w:t>通过由中国标准化研究院制定的视觉舒适度（VICO）评价体系测试并达到视觉舒适度A+级或以上标准</w:t>
      </w:r>
      <w:r>
        <w:rPr>
          <w:rFonts w:hint="eastAsia" w:ascii="宋体" w:hAnsi="宋体" w:eastAsia="宋体" w:cs="宋体"/>
          <w:b/>
          <w:bCs/>
          <w:sz w:val="24"/>
          <w:szCs w:val="24"/>
        </w:rPr>
        <w:t>（提供国家权威机构出具的相关证明材料）；</w:t>
      </w:r>
    </w:p>
    <w:p>
      <w:pPr>
        <w:pStyle w:val="28"/>
        <w:widowControl/>
        <w:numPr>
          <w:ilvl w:val="0"/>
          <w:numId w:val="0"/>
        </w:numPr>
        <w:spacing w:line="360" w:lineRule="auto"/>
        <w:ind w:left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18.</w:t>
      </w:r>
      <w:r>
        <w:rPr>
          <w:rFonts w:hint="eastAsia" w:ascii="宋体" w:hAnsi="宋体" w:eastAsia="宋体" w:cs="宋体"/>
          <w:sz w:val="24"/>
          <w:szCs w:val="24"/>
        </w:rPr>
        <w:t>全通道在书写或触控屏幕时亮度自动降低</w:t>
      </w:r>
      <w:r>
        <w:rPr>
          <w:rFonts w:hint="eastAsia" w:ascii="宋体" w:hAnsi="宋体" w:eastAsia="宋体" w:cs="宋体"/>
          <w:sz w:val="24"/>
          <w:szCs w:val="24"/>
          <w:lang w:eastAsia="zh-CN"/>
        </w:rPr>
        <w:t>，</w:t>
      </w:r>
      <w:r>
        <w:rPr>
          <w:rFonts w:hint="eastAsia" w:ascii="宋体" w:hAnsi="宋体" w:eastAsia="宋体" w:cs="宋体"/>
          <w:sz w:val="24"/>
          <w:szCs w:val="24"/>
        </w:rPr>
        <w:t>触控或书写完成后亮度增加</w:t>
      </w:r>
      <w:r>
        <w:rPr>
          <w:rFonts w:hint="eastAsia" w:ascii="宋体" w:hAnsi="宋体" w:eastAsia="宋体" w:cs="宋体"/>
          <w:sz w:val="24"/>
          <w:szCs w:val="24"/>
          <w:lang w:eastAsia="zh-CN"/>
        </w:rPr>
        <w:t>；</w:t>
      </w:r>
    </w:p>
    <w:p>
      <w:pPr>
        <w:pStyle w:val="28"/>
        <w:widowControl/>
        <w:numPr>
          <w:ilvl w:val="0"/>
          <w:numId w:val="0"/>
        </w:numPr>
        <w:spacing w:line="360" w:lineRule="auto"/>
        <w:ind w:leftChars="0"/>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19.</w:t>
      </w:r>
      <w:r>
        <w:rPr>
          <w:rFonts w:hint="eastAsia" w:ascii="宋体" w:hAnsi="宋体" w:eastAsia="宋体" w:cs="宋体"/>
          <w:sz w:val="24"/>
          <w:szCs w:val="24"/>
        </w:rPr>
        <w:t>支持纸质护眼模式，可在任意通道任意画面任意软件所有显示内容下实现画面纹理的实时调整；支持纸质纹理：牛皮纸、素描纸、水彩纸、水纹纸、宣纸；支持透明度调节；支持色温调节</w:t>
      </w:r>
      <w:r>
        <w:rPr>
          <w:rFonts w:hint="eastAsia" w:ascii="宋体" w:hAnsi="宋体" w:eastAsia="宋体" w:cs="宋体"/>
          <w:sz w:val="24"/>
          <w:szCs w:val="24"/>
          <w:lang w:eastAsia="zh-CN"/>
        </w:rPr>
        <w:t>；</w:t>
      </w:r>
    </w:p>
    <w:p>
      <w:pPr>
        <w:pStyle w:val="28"/>
        <w:widowControl/>
        <w:numPr>
          <w:ilvl w:val="0"/>
          <w:numId w:val="0"/>
        </w:numPr>
        <w:spacing w:line="360" w:lineRule="auto"/>
        <w:ind w:left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20.</w:t>
      </w:r>
      <w:r>
        <w:rPr>
          <w:rFonts w:hint="eastAsia" w:ascii="宋体" w:hAnsi="宋体" w:eastAsia="宋体" w:cs="宋体"/>
          <w:sz w:val="24"/>
          <w:szCs w:val="24"/>
        </w:rPr>
        <w:t>纸质护眼模式下显示画面各像素点灰度不规则</w:t>
      </w:r>
      <w:r>
        <w:rPr>
          <w:rFonts w:hint="eastAsia" w:ascii="宋体" w:hAnsi="宋体" w:eastAsia="宋体" w:cs="宋体"/>
          <w:sz w:val="24"/>
          <w:szCs w:val="24"/>
          <w:lang w:eastAsia="zh-CN"/>
        </w:rPr>
        <w:t>；</w:t>
      </w:r>
    </w:p>
    <w:p>
      <w:pPr>
        <w:pStyle w:val="28"/>
        <w:widowControl/>
        <w:numPr>
          <w:ilvl w:val="0"/>
          <w:numId w:val="0"/>
        </w:numPr>
        <w:spacing w:line="360" w:lineRule="auto"/>
        <w:ind w:left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21.</w:t>
      </w:r>
      <w:r>
        <w:rPr>
          <w:rFonts w:hint="eastAsia" w:ascii="宋体" w:hAnsi="宋体" w:eastAsia="宋体" w:cs="宋体"/>
          <w:sz w:val="24"/>
          <w:szCs w:val="24"/>
        </w:rPr>
        <w:t>整机采用全物理钢化玻璃，钢化玻璃表面硬度≥9H</w:t>
      </w:r>
      <w:r>
        <w:rPr>
          <w:rFonts w:hint="eastAsia" w:ascii="宋体" w:hAnsi="宋体" w:eastAsia="宋体" w:cs="宋体"/>
          <w:sz w:val="24"/>
          <w:szCs w:val="24"/>
          <w:lang w:eastAsia="zh-CN"/>
        </w:rPr>
        <w:t>；</w:t>
      </w:r>
    </w:p>
    <w:p>
      <w:pPr>
        <w:pStyle w:val="28"/>
        <w:widowControl/>
        <w:numPr>
          <w:ilvl w:val="0"/>
          <w:numId w:val="0"/>
        </w:numPr>
        <w:spacing w:line="360" w:lineRule="auto"/>
        <w:ind w:left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22.</w:t>
      </w:r>
      <w:r>
        <w:rPr>
          <w:rFonts w:hint="eastAsia" w:ascii="宋体" w:hAnsi="宋体" w:eastAsia="宋体" w:cs="宋体"/>
          <w:sz w:val="24"/>
          <w:szCs w:val="24"/>
        </w:rPr>
        <w:t>屏幕采用零贴合工艺</w:t>
      </w:r>
      <w:r>
        <w:rPr>
          <w:rFonts w:hint="eastAsia" w:ascii="宋体" w:hAnsi="宋体" w:eastAsia="宋体" w:cs="宋体"/>
          <w:sz w:val="24"/>
          <w:szCs w:val="24"/>
          <w:lang w:eastAsia="zh-CN"/>
        </w:rPr>
        <w:t>；</w:t>
      </w:r>
    </w:p>
    <w:p>
      <w:pPr>
        <w:pStyle w:val="28"/>
        <w:widowControl/>
        <w:numPr>
          <w:ilvl w:val="0"/>
          <w:numId w:val="0"/>
        </w:numPr>
        <w:spacing w:line="360" w:lineRule="auto"/>
        <w:ind w:left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23.</w:t>
      </w:r>
      <w:r>
        <w:rPr>
          <w:rFonts w:hint="eastAsia" w:ascii="宋体" w:hAnsi="宋体" w:eastAsia="宋体" w:cs="宋体"/>
          <w:sz w:val="24"/>
          <w:szCs w:val="24"/>
        </w:rPr>
        <w:t>耐磨玻璃材质书写面板，长期使用情况下面板磨损导致的雾度</w:t>
      </w:r>
      <w:r>
        <w:rPr>
          <w:rFonts w:hint="eastAsia" w:ascii="宋体" w:hAnsi="宋体" w:eastAsia="宋体" w:cs="宋体"/>
          <w:sz w:val="24"/>
          <w:szCs w:val="24"/>
          <w:lang w:val="en-US" w:eastAsia="zh-CN"/>
        </w:rPr>
        <w:t>≤</w:t>
      </w:r>
      <w:r>
        <w:rPr>
          <w:rFonts w:hint="eastAsia" w:ascii="宋体" w:hAnsi="宋体" w:eastAsia="宋体" w:cs="宋体"/>
          <w:sz w:val="24"/>
          <w:szCs w:val="24"/>
        </w:rPr>
        <w:t>1%</w:t>
      </w:r>
      <w:r>
        <w:rPr>
          <w:rFonts w:hint="eastAsia" w:ascii="宋体" w:hAnsi="宋体" w:eastAsia="宋体" w:cs="宋体"/>
          <w:sz w:val="24"/>
          <w:szCs w:val="24"/>
          <w:lang w:eastAsia="zh-CN"/>
        </w:rPr>
        <w:t>；</w:t>
      </w:r>
    </w:p>
    <w:p>
      <w:pPr>
        <w:pStyle w:val="28"/>
        <w:widowControl/>
        <w:numPr>
          <w:ilvl w:val="0"/>
          <w:numId w:val="0"/>
        </w:numPr>
        <w:spacing w:line="360" w:lineRule="auto"/>
        <w:ind w:leftChars="0"/>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24.</w:t>
      </w:r>
      <w:r>
        <w:rPr>
          <w:rFonts w:hint="eastAsia" w:ascii="宋体" w:hAnsi="宋体" w:eastAsia="宋体" w:cs="宋体"/>
          <w:sz w:val="24"/>
          <w:szCs w:val="24"/>
        </w:rPr>
        <w:t>表面采用全物理防眩光钢化玻璃，低反射防眩光技术</w:t>
      </w:r>
      <w:r>
        <w:rPr>
          <w:rFonts w:hint="eastAsia" w:ascii="宋体" w:hAnsi="宋体" w:eastAsia="宋体" w:cs="宋体"/>
          <w:sz w:val="24"/>
          <w:szCs w:val="24"/>
          <w:lang w:eastAsia="zh-CN"/>
        </w:rPr>
        <w:t>；</w:t>
      </w:r>
    </w:p>
    <w:p>
      <w:pPr>
        <w:pStyle w:val="28"/>
        <w:widowControl/>
        <w:numPr>
          <w:ilvl w:val="0"/>
          <w:numId w:val="0"/>
        </w:numPr>
        <w:spacing w:line="36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25.</w:t>
      </w:r>
      <w:r>
        <w:rPr>
          <w:rFonts w:hint="eastAsia" w:ascii="宋体" w:hAnsi="宋体" w:eastAsia="宋体" w:cs="宋体"/>
          <w:sz w:val="24"/>
          <w:szCs w:val="24"/>
        </w:rPr>
        <w:t>整机表面覆盖玻璃选用国标优等品，光学变形、点状缺陷、尺寸偏差、弯曲度、透射比等均符合GB</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11614-2009</w:t>
      </w:r>
      <w:r>
        <w:rPr>
          <w:rFonts w:hint="eastAsia" w:ascii="宋体" w:hAnsi="宋体" w:eastAsia="宋体" w:cs="宋体"/>
          <w:sz w:val="24"/>
          <w:szCs w:val="24"/>
          <w:lang w:val="en-US" w:eastAsia="zh-CN"/>
        </w:rPr>
        <w:t>要求；</w:t>
      </w:r>
    </w:p>
    <w:p>
      <w:pPr>
        <w:pStyle w:val="28"/>
        <w:widowControl/>
        <w:numPr>
          <w:ilvl w:val="0"/>
          <w:numId w:val="0"/>
        </w:numPr>
        <w:spacing w:line="360" w:lineRule="auto"/>
        <w:ind w:left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26.</w:t>
      </w:r>
      <w:r>
        <w:rPr>
          <w:rFonts w:hint="eastAsia" w:ascii="宋体" w:hAnsi="宋体" w:eastAsia="宋体" w:cs="宋体"/>
          <w:sz w:val="24"/>
          <w:szCs w:val="24"/>
        </w:rPr>
        <w:t>书写面板采用防眩光全钢化防爆玻璃面板，面板碎片状态、表面应力、抗冲击性、霰弹袋冲击性能、耐热冲击性能均通过国家强制玻璃标准</w:t>
      </w:r>
      <w:r>
        <w:rPr>
          <w:rFonts w:hint="eastAsia" w:ascii="宋体" w:hAnsi="宋体" w:eastAsia="宋体" w:cs="宋体"/>
          <w:sz w:val="24"/>
          <w:szCs w:val="24"/>
          <w:lang w:eastAsia="zh-CN"/>
        </w:rPr>
        <w:t>；</w:t>
      </w:r>
    </w:p>
    <w:p>
      <w:pPr>
        <w:pStyle w:val="28"/>
        <w:widowControl/>
        <w:numPr>
          <w:ilvl w:val="0"/>
          <w:numId w:val="0"/>
        </w:numPr>
        <w:spacing w:line="360" w:lineRule="auto"/>
        <w:ind w:left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27.</w:t>
      </w:r>
      <w:r>
        <w:rPr>
          <w:rFonts w:hint="eastAsia" w:ascii="宋体" w:hAnsi="宋体" w:eastAsia="宋体" w:cs="宋体"/>
          <w:sz w:val="24"/>
          <w:szCs w:val="24"/>
        </w:rPr>
        <w:t>整机机身防盐雾锈蚀且满足GB</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4943.1-2011中的防火要求</w:t>
      </w:r>
      <w:r>
        <w:rPr>
          <w:rFonts w:hint="eastAsia" w:ascii="宋体" w:hAnsi="宋体" w:eastAsia="宋体" w:cs="宋体"/>
          <w:sz w:val="24"/>
          <w:szCs w:val="24"/>
          <w:lang w:eastAsia="zh-CN"/>
        </w:rPr>
        <w:t>；</w:t>
      </w:r>
    </w:p>
    <w:p>
      <w:pPr>
        <w:pStyle w:val="28"/>
        <w:widowControl/>
        <w:numPr>
          <w:ilvl w:val="0"/>
          <w:numId w:val="0"/>
        </w:numPr>
        <w:spacing w:line="360" w:lineRule="auto"/>
        <w:ind w:left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28.</w:t>
      </w:r>
      <w:r>
        <w:rPr>
          <w:rFonts w:hint="eastAsia" w:ascii="宋体" w:hAnsi="宋体" w:eastAsia="宋体" w:cs="宋体"/>
          <w:sz w:val="24"/>
          <w:szCs w:val="24"/>
        </w:rPr>
        <w:t>整机具备抗振动、防跌落特性，保证整机运输或使用过程中不易受损</w:t>
      </w:r>
      <w:r>
        <w:rPr>
          <w:rFonts w:hint="eastAsia" w:ascii="宋体" w:hAnsi="宋体" w:eastAsia="宋体" w:cs="宋体"/>
          <w:sz w:val="24"/>
          <w:szCs w:val="24"/>
          <w:lang w:eastAsia="zh-CN"/>
        </w:rPr>
        <w:t>；</w:t>
      </w:r>
    </w:p>
    <w:p>
      <w:pPr>
        <w:pStyle w:val="28"/>
        <w:widowControl/>
        <w:numPr>
          <w:ilvl w:val="0"/>
          <w:numId w:val="0"/>
        </w:numPr>
        <w:spacing w:line="360" w:lineRule="auto"/>
        <w:ind w:left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29.</w:t>
      </w:r>
      <w:r>
        <w:rPr>
          <w:rFonts w:hint="eastAsia" w:ascii="宋体" w:hAnsi="宋体" w:eastAsia="宋体" w:cs="宋体"/>
          <w:sz w:val="24"/>
          <w:szCs w:val="24"/>
        </w:rPr>
        <w:t>整机在0</w:t>
      </w:r>
      <w:r>
        <w:rPr>
          <w:rFonts w:hint="eastAsia" w:ascii="宋体" w:hAnsi="宋体" w:eastAsia="宋体" w:cs="宋体"/>
          <w:sz w:val="24"/>
          <w:szCs w:val="24"/>
          <w:lang w:val="en-US" w:eastAsia="zh-CN"/>
        </w:rPr>
        <w:t>~</w:t>
      </w:r>
      <w:r>
        <w:rPr>
          <w:rFonts w:hint="eastAsia" w:ascii="宋体" w:hAnsi="宋体" w:eastAsia="宋体" w:cs="宋体"/>
          <w:sz w:val="24"/>
          <w:szCs w:val="24"/>
        </w:rPr>
        <w:t>40℃环境下可正常工作，在-20℃</w:t>
      </w:r>
      <w:r>
        <w:rPr>
          <w:rFonts w:hint="eastAsia" w:ascii="宋体" w:hAnsi="宋体" w:eastAsia="宋体" w:cs="宋体"/>
          <w:sz w:val="24"/>
          <w:szCs w:val="24"/>
          <w:lang w:val="en-US" w:eastAsia="zh-CN"/>
        </w:rPr>
        <w:t>~</w:t>
      </w:r>
      <w:r>
        <w:rPr>
          <w:rFonts w:hint="eastAsia" w:ascii="宋体" w:hAnsi="宋体" w:eastAsia="宋体" w:cs="宋体"/>
          <w:sz w:val="24"/>
          <w:szCs w:val="24"/>
        </w:rPr>
        <w:t>60℃环境下可正常贮存且贮存后功能无损</w:t>
      </w:r>
      <w:r>
        <w:rPr>
          <w:rFonts w:hint="eastAsia" w:ascii="宋体" w:hAnsi="宋体" w:eastAsia="宋体" w:cs="宋体"/>
          <w:sz w:val="24"/>
          <w:szCs w:val="24"/>
          <w:lang w:eastAsia="zh-CN"/>
        </w:rPr>
        <w:t>；</w:t>
      </w:r>
    </w:p>
    <w:p>
      <w:pPr>
        <w:pStyle w:val="28"/>
        <w:widowControl/>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w:t>
      </w:r>
      <w:r>
        <w:rPr>
          <w:rFonts w:hint="eastAsia" w:ascii="宋体" w:hAnsi="宋体" w:eastAsia="宋体" w:cs="宋体"/>
          <w:sz w:val="24"/>
          <w:szCs w:val="24"/>
        </w:rPr>
        <w:t>整机浪涌（冲击）抗扰度满足GB/T 17626.5-2019</w:t>
      </w:r>
      <w:r>
        <w:rPr>
          <w:rFonts w:hint="eastAsia" w:ascii="宋体" w:hAnsi="宋体" w:eastAsia="宋体" w:cs="宋体"/>
          <w:sz w:val="24"/>
          <w:szCs w:val="24"/>
          <w:lang w:val="en-US" w:eastAsia="zh-CN"/>
        </w:rPr>
        <w:t>要求</w:t>
      </w:r>
      <w:r>
        <w:rPr>
          <w:rFonts w:hint="eastAsia" w:ascii="宋体" w:hAnsi="宋体" w:eastAsia="宋体" w:cs="宋体"/>
          <w:sz w:val="24"/>
          <w:szCs w:val="24"/>
        </w:rPr>
        <w:t>，电快速瞬变脉冲群抗扰度试验满足GB/T 17626.4-2018</w:t>
      </w:r>
      <w:r>
        <w:rPr>
          <w:rFonts w:hint="eastAsia" w:ascii="宋体" w:hAnsi="宋体" w:eastAsia="宋体" w:cs="宋体"/>
          <w:sz w:val="24"/>
          <w:szCs w:val="24"/>
          <w:lang w:val="en-US" w:eastAsia="zh-CN"/>
        </w:rPr>
        <w:t>要求；</w:t>
      </w:r>
    </w:p>
    <w:p>
      <w:pPr>
        <w:pStyle w:val="28"/>
        <w:widowControl/>
        <w:numPr>
          <w:ilvl w:val="0"/>
          <w:numId w:val="0"/>
        </w:numPr>
        <w:spacing w:line="360" w:lineRule="auto"/>
        <w:ind w:left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31.</w:t>
      </w:r>
      <w:r>
        <w:rPr>
          <w:rFonts w:hint="eastAsia" w:ascii="宋体" w:hAnsi="宋体" w:eastAsia="宋体" w:cs="宋体"/>
          <w:sz w:val="24"/>
          <w:szCs w:val="24"/>
        </w:rPr>
        <w:t>整机电磁干扰ITE达到GB/T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9254-2008 Class B等级要求</w:t>
      </w:r>
      <w:r>
        <w:rPr>
          <w:rFonts w:hint="eastAsia" w:ascii="宋体" w:hAnsi="宋体" w:eastAsia="宋体" w:cs="宋体"/>
          <w:sz w:val="24"/>
          <w:szCs w:val="24"/>
          <w:lang w:eastAsia="zh-CN"/>
        </w:rPr>
        <w:t>；</w:t>
      </w:r>
    </w:p>
    <w:p>
      <w:pPr>
        <w:pStyle w:val="28"/>
        <w:widowControl/>
        <w:numPr>
          <w:ilvl w:val="0"/>
          <w:numId w:val="0"/>
        </w:numPr>
        <w:spacing w:line="360" w:lineRule="auto"/>
        <w:ind w:left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w:t>
      </w:r>
      <w:r>
        <w:rPr>
          <w:rFonts w:hint="eastAsia" w:ascii="宋体" w:hAnsi="宋体" w:eastAsia="宋体" w:cs="宋体"/>
          <w:color w:val="000000" w:themeColor="text1"/>
          <w:sz w:val="24"/>
          <w:szCs w:val="24"/>
          <w14:textFill>
            <w14:solidFill>
              <w14:schemeClr w14:val="tx1"/>
            </w14:solidFill>
          </w14:textFill>
        </w:rPr>
        <w:t>整机具备</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6个前置物理按键，包括三合一电源按键</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设置、音量加、音量减、录屏、护眼</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其中含2个可自定义功能按键</w:t>
      </w:r>
      <w:r>
        <w:rPr>
          <w:rFonts w:hint="eastAsia" w:ascii="宋体" w:hAnsi="宋体" w:eastAsia="宋体" w:cs="宋体"/>
          <w:color w:val="000000" w:themeColor="text1"/>
          <w:sz w:val="24"/>
          <w:szCs w:val="24"/>
          <w:lang w:eastAsia="zh-CN"/>
          <w14:textFill>
            <w14:solidFill>
              <w14:schemeClr w14:val="tx1"/>
            </w14:solidFill>
          </w14:textFill>
        </w:rPr>
        <w:t>；</w:t>
      </w:r>
    </w:p>
    <w:p>
      <w:pPr>
        <w:pStyle w:val="28"/>
        <w:widowControl/>
        <w:numPr>
          <w:ilvl w:val="0"/>
          <w:numId w:val="0"/>
        </w:numPr>
        <w:spacing w:line="360" w:lineRule="auto"/>
        <w:ind w:left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z w:val="24"/>
          <w:szCs w:val="24"/>
        </w:rPr>
        <w:t>★</w:t>
      </w:r>
      <w:r>
        <w:rPr>
          <w:rFonts w:hint="eastAsia" w:ascii="宋体" w:hAnsi="宋体" w:eastAsia="宋体" w:cs="宋体"/>
          <w:sz w:val="24"/>
          <w:szCs w:val="24"/>
          <w:lang w:val="en-US" w:eastAsia="zh-CN"/>
        </w:rPr>
        <w:t>33.</w:t>
      </w:r>
      <w:r>
        <w:rPr>
          <w:rFonts w:hint="eastAsia" w:ascii="宋体" w:hAnsi="宋体" w:eastAsia="宋体" w:cs="宋体"/>
          <w:color w:val="000000" w:themeColor="text1"/>
          <w:sz w:val="24"/>
          <w:szCs w:val="24"/>
          <w14:textFill>
            <w14:solidFill>
              <w14:schemeClr w14:val="tx1"/>
            </w14:solidFill>
          </w14:textFill>
        </w:rPr>
        <w:t>整机具有2个可自定义前置按键，可通过自定义设置实现前置面板功能按键一键启用主页、批注、降半屏、Windows白板、经典护眼、纸质护眼、录屏、小工具（截屏、计时器、放大镜、倒数日、日历）等</w:t>
      </w:r>
      <w:r>
        <w:rPr>
          <w:rFonts w:hint="eastAsia" w:ascii="宋体" w:hAnsi="宋体" w:eastAsia="宋体" w:cs="宋体"/>
          <w:color w:val="000000" w:themeColor="text1"/>
          <w:sz w:val="24"/>
          <w:szCs w:val="24"/>
          <w:lang w:eastAsia="zh-CN"/>
          <w14:textFill>
            <w14:solidFill>
              <w14:schemeClr w14:val="tx1"/>
            </w14:solidFill>
          </w14:textFill>
        </w:rPr>
        <w:t>；</w:t>
      </w:r>
    </w:p>
    <w:p>
      <w:pPr>
        <w:pStyle w:val="28"/>
        <w:widowControl/>
        <w:numPr>
          <w:ilvl w:val="0"/>
          <w:numId w:val="0"/>
        </w:numPr>
        <w:spacing w:line="360" w:lineRule="auto"/>
        <w:ind w:left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34.</w:t>
      </w:r>
      <w:r>
        <w:rPr>
          <w:rFonts w:hint="eastAsia" w:ascii="宋体" w:hAnsi="宋体" w:eastAsia="宋体" w:cs="宋体"/>
          <w:color w:val="000000" w:themeColor="text1"/>
          <w:sz w:val="24"/>
          <w:szCs w:val="24"/>
          <w14:textFill>
            <w14:solidFill>
              <w14:schemeClr w14:val="tx1"/>
            </w14:solidFill>
          </w14:textFill>
        </w:rPr>
        <w:t>三合一电源按键，同一按键可实现Android系统和Windows系统的一键开机、关机、节能/唤醒操作</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关机状态下按按键开机</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开机状态下按按键实现节能/唤醒</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长按按键实现关机</w:t>
      </w:r>
      <w:r>
        <w:rPr>
          <w:rFonts w:hint="eastAsia" w:ascii="宋体" w:hAnsi="宋体" w:eastAsia="宋体" w:cs="宋体"/>
          <w:color w:val="000000" w:themeColor="text1"/>
          <w:sz w:val="24"/>
          <w:szCs w:val="24"/>
          <w:lang w:eastAsia="zh-CN"/>
          <w14:textFill>
            <w14:solidFill>
              <w14:schemeClr w14:val="tx1"/>
            </w14:solidFill>
          </w14:textFill>
        </w:rPr>
        <w:t>；</w:t>
      </w:r>
    </w:p>
    <w:p>
      <w:pPr>
        <w:pStyle w:val="28"/>
        <w:widowControl/>
        <w:numPr>
          <w:ilvl w:val="0"/>
          <w:numId w:val="0"/>
        </w:numPr>
        <w:spacing w:line="360" w:lineRule="auto"/>
        <w:ind w:left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z w:val="24"/>
          <w:szCs w:val="24"/>
        </w:rPr>
        <w:t>★</w:t>
      </w:r>
      <w:r>
        <w:rPr>
          <w:rFonts w:hint="eastAsia" w:ascii="宋体" w:hAnsi="宋体" w:eastAsia="宋体" w:cs="宋体"/>
          <w:sz w:val="24"/>
          <w:szCs w:val="24"/>
          <w:lang w:val="en-US" w:eastAsia="zh-CN"/>
        </w:rPr>
        <w:t>35.</w:t>
      </w:r>
      <w:r>
        <w:rPr>
          <w:rFonts w:hint="eastAsia" w:ascii="宋体" w:hAnsi="宋体" w:eastAsia="宋体" w:cs="宋体"/>
          <w:color w:val="000000" w:themeColor="text1"/>
          <w:sz w:val="24"/>
          <w:szCs w:val="24"/>
          <w14:textFill>
            <w14:solidFill>
              <w14:schemeClr w14:val="tx1"/>
            </w14:solidFill>
          </w14:textFill>
        </w:rPr>
        <w:t>支持在节能状态下通过长按电源键进入还原界面，可点击屏幕选择安卓系统还原、OPS还原及正常启动选项，还原操作时需通过密码验证</w:t>
      </w:r>
      <w:r>
        <w:rPr>
          <w:rFonts w:hint="eastAsia" w:ascii="宋体" w:hAnsi="宋体" w:eastAsia="宋体" w:cs="宋体"/>
          <w:color w:val="000000" w:themeColor="text1"/>
          <w:sz w:val="24"/>
          <w:szCs w:val="24"/>
          <w:lang w:eastAsia="zh-CN"/>
          <w14:textFill>
            <w14:solidFill>
              <w14:schemeClr w14:val="tx1"/>
            </w14:solidFill>
          </w14:textFill>
        </w:rPr>
        <w:t>；</w:t>
      </w:r>
    </w:p>
    <w:p>
      <w:pPr>
        <w:pStyle w:val="28"/>
        <w:widowControl/>
        <w:numPr>
          <w:ilvl w:val="0"/>
          <w:numId w:val="0"/>
        </w:numPr>
        <w:spacing w:line="360" w:lineRule="auto"/>
        <w:ind w:left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36.</w:t>
      </w:r>
      <w:r>
        <w:rPr>
          <w:rFonts w:hint="eastAsia" w:ascii="宋体" w:hAnsi="宋体" w:eastAsia="宋体" w:cs="宋体"/>
          <w:color w:val="000000" w:themeColor="text1"/>
          <w:sz w:val="24"/>
          <w:szCs w:val="24"/>
          <w14:textFill>
            <w14:solidFill>
              <w14:schemeClr w14:val="tx1"/>
            </w14:solidFill>
          </w14:textFill>
        </w:rPr>
        <w:t>支持经典护眼模式，可通过前置面板物理功能按键一键启用</w:t>
      </w:r>
      <w:r>
        <w:rPr>
          <w:rFonts w:hint="eastAsia" w:ascii="宋体" w:hAnsi="宋体" w:eastAsia="宋体" w:cs="宋体"/>
          <w:color w:val="000000" w:themeColor="text1"/>
          <w:sz w:val="24"/>
          <w:szCs w:val="24"/>
          <w:lang w:eastAsia="zh-CN"/>
          <w14:textFill>
            <w14:solidFill>
              <w14:schemeClr w14:val="tx1"/>
            </w14:solidFill>
          </w14:textFill>
        </w:rPr>
        <w:t>；</w:t>
      </w:r>
    </w:p>
    <w:p>
      <w:pPr>
        <w:pStyle w:val="28"/>
        <w:widowControl/>
        <w:numPr>
          <w:ilvl w:val="0"/>
          <w:numId w:val="0"/>
        </w:numPr>
        <w:spacing w:line="360" w:lineRule="auto"/>
        <w:ind w:left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37.</w:t>
      </w:r>
      <w:r>
        <w:rPr>
          <w:rFonts w:hint="eastAsia" w:ascii="宋体" w:hAnsi="宋体" w:eastAsia="宋体" w:cs="宋体"/>
          <w:color w:val="000000" w:themeColor="text1"/>
          <w:sz w:val="24"/>
          <w:szCs w:val="24"/>
          <w14:textFill>
            <w14:solidFill>
              <w14:schemeClr w14:val="tx1"/>
            </w14:solidFill>
          </w14:textFill>
        </w:rPr>
        <w:t>支持通过前置面板物理按键一键启动录屏，可将屏幕中显示的课件、音频内容与人声同时录制</w:t>
      </w:r>
      <w:r>
        <w:rPr>
          <w:rFonts w:hint="eastAsia" w:ascii="宋体" w:hAnsi="宋体" w:eastAsia="宋体" w:cs="宋体"/>
          <w:color w:val="000000" w:themeColor="text1"/>
          <w:sz w:val="24"/>
          <w:szCs w:val="24"/>
          <w:lang w:eastAsia="zh-CN"/>
          <w14:textFill>
            <w14:solidFill>
              <w14:schemeClr w14:val="tx1"/>
            </w14:solidFill>
          </w14:textFill>
        </w:rPr>
        <w:t>；</w:t>
      </w:r>
    </w:p>
    <w:p>
      <w:pPr>
        <w:pStyle w:val="28"/>
        <w:widowControl/>
        <w:numPr>
          <w:ilvl w:val="0"/>
          <w:numId w:val="0"/>
        </w:numPr>
        <w:spacing w:line="360" w:lineRule="auto"/>
        <w:ind w:left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38.</w:t>
      </w:r>
      <w:r>
        <w:rPr>
          <w:rFonts w:hint="eastAsia" w:ascii="宋体" w:hAnsi="宋体" w:eastAsia="宋体" w:cs="宋体"/>
          <w:color w:val="000000" w:themeColor="text1"/>
          <w:sz w:val="24"/>
          <w:szCs w:val="24"/>
          <w14:textFill>
            <w14:solidFill>
              <w14:schemeClr w14:val="tx1"/>
            </w14:solidFill>
          </w14:textFill>
        </w:rPr>
        <w:t>前置接口具备防撞防尘挡板设计，挡板采用转轴式翻转</w:t>
      </w:r>
      <w:r>
        <w:rPr>
          <w:rFonts w:hint="eastAsia" w:ascii="宋体" w:hAnsi="宋体" w:eastAsia="宋体" w:cs="宋体"/>
          <w:color w:val="000000" w:themeColor="text1"/>
          <w:sz w:val="24"/>
          <w:szCs w:val="24"/>
          <w:lang w:eastAsia="zh-CN"/>
          <w14:textFill>
            <w14:solidFill>
              <w14:schemeClr w14:val="tx1"/>
            </w14:solidFill>
          </w14:textFill>
        </w:rPr>
        <w:t>；</w:t>
      </w:r>
    </w:p>
    <w:p>
      <w:pPr>
        <w:pStyle w:val="28"/>
        <w:widowControl/>
        <w:numPr>
          <w:ilvl w:val="0"/>
          <w:numId w:val="0"/>
        </w:numPr>
        <w:spacing w:line="360" w:lineRule="auto"/>
        <w:ind w:left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39.</w:t>
      </w:r>
      <w:r>
        <w:rPr>
          <w:rFonts w:hint="eastAsia" w:ascii="宋体" w:hAnsi="宋体" w:eastAsia="宋体" w:cs="宋体"/>
          <w:color w:val="000000" w:themeColor="text1"/>
          <w:sz w:val="24"/>
          <w:szCs w:val="24"/>
          <w14:textFill>
            <w14:solidFill>
              <w14:schemeClr w14:val="tx1"/>
            </w14:solidFill>
          </w14:textFill>
        </w:rPr>
        <w:t>前置3路USB输入接口（含1路Type-C、2路USB），前置USB接口支持Android、Windows双系统读取外接移动存储设备，接口</w:t>
      </w:r>
      <w:r>
        <w:rPr>
          <w:rStyle w:val="21"/>
          <w:rFonts w:hint="eastAsia" w:ascii="宋体" w:hAnsi="宋体" w:eastAsia="宋体" w:cs="宋体"/>
          <w:color w:val="000000" w:themeColor="text1"/>
          <w:sz w:val="24"/>
          <w:szCs w:val="24"/>
          <w14:textFill>
            <w14:solidFill>
              <w14:schemeClr w14:val="tx1"/>
            </w14:solidFill>
          </w14:textFill>
        </w:rPr>
        <w:t>具备明显丝印标识</w:t>
      </w:r>
      <w:r>
        <w:rPr>
          <w:rStyle w:val="21"/>
          <w:rFonts w:hint="eastAsia" w:ascii="宋体" w:hAnsi="宋体" w:eastAsia="宋体" w:cs="宋体"/>
          <w:color w:val="000000" w:themeColor="text1"/>
          <w:sz w:val="24"/>
          <w:szCs w:val="24"/>
          <w:lang w:eastAsia="zh-CN"/>
          <w14:textFill>
            <w14:solidFill>
              <w14:schemeClr w14:val="tx1"/>
            </w14:solidFill>
          </w14:textFill>
        </w:rPr>
        <w:t>；</w:t>
      </w:r>
    </w:p>
    <w:p>
      <w:pPr>
        <w:pStyle w:val="28"/>
        <w:widowControl/>
        <w:numPr>
          <w:ilvl w:val="0"/>
          <w:numId w:val="0"/>
        </w:numPr>
        <w:spacing w:line="360" w:lineRule="auto"/>
        <w:ind w:left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40.</w:t>
      </w:r>
      <w:r>
        <w:rPr>
          <w:rFonts w:hint="eastAsia" w:ascii="宋体" w:hAnsi="宋体" w:eastAsia="宋体" w:cs="宋体"/>
          <w:color w:val="000000" w:themeColor="text1"/>
          <w:sz w:val="24"/>
          <w:szCs w:val="24"/>
          <w14:textFill>
            <w14:solidFill>
              <w14:schemeClr w14:val="tx1"/>
            </w14:solidFill>
          </w14:textFill>
        </w:rPr>
        <w:t>侧置输入接口</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2路HDMI、1路RS232、1路USB、1路RJ45接口，侧置输出接口</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1路音频、1路触控USB，所有接口</w:t>
      </w:r>
      <w:r>
        <w:rPr>
          <w:rFonts w:hint="eastAsia" w:ascii="宋体" w:hAnsi="宋体" w:eastAsia="宋体" w:cs="宋体"/>
          <w:color w:val="000000" w:themeColor="text1"/>
          <w:sz w:val="24"/>
          <w:szCs w:val="24"/>
          <w:lang w:val="en-US" w:eastAsia="zh-CN"/>
          <w14:textFill>
            <w14:solidFill>
              <w14:schemeClr w14:val="tx1"/>
            </w14:solidFill>
          </w14:textFill>
        </w:rPr>
        <w:t>均</w:t>
      </w:r>
      <w:r>
        <w:rPr>
          <w:rFonts w:hint="eastAsia" w:ascii="宋体" w:hAnsi="宋体" w:eastAsia="宋体" w:cs="宋体"/>
          <w:color w:val="000000" w:themeColor="text1"/>
          <w:sz w:val="24"/>
          <w:szCs w:val="24"/>
          <w14:textFill>
            <w14:solidFill>
              <w14:schemeClr w14:val="tx1"/>
            </w14:solidFill>
          </w14:textFill>
        </w:rPr>
        <w:t>具备明显丝印标识</w:t>
      </w:r>
      <w:r>
        <w:rPr>
          <w:rFonts w:hint="eastAsia" w:ascii="宋体" w:hAnsi="宋体" w:eastAsia="宋体" w:cs="宋体"/>
          <w:color w:val="000000" w:themeColor="text1"/>
          <w:sz w:val="24"/>
          <w:szCs w:val="24"/>
          <w:lang w:eastAsia="zh-CN"/>
          <w14:textFill>
            <w14:solidFill>
              <w14:schemeClr w14:val="tx1"/>
            </w14:solidFill>
          </w14:textFill>
        </w:rPr>
        <w:t>；</w:t>
      </w:r>
    </w:p>
    <w:p>
      <w:pPr>
        <w:pStyle w:val="28"/>
        <w:widowControl/>
        <w:numPr>
          <w:ilvl w:val="0"/>
          <w:numId w:val="0"/>
        </w:numPr>
        <w:spacing w:line="360" w:lineRule="auto"/>
        <w:ind w:left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41.</w:t>
      </w:r>
      <w:r>
        <w:rPr>
          <w:rFonts w:hint="eastAsia" w:ascii="宋体" w:hAnsi="宋体" w:eastAsia="宋体" w:cs="宋体"/>
          <w:color w:val="000000" w:themeColor="text1"/>
          <w:sz w:val="24"/>
          <w:szCs w:val="24"/>
          <w14:textFill>
            <w14:solidFill>
              <w14:schemeClr w14:val="tx1"/>
            </w14:solidFill>
          </w14:textFill>
        </w:rPr>
        <w:t>具备前置Type-C接口可实现音视频输入，外接电脑设备经双头Type-C线连接至整机即可把外接电脑设备画面投到整机上同时在整机上操作画面，可实现触摸电脑操作，无需再连接触控USB线</w:t>
      </w:r>
      <w:r>
        <w:rPr>
          <w:rFonts w:hint="eastAsia" w:ascii="宋体" w:hAnsi="宋体" w:eastAsia="宋体" w:cs="宋体"/>
          <w:color w:val="000000" w:themeColor="text1"/>
          <w:sz w:val="24"/>
          <w:szCs w:val="24"/>
          <w:lang w:eastAsia="zh-CN"/>
          <w14:textFill>
            <w14:solidFill>
              <w14:schemeClr w14:val="tx1"/>
            </w14:solidFill>
          </w14:textFill>
        </w:rPr>
        <w:t>；</w:t>
      </w:r>
    </w:p>
    <w:p>
      <w:pPr>
        <w:pStyle w:val="28"/>
        <w:widowControl/>
        <w:numPr>
          <w:ilvl w:val="0"/>
          <w:numId w:val="0"/>
        </w:numPr>
        <w:spacing w:line="360" w:lineRule="auto"/>
        <w:ind w:left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z w:val="24"/>
          <w:szCs w:val="24"/>
        </w:rPr>
        <w:t>★</w:t>
      </w:r>
      <w:r>
        <w:rPr>
          <w:rFonts w:hint="eastAsia" w:ascii="宋体" w:hAnsi="宋体" w:eastAsia="宋体" w:cs="宋体"/>
          <w:sz w:val="24"/>
          <w:szCs w:val="24"/>
          <w:lang w:val="en-US" w:eastAsia="zh-CN"/>
        </w:rPr>
        <w:t>42.</w:t>
      </w:r>
      <w:r>
        <w:rPr>
          <w:rFonts w:hint="eastAsia" w:ascii="宋体" w:hAnsi="宋体" w:eastAsia="宋体" w:cs="宋体"/>
          <w:color w:val="000000" w:themeColor="text1"/>
          <w:sz w:val="24"/>
          <w:szCs w:val="24"/>
          <w14:textFill>
            <w14:solidFill>
              <w14:schemeClr w14:val="tx1"/>
            </w14:solidFill>
          </w14:textFill>
        </w:rPr>
        <w:t>前置Type-C接口支持通过不带转换转置的外部线缆实现外接电脑信号的接入显示，显示分辨率可达到4K 60Hz</w:t>
      </w:r>
      <w:r>
        <w:rPr>
          <w:rFonts w:hint="eastAsia" w:ascii="宋体" w:hAnsi="宋体" w:eastAsia="宋体" w:cs="宋体"/>
          <w:color w:val="000000" w:themeColor="text1"/>
          <w:sz w:val="24"/>
          <w:szCs w:val="24"/>
          <w:lang w:eastAsia="zh-CN"/>
          <w14:textFill>
            <w14:solidFill>
              <w14:schemeClr w14:val="tx1"/>
            </w14:solidFill>
          </w14:textFill>
        </w:rPr>
        <w:t>；</w:t>
      </w:r>
    </w:p>
    <w:p>
      <w:pPr>
        <w:pStyle w:val="28"/>
        <w:widowControl/>
        <w:numPr>
          <w:ilvl w:val="0"/>
          <w:numId w:val="0"/>
        </w:numPr>
        <w:spacing w:line="360" w:lineRule="auto"/>
        <w:ind w:left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43.</w:t>
      </w:r>
      <w:r>
        <w:rPr>
          <w:rFonts w:hint="eastAsia" w:ascii="宋体" w:hAnsi="宋体" w:eastAsia="宋体" w:cs="宋体"/>
          <w:color w:val="000000" w:themeColor="text1"/>
          <w:sz w:val="24"/>
          <w:szCs w:val="24"/>
          <w14:textFill>
            <w14:solidFill>
              <w14:schemeClr w14:val="tx1"/>
            </w14:solidFill>
          </w14:textFill>
        </w:rPr>
        <w:t>外接电脑设备经双头Type-C线连接至整机可调用整机内置的摄像头、麦克风、扬声器，在外接电脑即可控制拍摄教室画面</w:t>
      </w:r>
      <w:r>
        <w:rPr>
          <w:rFonts w:hint="eastAsia" w:ascii="宋体" w:hAnsi="宋体" w:eastAsia="宋体" w:cs="宋体"/>
          <w:color w:val="000000" w:themeColor="text1"/>
          <w:sz w:val="24"/>
          <w:szCs w:val="24"/>
          <w:lang w:eastAsia="zh-CN"/>
          <w14:textFill>
            <w14:solidFill>
              <w14:schemeClr w14:val="tx1"/>
            </w14:solidFill>
          </w14:textFill>
        </w:rPr>
        <w:t>；</w:t>
      </w:r>
    </w:p>
    <w:p>
      <w:pPr>
        <w:pStyle w:val="28"/>
        <w:widowControl/>
        <w:numPr>
          <w:ilvl w:val="0"/>
          <w:numId w:val="0"/>
        </w:numPr>
        <w:spacing w:line="360" w:lineRule="auto"/>
        <w:ind w:left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44.</w:t>
      </w:r>
      <w:r>
        <w:rPr>
          <w:rFonts w:hint="eastAsia" w:ascii="宋体" w:hAnsi="宋体" w:eastAsia="宋体" w:cs="宋体"/>
          <w:color w:val="000000" w:themeColor="text1"/>
          <w:sz w:val="24"/>
          <w:szCs w:val="24"/>
          <w14:textFill>
            <w14:solidFill>
              <w14:schemeClr w14:val="tx1"/>
            </w14:solidFill>
          </w14:textFill>
        </w:rPr>
        <w:t>支持通过Type-C接口U盘进行文件传输</w:t>
      </w:r>
      <w:r>
        <w:rPr>
          <w:rFonts w:hint="eastAsia" w:ascii="宋体" w:hAnsi="宋体" w:eastAsia="宋体" w:cs="宋体"/>
          <w:color w:val="000000" w:themeColor="text1"/>
          <w:sz w:val="24"/>
          <w:szCs w:val="24"/>
          <w:lang w:eastAsia="zh-CN"/>
          <w14:textFill>
            <w14:solidFill>
              <w14:schemeClr w14:val="tx1"/>
            </w14:solidFill>
          </w14:textFill>
        </w:rPr>
        <w:t>；</w:t>
      </w:r>
    </w:p>
    <w:p>
      <w:pPr>
        <w:pStyle w:val="28"/>
        <w:widowControl/>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w:t>
      </w:r>
      <w:r>
        <w:rPr>
          <w:rFonts w:hint="eastAsia" w:ascii="宋体" w:hAnsi="宋体" w:eastAsia="宋体" w:cs="宋体"/>
          <w:sz w:val="24"/>
          <w:szCs w:val="24"/>
          <w:lang w:val="en-US" w:eastAsia="zh-CN"/>
        </w:rPr>
        <w:t>45.</w:t>
      </w:r>
      <w:r>
        <w:rPr>
          <w:rFonts w:hint="eastAsia" w:ascii="宋体" w:hAnsi="宋体" w:eastAsia="宋体" w:cs="宋体"/>
          <w:color w:val="000000" w:themeColor="text1"/>
          <w:sz w:val="24"/>
          <w:szCs w:val="24"/>
          <w14:textFill>
            <w14:solidFill>
              <w14:schemeClr w14:val="tx1"/>
            </w14:solidFill>
          </w14:textFill>
        </w:rPr>
        <w:t>前置Type-C接口支持65W快充，可以给教学平板、教学笔记本、手机等进行快速充电。</w:t>
      </w:r>
    </w:p>
    <w:p>
      <w:pPr>
        <w:pStyle w:val="28"/>
        <w:widowControl/>
        <w:numPr>
          <w:ilvl w:val="0"/>
          <w:numId w:val="0"/>
        </w:numPr>
        <w:spacing w:line="360" w:lineRule="auto"/>
        <w:ind w:left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46.</w:t>
      </w:r>
      <w:r>
        <w:rPr>
          <w:rFonts w:hint="eastAsia" w:ascii="宋体" w:hAnsi="宋体" w:eastAsia="宋体" w:cs="宋体"/>
          <w:color w:val="000000" w:themeColor="text1"/>
          <w:sz w:val="24"/>
          <w:szCs w:val="24"/>
          <w14:textFill>
            <w14:solidFill>
              <w14:schemeClr w14:val="tx1"/>
            </w14:solidFill>
          </w14:textFill>
        </w:rPr>
        <w:t>内置无线传屏接收系统，无需外接接收器，无线传屏发射器与整机匹配后即可实现传屏，将外部电脑屏幕画面及声音通过无线方式传输到整机上</w:t>
      </w:r>
      <w:r>
        <w:rPr>
          <w:rFonts w:hint="eastAsia" w:ascii="宋体" w:hAnsi="宋体" w:eastAsia="宋体" w:cs="宋体"/>
          <w:color w:val="000000" w:themeColor="text1"/>
          <w:sz w:val="24"/>
          <w:szCs w:val="24"/>
          <w:lang w:eastAsia="zh-CN"/>
          <w14:textFill>
            <w14:solidFill>
              <w14:schemeClr w14:val="tx1"/>
            </w14:solidFill>
          </w14:textFill>
        </w:rPr>
        <w:t>；</w:t>
      </w:r>
    </w:p>
    <w:p>
      <w:pPr>
        <w:pStyle w:val="28"/>
        <w:widowControl/>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47.</w:t>
      </w:r>
      <w:r>
        <w:rPr>
          <w:rFonts w:hint="eastAsia" w:ascii="宋体" w:hAnsi="宋体" w:eastAsia="宋体" w:cs="宋体"/>
          <w:color w:val="000000" w:themeColor="text1"/>
          <w:sz w:val="24"/>
          <w:szCs w:val="24"/>
          <w14:textFill>
            <w14:solidFill>
              <w14:schemeClr w14:val="tx1"/>
            </w14:solidFill>
          </w14:textFill>
        </w:rPr>
        <w:t>内置非独立高清摄像头，摄像头与整机一体化设计，无任何可见外接线材及模块化拼接痕迹</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未占用整机设备端口</w:t>
      </w:r>
      <w:r>
        <w:rPr>
          <w:rFonts w:hint="eastAsia" w:ascii="宋体" w:hAnsi="宋体" w:eastAsia="宋体" w:cs="宋体"/>
          <w:color w:val="000000" w:themeColor="text1"/>
          <w:sz w:val="24"/>
          <w:szCs w:val="24"/>
          <w:lang w:eastAsia="zh-CN"/>
          <w14:textFill>
            <w14:solidFill>
              <w14:schemeClr w14:val="tx1"/>
            </w14:solidFill>
          </w14:textFill>
        </w:rPr>
        <w:t>）；</w:t>
      </w:r>
    </w:p>
    <w:p>
      <w:pPr>
        <w:pStyle w:val="28"/>
        <w:widowControl/>
        <w:numPr>
          <w:ilvl w:val="0"/>
          <w:numId w:val="0"/>
        </w:numPr>
        <w:spacing w:line="360" w:lineRule="auto"/>
        <w:ind w:left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48.</w:t>
      </w:r>
      <w:r>
        <w:rPr>
          <w:rFonts w:hint="eastAsia" w:ascii="宋体" w:hAnsi="宋体" w:eastAsia="宋体" w:cs="宋体"/>
          <w:color w:val="000000" w:themeColor="text1"/>
          <w:sz w:val="24"/>
          <w:szCs w:val="24"/>
          <w14:textFill>
            <w14:solidFill>
              <w14:schemeClr w14:val="tx1"/>
            </w14:solidFill>
          </w14:textFill>
        </w:rPr>
        <w:t>摄像头拍摄像素数≥1300万，对角角度≥135度，可用于远程巡课、二维码扫描等</w:t>
      </w:r>
      <w:r>
        <w:rPr>
          <w:rFonts w:hint="eastAsia" w:ascii="宋体" w:hAnsi="宋体" w:eastAsia="宋体" w:cs="宋体"/>
          <w:color w:val="000000" w:themeColor="text1"/>
          <w:sz w:val="24"/>
          <w:szCs w:val="24"/>
          <w:lang w:eastAsia="zh-CN"/>
          <w14:textFill>
            <w14:solidFill>
              <w14:schemeClr w14:val="tx1"/>
            </w14:solidFill>
          </w14:textFill>
        </w:rPr>
        <w:t>；</w:t>
      </w:r>
    </w:p>
    <w:p>
      <w:pPr>
        <w:pStyle w:val="28"/>
        <w:widowControl/>
        <w:numPr>
          <w:ilvl w:val="0"/>
          <w:numId w:val="0"/>
        </w:numPr>
        <w:spacing w:line="360" w:lineRule="auto"/>
        <w:ind w:left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49.</w:t>
      </w:r>
      <w:r>
        <w:rPr>
          <w:rFonts w:hint="eastAsia" w:ascii="宋体" w:hAnsi="宋体" w:eastAsia="宋体" w:cs="宋体"/>
          <w:color w:val="000000" w:themeColor="text1"/>
          <w:sz w:val="24"/>
          <w:szCs w:val="24"/>
          <w14:textFill>
            <w14:solidFill>
              <w14:schemeClr w14:val="tx1"/>
            </w14:solidFill>
          </w14:textFill>
        </w:rPr>
        <w:t>摄像头运行时有工作状态提示</w:t>
      </w:r>
      <w:r>
        <w:rPr>
          <w:rFonts w:hint="eastAsia" w:ascii="宋体" w:hAnsi="宋体" w:eastAsia="宋体" w:cs="宋体"/>
          <w:color w:val="000000" w:themeColor="text1"/>
          <w:sz w:val="24"/>
          <w:szCs w:val="24"/>
          <w:lang w:eastAsia="zh-CN"/>
          <w14:textFill>
            <w14:solidFill>
              <w14:schemeClr w14:val="tx1"/>
            </w14:solidFill>
          </w14:textFill>
        </w:rPr>
        <w:t>；</w:t>
      </w:r>
    </w:p>
    <w:p>
      <w:pPr>
        <w:pStyle w:val="28"/>
        <w:widowControl/>
        <w:numPr>
          <w:ilvl w:val="0"/>
          <w:numId w:val="0"/>
        </w:numPr>
        <w:spacing w:line="360" w:lineRule="auto"/>
        <w:ind w:left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50.</w:t>
      </w:r>
      <w:r>
        <w:rPr>
          <w:rFonts w:hint="eastAsia" w:ascii="宋体" w:hAnsi="宋体" w:eastAsia="宋体" w:cs="宋体"/>
          <w:color w:val="000000" w:themeColor="text1"/>
          <w:sz w:val="24"/>
          <w:szCs w:val="24"/>
          <w14:textFill>
            <w14:solidFill>
              <w14:schemeClr w14:val="tx1"/>
            </w14:solidFill>
          </w14:textFill>
        </w:rPr>
        <w:t>内置摄像头支持扫码，PC通道下支持通过视频展台软件调用摄像头进行二维码扫码识别</w:t>
      </w:r>
      <w:r>
        <w:rPr>
          <w:rFonts w:hint="eastAsia" w:ascii="宋体" w:hAnsi="宋体" w:eastAsia="宋体" w:cs="宋体"/>
          <w:color w:val="000000" w:themeColor="text1"/>
          <w:sz w:val="24"/>
          <w:szCs w:val="24"/>
          <w:lang w:eastAsia="zh-CN"/>
          <w14:textFill>
            <w14:solidFill>
              <w14:schemeClr w14:val="tx1"/>
            </w14:solidFill>
          </w14:textFill>
        </w:rPr>
        <w:t>；</w:t>
      </w:r>
    </w:p>
    <w:p>
      <w:pPr>
        <w:pStyle w:val="28"/>
        <w:widowControl/>
        <w:numPr>
          <w:ilvl w:val="0"/>
          <w:numId w:val="0"/>
        </w:numPr>
        <w:spacing w:line="360" w:lineRule="auto"/>
        <w:ind w:left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z w:val="24"/>
          <w:szCs w:val="24"/>
        </w:rPr>
        <w:t>★</w:t>
      </w:r>
      <w:r>
        <w:rPr>
          <w:rFonts w:hint="eastAsia" w:ascii="宋体" w:hAnsi="宋体" w:eastAsia="宋体" w:cs="宋体"/>
          <w:sz w:val="24"/>
          <w:szCs w:val="24"/>
          <w:lang w:val="en-US" w:eastAsia="zh-CN"/>
        </w:rPr>
        <w:t>51.</w:t>
      </w:r>
      <w:r>
        <w:rPr>
          <w:rFonts w:hint="eastAsia" w:ascii="宋体" w:hAnsi="宋体" w:eastAsia="宋体" w:cs="宋体"/>
          <w:color w:val="000000" w:themeColor="text1"/>
          <w:sz w:val="24"/>
          <w:szCs w:val="24"/>
          <w14:textFill>
            <w14:solidFill>
              <w14:schemeClr w14:val="tx1"/>
            </w14:solidFill>
          </w14:textFill>
        </w:rPr>
        <w:t>内置8阵列麦克风，非独立扩展形式</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不占用整机设备端口</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，拾音距离≥12米</w:t>
      </w:r>
      <w:r>
        <w:rPr>
          <w:rFonts w:hint="eastAsia" w:ascii="宋体" w:hAnsi="宋体" w:eastAsia="宋体" w:cs="宋体"/>
          <w:color w:val="000000" w:themeColor="text1"/>
          <w:sz w:val="24"/>
          <w:szCs w:val="24"/>
          <w:lang w:eastAsia="zh-CN"/>
          <w14:textFill>
            <w14:solidFill>
              <w14:schemeClr w14:val="tx1"/>
            </w14:solidFill>
          </w14:textFill>
        </w:rPr>
        <w:t>；</w:t>
      </w:r>
    </w:p>
    <w:p>
      <w:pPr>
        <w:pStyle w:val="28"/>
        <w:widowControl/>
        <w:numPr>
          <w:ilvl w:val="0"/>
          <w:numId w:val="0"/>
        </w:numPr>
        <w:spacing w:line="360" w:lineRule="auto"/>
        <w:ind w:left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z w:val="24"/>
          <w:szCs w:val="24"/>
        </w:rPr>
        <w:t>★</w:t>
      </w:r>
      <w:r>
        <w:rPr>
          <w:rFonts w:hint="eastAsia" w:ascii="宋体" w:hAnsi="宋体" w:eastAsia="宋体" w:cs="宋体"/>
          <w:sz w:val="24"/>
          <w:szCs w:val="24"/>
          <w:lang w:val="en-US" w:eastAsia="zh-CN"/>
        </w:rPr>
        <w:t>52.</w:t>
      </w:r>
      <w:r>
        <w:rPr>
          <w:rFonts w:hint="eastAsia" w:ascii="宋体" w:hAnsi="宋体" w:eastAsia="宋体" w:cs="宋体"/>
          <w:color w:val="000000" w:themeColor="text1"/>
          <w:sz w:val="24"/>
          <w:szCs w:val="24"/>
          <w14:textFill>
            <w14:solidFill>
              <w14:schemeClr w14:val="tx1"/>
            </w14:solidFill>
          </w14:textFill>
        </w:rPr>
        <w:t>内置音响系统，具备</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4个全频发声单元和1个低频单元，扩声系统总功率</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60W</w:t>
      </w:r>
      <w:r>
        <w:rPr>
          <w:rFonts w:hint="eastAsia" w:ascii="宋体" w:hAnsi="宋体" w:eastAsia="宋体" w:cs="宋体"/>
          <w:color w:val="000000" w:themeColor="text1"/>
          <w:sz w:val="24"/>
          <w:szCs w:val="24"/>
          <w:lang w:eastAsia="zh-CN"/>
          <w14:textFill>
            <w14:solidFill>
              <w14:schemeClr w14:val="tx1"/>
            </w14:solidFill>
          </w14:textFill>
        </w:rPr>
        <w:t>；</w:t>
      </w:r>
    </w:p>
    <w:p>
      <w:pPr>
        <w:pStyle w:val="28"/>
        <w:widowControl/>
        <w:numPr>
          <w:ilvl w:val="0"/>
          <w:numId w:val="0"/>
        </w:numPr>
        <w:spacing w:line="360" w:lineRule="auto"/>
        <w:ind w:left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53.</w:t>
      </w:r>
      <w:r>
        <w:rPr>
          <w:rFonts w:hint="eastAsia" w:ascii="宋体" w:hAnsi="宋体" w:eastAsia="宋体" w:cs="宋体"/>
          <w:color w:val="000000" w:themeColor="text1"/>
          <w:sz w:val="24"/>
          <w:szCs w:val="24"/>
          <w14:textFill>
            <w14:solidFill>
              <w14:schemeClr w14:val="tx1"/>
            </w14:solidFill>
          </w14:textFill>
        </w:rPr>
        <w:t>支持标准、听力、观影、环绕四种音效模式调节</w:t>
      </w:r>
      <w:r>
        <w:rPr>
          <w:rFonts w:hint="eastAsia" w:ascii="宋体" w:hAnsi="宋体" w:eastAsia="宋体" w:cs="宋体"/>
          <w:color w:val="000000" w:themeColor="text1"/>
          <w:sz w:val="24"/>
          <w:szCs w:val="24"/>
          <w:lang w:eastAsia="zh-CN"/>
          <w14:textFill>
            <w14:solidFill>
              <w14:schemeClr w14:val="tx1"/>
            </w14:solidFill>
          </w14:textFill>
        </w:rPr>
        <w:t>；</w:t>
      </w:r>
    </w:p>
    <w:p>
      <w:pPr>
        <w:pStyle w:val="28"/>
        <w:widowControl/>
        <w:numPr>
          <w:ilvl w:val="0"/>
          <w:numId w:val="0"/>
        </w:numPr>
        <w:spacing w:line="360" w:lineRule="auto"/>
        <w:ind w:left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54.</w:t>
      </w:r>
      <w:r>
        <w:rPr>
          <w:rFonts w:hint="eastAsia" w:ascii="宋体" w:hAnsi="宋体" w:eastAsia="宋体" w:cs="宋体"/>
          <w:color w:val="000000" w:themeColor="text1"/>
          <w:sz w:val="24"/>
          <w:szCs w:val="24"/>
          <w14:textFill>
            <w14:solidFill>
              <w14:schemeClr w14:val="tx1"/>
            </w14:solidFill>
          </w14:textFill>
        </w:rPr>
        <w:t>支持搭配具有NFC功能的手机、平板，接触即可实现手机、平板与大屏的连接并同步手机、平板画面到设备上，无需其它操作设置</w:t>
      </w:r>
      <w:r>
        <w:rPr>
          <w:rFonts w:hint="eastAsia" w:ascii="宋体" w:hAnsi="宋体" w:eastAsia="宋体" w:cs="宋体"/>
          <w:color w:val="000000" w:themeColor="text1"/>
          <w:sz w:val="24"/>
          <w:szCs w:val="24"/>
          <w:lang w:eastAsia="zh-CN"/>
          <w14:textFill>
            <w14:solidFill>
              <w14:schemeClr w14:val="tx1"/>
            </w14:solidFill>
          </w14:textFill>
        </w:rPr>
        <w:t>；</w:t>
      </w:r>
    </w:p>
    <w:p>
      <w:pPr>
        <w:pStyle w:val="28"/>
        <w:widowControl/>
        <w:numPr>
          <w:ilvl w:val="0"/>
          <w:numId w:val="0"/>
        </w:numPr>
        <w:spacing w:line="360" w:lineRule="auto"/>
        <w:ind w:left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55.</w:t>
      </w:r>
      <w:r>
        <w:rPr>
          <w:rFonts w:hint="eastAsia" w:ascii="宋体" w:hAnsi="宋体" w:eastAsia="宋体" w:cs="宋体"/>
          <w:color w:val="000000" w:themeColor="text1"/>
          <w:sz w:val="24"/>
          <w:szCs w:val="24"/>
          <w14:textFill>
            <w14:solidFill>
              <w14:schemeClr w14:val="tx1"/>
            </w14:solidFill>
          </w14:textFill>
        </w:rPr>
        <w:t>内置无线网卡，在Android/Windows下可实现Wi-Fi连接、AP热点发射及BT蓝牙连接</w:t>
      </w:r>
      <w:r>
        <w:rPr>
          <w:rFonts w:hint="eastAsia" w:ascii="宋体" w:hAnsi="宋体" w:eastAsia="宋体" w:cs="宋体"/>
          <w:color w:val="000000" w:themeColor="text1"/>
          <w:sz w:val="24"/>
          <w:szCs w:val="24"/>
          <w:lang w:eastAsia="zh-CN"/>
          <w14:textFill>
            <w14:solidFill>
              <w14:schemeClr w14:val="tx1"/>
            </w14:solidFill>
          </w14:textFill>
        </w:rPr>
        <w:t>；</w:t>
      </w:r>
    </w:p>
    <w:p>
      <w:pPr>
        <w:pStyle w:val="28"/>
        <w:widowControl/>
        <w:numPr>
          <w:ilvl w:val="0"/>
          <w:numId w:val="0"/>
        </w:numPr>
        <w:spacing w:line="360" w:lineRule="auto"/>
        <w:ind w:left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z w:val="24"/>
          <w:szCs w:val="24"/>
        </w:rPr>
        <w:t>★</w:t>
      </w:r>
      <w:r>
        <w:rPr>
          <w:rFonts w:hint="eastAsia" w:ascii="宋体" w:hAnsi="宋体" w:eastAsia="宋体" w:cs="宋体"/>
          <w:sz w:val="24"/>
          <w:szCs w:val="24"/>
          <w:lang w:val="en-US" w:eastAsia="zh-CN"/>
        </w:rPr>
        <w:t>56.</w:t>
      </w:r>
      <w:r>
        <w:rPr>
          <w:rFonts w:hint="eastAsia" w:ascii="宋体" w:hAnsi="宋体" w:eastAsia="宋体" w:cs="宋体"/>
          <w:color w:val="000000" w:themeColor="text1"/>
          <w:sz w:val="24"/>
          <w:szCs w:val="24"/>
          <w14:textFill>
            <w14:solidFill>
              <w14:schemeClr w14:val="tx1"/>
            </w14:solidFill>
          </w14:textFill>
        </w:rPr>
        <w:t>内置的蓝牙及Wi-Fi模块支持便捷拆除及恢复</w:t>
      </w:r>
      <w:r>
        <w:rPr>
          <w:rFonts w:hint="eastAsia" w:ascii="宋体" w:hAnsi="宋体" w:eastAsia="宋体" w:cs="宋体"/>
          <w:color w:val="000000" w:themeColor="text1"/>
          <w:sz w:val="24"/>
          <w:szCs w:val="24"/>
          <w:lang w:eastAsia="zh-CN"/>
          <w14:textFill>
            <w14:solidFill>
              <w14:schemeClr w14:val="tx1"/>
            </w14:solidFill>
          </w14:textFill>
        </w:rPr>
        <w:t>；</w:t>
      </w:r>
    </w:p>
    <w:p>
      <w:pPr>
        <w:pStyle w:val="28"/>
        <w:widowControl/>
        <w:numPr>
          <w:ilvl w:val="0"/>
          <w:numId w:val="0"/>
        </w:numPr>
        <w:spacing w:line="360" w:lineRule="auto"/>
        <w:ind w:left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57.</w:t>
      </w:r>
      <w:r>
        <w:rPr>
          <w:rFonts w:hint="eastAsia" w:ascii="宋体" w:hAnsi="宋体" w:eastAsia="宋体" w:cs="宋体"/>
          <w:color w:val="000000" w:themeColor="text1"/>
          <w:sz w:val="24"/>
          <w:szCs w:val="24"/>
          <w14:textFill>
            <w14:solidFill>
              <w14:schemeClr w14:val="tx1"/>
            </w14:solidFill>
          </w14:textFill>
        </w:rPr>
        <w:t>Wi-Fi及AP热点支持频段2.4GHz/5GHz</w:t>
      </w:r>
      <w:r>
        <w:rPr>
          <w:rFonts w:hint="eastAsia" w:ascii="宋体" w:hAnsi="宋体" w:eastAsia="宋体" w:cs="宋体"/>
          <w:color w:val="000000" w:themeColor="text1"/>
          <w:sz w:val="24"/>
          <w:szCs w:val="24"/>
          <w:lang w:eastAsia="zh-CN"/>
          <w14:textFill>
            <w14:solidFill>
              <w14:schemeClr w14:val="tx1"/>
            </w14:solidFill>
          </w14:textFill>
        </w:rPr>
        <w:t>；</w:t>
      </w:r>
    </w:p>
    <w:p>
      <w:pPr>
        <w:pStyle w:val="28"/>
        <w:widowControl/>
        <w:numPr>
          <w:ilvl w:val="0"/>
          <w:numId w:val="0"/>
        </w:numPr>
        <w:spacing w:line="360" w:lineRule="auto"/>
        <w:ind w:left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58.</w:t>
      </w:r>
      <w:r>
        <w:rPr>
          <w:rFonts w:hint="eastAsia" w:ascii="宋体" w:hAnsi="宋体" w:eastAsia="宋体" w:cs="宋体"/>
          <w:color w:val="000000" w:themeColor="text1"/>
          <w:sz w:val="24"/>
          <w:szCs w:val="24"/>
          <w14:textFill>
            <w14:solidFill>
              <w14:schemeClr w14:val="tx1"/>
            </w14:solidFill>
          </w14:textFill>
        </w:rPr>
        <w:t>Wi-Fi制式支持IEEE802.11 a/b/g/n/ac/ax</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支持Wi-Fi6</w:t>
      </w:r>
      <w:r>
        <w:rPr>
          <w:rFonts w:hint="eastAsia" w:ascii="宋体" w:hAnsi="宋体" w:eastAsia="宋体" w:cs="宋体"/>
          <w:color w:val="000000" w:themeColor="text1"/>
          <w:sz w:val="24"/>
          <w:szCs w:val="24"/>
          <w:lang w:eastAsia="zh-CN"/>
          <w14:textFill>
            <w14:solidFill>
              <w14:schemeClr w14:val="tx1"/>
            </w14:solidFill>
          </w14:textFill>
        </w:rPr>
        <w:t>；</w:t>
      </w:r>
    </w:p>
    <w:p>
      <w:pPr>
        <w:pStyle w:val="28"/>
        <w:widowControl/>
        <w:numPr>
          <w:ilvl w:val="0"/>
          <w:numId w:val="0"/>
        </w:numPr>
        <w:spacing w:line="360" w:lineRule="auto"/>
        <w:ind w:left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59.</w:t>
      </w:r>
      <w:r>
        <w:rPr>
          <w:rFonts w:hint="eastAsia" w:ascii="宋体" w:hAnsi="宋体" w:eastAsia="宋体" w:cs="宋体"/>
          <w:color w:val="000000" w:themeColor="text1"/>
          <w:sz w:val="24"/>
          <w:szCs w:val="24"/>
          <w14:textFill>
            <w14:solidFill>
              <w14:schemeClr w14:val="tx1"/>
            </w14:solidFill>
          </w14:textFill>
        </w:rPr>
        <w:t>Wi-Fi及AP热点支持</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50个学生端同时连接到整机</w:t>
      </w:r>
      <w:r>
        <w:rPr>
          <w:rFonts w:hint="eastAsia" w:ascii="宋体" w:hAnsi="宋体" w:eastAsia="宋体" w:cs="宋体"/>
          <w:color w:val="000000" w:themeColor="text1"/>
          <w:sz w:val="24"/>
          <w:szCs w:val="24"/>
          <w:lang w:eastAsia="zh-CN"/>
          <w14:textFill>
            <w14:solidFill>
              <w14:schemeClr w14:val="tx1"/>
            </w14:solidFill>
          </w14:textFill>
        </w:rPr>
        <w:t>；</w:t>
      </w:r>
    </w:p>
    <w:p>
      <w:pPr>
        <w:pStyle w:val="28"/>
        <w:widowControl/>
        <w:numPr>
          <w:ilvl w:val="0"/>
          <w:numId w:val="0"/>
        </w:numPr>
        <w:spacing w:line="360" w:lineRule="auto"/>
        <w:ind w:left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60.</w:t>
      </w:r>
      <w:r>
        <w:rPr>
          <w:rFonts w:hint="eastAsia" w:ascii="宋体" w:hAnsi="宋体" w:eastAsia="宋体" w:cs="宋体"/>
          <w:color w:val="000000" w:themeColor="text1"/>
          <w:sz w:val="24"/>
          <w:szCs w:val="24"/>
          <w14:textFill>
            <w14:solidFill>
              <w14:schemeClr w14:val="tx1"/>
            </w14:solidFill>
          </w14:textFill>
        </w:rPr>
        <w:t>Wi-Fi和AP热点工作距离≥12m</w:t>
      </w:r>
      <w:r>
        <w:rPr>
          <w:rFonts w:hint="eastAsia" w:ascii="宋体" w:hAnsi="宋体" w:eastAsia="宋体" w:cs="宋体"/>
          <w:color w:val="000000" w:themeColor="text1"/>
          <w:sz w:val="24"/>
          <w:szCs w:val="24"/>
          <w:lang w:eastAsia="zh-CN"/>
          <w14:textFill>
            <w14:solidFill>
              <w14:schemeClr w14:val="tx1"/>
            </w14:solidFill>
          </w14:textFill>
        </w:rPr>
        <w:t>；</w:t>
      </w:r>
    </w:p>
    <w:p>
      <w:pPr>
        <w:pStyle w:val="28"/>
        <w:widowControl/>
        <w:numPr>
          <w:ilvl w:val="0"/>
          <w:numId w:val="0"/>
        </w:numPr>
        <w:spacing w:line="360" w:lineRule="auto"/>
        <w:ind w:left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61.</w:t>
      </w:r>
      <w:r>
        <w:rPr>
          <w:rFonts w:hint="eastAsia" w:ascii="宋体" w:hAnsi="宋体" w:eastAsia="宋体" w:cs="宋体"/>
          <w:color w:val="000000" w:themeColor="text1"/>
          <w:sz w:val="24"/>
          <w:szCs w:val="24"/>
          <w14:textFill>
            <w14:solidFill>
              <w14:schemeClr w14:val="tx1"/>
            </w14:solidFill>
          </w14:textFill>
        </w:rPr>
        <w:t>部署单根网线可实现Android、Windows双系统有线网络连通</w:t>
      </w:r>
      <w:r>
        <w:rPr>
          <w:rFonts w:hint="eastAsia" w:ascii="宋体" w:hAnsi="宋体" w:eastAsia="宋体" w:cs="宋体"/>
          <w:color w:val="000000" w:themeColor="text1"/>
          <w:sz w:val="24"/>
          <w:szCs w:val="24"/>
          <w:lang w:eastAsia="zh-CN"/>
          <w14:textFill>
            <w14:solidFill>
              <w14:schemeClr w14:val="tx1"/>
            </w14:solidFill>
          </w14:textFill>
        </w:rPr>
        <w:t>；</w:t>
      </w:r>
    </w:p>
    <w:p>
      <w:pPr>
        <w:pStyle w:val="28"/>
        <w:widowControl/>
        <w:numPr>
          <w:ilvl w:val="0"/>
          <w:numId w:val="0"/>
        </w:numPr>
        <w:spacing w:line="360" w:lineRule="auto"/>
        <w:ind w:left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62.</w:t>
      </w:r>
      <w:r>
        <w:rPr>
          <w:rFonts w:hint="eastAsia" w:ascii="宋体" w:hAnsi="宋体" w:eastAsia="宋体" w:cs="宋体"/>
          <w:color w:val="000000" w:themeColor="text1"/>
          <w:sz w:val="24"/>
          <w:szCs w:val="24"/>
          <w14:textFill>
            <w14:solidFill>
              <w14:schemeClr w14:val="tx1"/>
            </w14:solidFill>
          </w14:textFill>
        </w:rPr>
        <w:t>支持802.1x EAP身份认证网络连接，能够登陆需要进行身份认证的校园网</w:t>
      </w:r>
      <w:r>
        <w:rPr>
          <w:rFonts w:hint="eastAsia" w:ascii="宋体" w:hAnsi="宋体" w:eastAsia="宋体" w:cs="宋体"/>
          <w:color w:val="000000" w:themeColor="text1"/>
          <w:sz w:val="24"/>
          <w:szCs w:val="24"/>
          <w:lang w:eastAsia="zh-CN"/>
          <w14:textFill>
            <w14:solidFill>
              <w14:schemeClr w14:val="tx1"/>
            </w14:solidFill>
          </w14:textFill>
        </w:rPr>
        <w:t>；</w:t>
      </w:r>
    </w:p>
    <w:p>
      <w:pPr>
        <w:pStyle w:val="28"/>
        <w:widowControl/>
        <w:numPr>
          <w:ilvl w:val="0"/>
          <w:numId w:val="0"/>
        </w:numPr>
        <w:spacing w:line="360" w:lineRule="auto"/>
        <w:ind w:left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63.</w:t>
      </w:r>
      <w:r>
        <w:rPr>
          <w:rFonts w:hint="eastAsia" w:ascii="宋体" w:hAnsi="宋体" w:eastAsia="宋体" w:cs="宋体"/>
          <w:color w:val="000000" w:themeColor="text1"/>
          <w:sz w:val="24"/>
          <w:szCs w:val="24"/>
          <w14:textFill>
            <w14:solidFill>
              <w14:schemeClr w14:val="tx1"/>
            </w14:solidFill>
          </w14:textFill>
        </w:rPr>
        <w:t>支持蓝牙Bluetooth 5.2标准</w:t>
      </w:r>
      <w:r>
        <w:rPr>
          <w:rFonts w:hint="eastAsia" w:ascii="宋体" w:hAnsi="宋体" w:eastAsia="宋体" w:cs="宋体"/>
          <w:color w:val="000000" w:themeColor="text1"/>
          <w:sz w:val="24"/>
          <w:szCs w:val="24"/>
          <w:lang w:eastAsia="zh-CN"/>
          <w14:textFill>
            <w14:solidFill>
              <w14:schemeClr w14:val="tx1"/>
            </w14:solidFill>
          </w14:textFill>
        </w:rPr>
        <w:t>；</w:t>
      </w:r>
    </w:p>
    <w:p>
      <w:pPr>
        <w:pStyle w:val="28"/>
        <w:widowControl/>
        <w:numPr>
          <w:ilvl w:val="0"/>
          <w:numId w:val="0"/>
        </w:numPr>
        <w:spacing w:line="360" w:lineRule="auto"/>
        <w:ind w:leftChars="0"/>
        <w:rPr>
          <w:rFonts w:hint="eastAsia" w:ascii="宋体" w:hAnsi="宋体" w:eastAsia="宋体" w:cs="宋体"/>
          <w:sz w:val="24"/>
          <w:szCs w:val="24"/>
        </w:rPr>
      </w:pPr>
      <w:r>
        <w:rPr>
          <w:rFonts w:hint="eastAsia" w:ascii="宋体" w:hAnsi="宋体" w:eastAsia="宋体" w:cs="宋体"/>
          <w:color w:val="000000" w:themeColor="text1"/>
          <w:sz w:val="24"/>
          <w:szCs w:val="24"/>
          <w:lang w:val="en-US" w:eastAsia="zh-CN"/>
          <w14:textFill>
            <w14:solidFill>
              <w14:schemeClr w14:val="tx1"/>
            </w14:solidFill>
          </w14:textFill>
        </w:rPr>
        <w:t>64.</w:t>
      </w:r>
      <w:r>
        <w:rPr>
          <w:rFonts w:hint="eastAsia" w:ascii="宋体" w:hAnsi="宋体" w:eastAsia="宋体" w:cs="宋体"/>
          <w:color w:val="000000" w:themeColor="text1"/>
          <w:sz w:val="24"/>
          <w:szCs w:val="24"/>
          <w14:textFill>
            <w14:solidFill>
              <w14:schemeClr w14:val="tx1"/>
            </w14:solidFill>
          </w14:textFill>
        </w:rPr>
        <w:t>支持连接外部蓝牙音箱播放音频，能接收移动终端通过蓝牙发送的文件</w:t>
      </w:r>
      <w:r>
        <w:rPr>
          <w:rFonts w:hint="eastAsia" w:ascii="宋体" w:hAnsi="宋体" w:eastAsia="宋体" w:cs="宋体"/>
          <w:color w:val="000000" w:themeColor="text1"/>
          <w:sz w:val="24"/>
          <w:szCs w:val="24"/>
          <w:lang w:eastAsia="zh-CN"/>
          <w14:textFill>
            <w14:solidFill>
              <w14:schemeClr w14:val="tx1"/>
            </w14:solidFill>
          </w14:textFill>
        </w:rPr>
        <w:t>；</w:t>
      </w:r>
    </w:p>
    <w:p>
      <w:pPr>
        <w:pStyle w:val="28"/>
        <w:widowControl/>
        <w:numPr>
          <w:ilvl w:val="0"/>
          <w:numId w:val="0"/>
        </w:numPr>
        <w:spacing w:line="360" w:lineRule="auto"/>
        <w:ind w:left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65.</w:t>
      </w:r>
      <w:r>
        <w:rPr>
          <w:rFonts w:hint="eastAsia" w:ascii="宋体" w:hAnsi="宋体" w:eastAsia="宋体" w:cs="宋体"/>
          <w:sz w:val="24"/>
          <w:szCs w:val="24"/>
        </w:rPr>
        <w:t>具备全通道悬浮菜单，可通过便捷菜单快速调用返回、安卓主页、批注等</w:t>
      </w:r>
      <w:r>
        <w:rPr>
          <w:rFonts w:hint="eastAsia" w:ascii="宋体" w:hAnsi="宋体" w:eastAsia="宋体" w:cs="宋体"/>
          <w:sz w:val="24"/>
          <w:szCs w:val="24"/>
          <w:lang w:eastAsia="zh-CN"/>
        </w:rPr>
        <w:t>；</w:t>
      </w:r>
    </w:p>
    <w:p>
      <w:pPr>
        <w:pStyle w:val="28"/>
        <w:widowControl/>
        <w:numPr>
          <w:ilvl w:val="0"/>
          <w:numId w:val="0"/>
        </w:numPr>
        <w:spacing w:line="360" w:lineRule="auto"/>
        <w:ind w:left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66.</w:t>
      </w:r>
      <w:r>
        <w:rPr>
          <w:rFonts w:hint="eastAsia" w:ascii="宋体" w:hAnsi="宋体" w:eastAsia="宋体" w:cs="宋体"/>
          <w:sz w:val="24"/>
          <w:szCs w:val="24"/>
        </w:rPr>
        <w:t>支持将自定义图片设置为开机画面</w:t>
      </w:r>
      <w:r>
        <w:rPr>
          <w:rFonts w:hint="eastAsia" w:ascii="宋体" w:hAnsi="宋体" w:eastAsia="宋体" w:cs="宋体"/>
          <w:sz w:val="24"/>
          <w:szCs w:val="24"/>
          <w:lang w:eastAsia="zh-CN"/>
        </w:rPr>
        <w:t>；</w:t>
      </w:r>
    </w:p>
    <w:p>
      <w:pPr>
        <w:pStyle w:val="28"/>
        <w:widowControl/>
        <w:numPr>
          <w:ilvl w:val="0"/>
          <w:numId w:val="0"/>
        </w:numPr>
        <w:spacing w:line="360" w:lineRule="auto"/>
        <w:ind w:left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67.</w:t>
      </w:r>
      <w:r>
        <w:rPr>
          <w:rFonts w:hint="eastAsia" w:ascii="宋体" w:hAnsi="宋体" w:eastAsia="宋体" w:cs="宋体"/>
          <w:sz w:val="24"/>
          <w:szCs w:val="24"/>
        </w:rPr>
        <w:t>具备高效节能模式，检测到黑暗环境30秒后自动进入节能模式且检测到光亮会自动唤醒屏幕，功能可选择打开或关闭</w:t>
      </w:r>
      <w:r>
        <w:rPr>
          <w:rFonts w:hint="eastAsia" w:ascii="宋体" w:hAnsi="宋体" w:eastAsia="宋体" w:cs="宋体"/>
          <w:sz w:val="24"/>
          <w:szCs w:val="24"/>
          <w:lang w:eastAsia="zh-CN"/>
        </w:rPr>
        <w:t>；</w:t>
      </w:r>
    </w:p>
    <w:p>
      <w:pPr>
        <w:pStyle w:val="28"/>
        <w:widowControl/>
        <w:numPr>
          <w:ilvl w:val="0"/>
          <w:numId w:val="0"/>
        </w:numPr>
        <w:spacing w:line="360" w:lineRule="auto"/>
        <w:ind w:left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68.</w:t>
      </w:r>
      <w:r>
        <w:rPr>
          <w:rFonts w:hint="eastAsia" w:ascii="宋体" w:hAnsi="宋体" w:eastAsia="宋体" w:cs="宋体"/>
          <w:sz w:val="24"/>
          <w:szCs w:val="24"/>
        </w:rPr>
        <w:t>无人操作时可自动进入关机状态并可对时间进行设置</w:t>
      </w:r>
      <w:r>
        <w:rPr>
          <w:rFonts w:hint="eastAsia" w:ascii="宋体" w:hAnsi="宋体" w:eastAsia="宋体" w:cs="宋体"/>
          <w:sz w:val="24"/>
          <w:szCs w:val="24"/>
          <w:lang w:eastAsia="zh-CN"/>
        </w:rPr>
        <w:t>；</w:t>
      </w:r>
    </w:p>
    <w:p>
      <w:pPr>
        <w:pStyle w:val="28"/>
        <w:widowControl/>
        <w:numPr>
          <w:ilvl w:val="0"/>
          <w:numId w:val="0"/>
        </w:numPr>
        <w:spacing w:line="360" w:lineRule="auto"/>
        <w:ind w:left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69.</w:t>
      </w:r>
      <w:r>
        <w:rPr>
          <w:rFonts w:hint="eastAsia" w:ascii="宋体" w:hAnsi="宋体" w:eastAsia="宋体" w:cs="宋体"/>
          <w:sz w:val="24"/>
          <w:szCs w:val="24"/>
        </w:rPr>
        <w:t>处于无信号状态时</w:t>
      </w:r>
      <w:r>
        <w:rPr>
          <w:rFonts w:hint="eastAsia" w:ascii="宋体" w:hAnsi="宋体" w:eastAsia="宋体" w:cs="宋体"/>
          <w:sz w:val="24"/>
          <w:szCs w:val="24"/>
          <w:lang w:eastAsia="zh-CN"/>
        </w:rPr>
        <w:t>，</w:t>
      </w:r>
      <w:r>
        <w:rPr>
          <w:rFonts w:hint="eastAsia" w:ascii="宋体" w:hAnsi="宋体" w:eastAsia="宋体" w:cs="宋体"/>
          <w:sz w:val="24"/>
          <w:szCs w:val="24"/>
        </w:rPr>
        <w:t>在指定时间内无信号系统将进入关机并可设置时间</w:t>
      </w:r>
      <w:r>
        <w:rPr>
          <w:rFonts w:hint="eastAsia" w:ascii="宋体" w:hAnsi="宋体" w:eastAsia="宋体" w:cs="宋体"/>
          <w:sz w:val="24"/>
          <w:szCs w:val="24"/>
          <w:lang w:eastAsia="zh-CN"/>
        </w:rPr>
        <w:t>；</w:t>
      </w:r>
    </w:p>
    <w:p>
      <w:pPr>
        <w:pStyle w:val="28"/>
        <w:widowControl/>
        <w:numPr>
          <w:ilvl w:val="0"/>
          <w:numId w:val="0"/>
        </w:numPr>
        <w:spacing w:line="360" w:lineRule="auto"/>
        <w:ind w:left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70.</w:t>
      </w:r>
      <w:r>
        <w:rPr>
          <w:rFonts w:hint="eastAsia" w:ascii="宋体" w:hAnsi="宋体" w:eastAsia="宋体" w:cs="宋体"/>
          <w:sz w:val="24"/>
          <w:szCs w:val="24"/>
        </w:rPr>
        <w:t>支持通道自动跳转，接入外接设备后能自动识别并切换到对应的信号源通道，切换前弹出确认选项，断开外接设备后能自动返回上一通道</w:t>
      </w:r>
      <w:r>
        <w:rPr>
          <w:rFonts w:hint="eastAsia" w:ascii="宋体" w:hAnsi="宋体" w:eastAsia="宋体" w:cs="宋体"/>
          <w:sz w:val="24"/>
          <w:szCs w:val="24"/>
          <w:lang w:eastAsia="zh-CN"/>
        </w:rPr>
        <w:t>；</w:t>
      </w:r>
    </w:p>
    <w:p>
      <w:pPr>
        <w:pStyle w:val="28"/>
        <w:widowControl/>
        <w:numPr>
          <w:ilvl w:val="0"/>
          <w:numId w:val="0"/>
        </w:numPr>
        <w:spacing w:line="360" w:lineRule="auto"/>
        <w:ind w:left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71.具有</w:t>
      </w:r>
      <w:r>
        <w:rPr>
          <w:rFonts w:hint="eastAsia" w:ascii="宋体" w:hAnsi="宋体" w:eastAsia="宋体" w:cs="宋体"/>
          <w:sz w:val="24"/>
          <w:szCs w:val="24"/>
        </w:rPr>
        <w:t>自动唤醒功能，处于关机通电状态下外接设备通过HDMI传输线连接至整机时可自动识别外接设备信号输入并自动开机</w:t>
      </w:r>
      <w:r>
        <w:rPr>
          <w:rFonts w:hint="eastAsia" w:ascii="宋体" w:hAnsi="宋体" w:eastAsia="宋体" w:cs="宋体"/>
          <w:sz w:val="24"/>
          <w:szCs w:val="24"/>
          <w:lang w:eastAsia="zh-CN"/>
        </w:rPr>
        <w:t>；</w:t>
      </w:r>
    </w:p>
    <w:p>
      <w:pPr>
        <w:pStyle w:val="28"/>
        <w:widowControl/>
        <w:numPr>
          <w:ilvl w:val="0"/>
          <w:numId w:val="0"/>
        </w:numPr>
        <w:spacing w:line="360" w:lineRule="auto"/>
        <w:ind w:left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72.</w:t>
      </w:r>
      <w:r>
        <w:rPr>
          <w:rFonts w:hint="eastAsia" w:ascii="宋体" w:hAnsi="宋体" w:eastAsia="宋体" w:cs="宋体"/>
          <w:sz w:val="24"/>
          <w:szCs w:val="24"/>
        </w:rPr>
        <w:t>外接电脑设备连接至整机且触摸信号连通时，外接电脑设备可直接读取插入整机前置USB接口的移动存储设备数据，连接整机前置USB接口的翻页笔和无线键鼠可直接操作外接电脑设备</w:t>
      </w:r>
      <w:r>
        <w:rPr>
          <w:rFonts w:hint="eastAsia" w:ascii="宋体" w:hAnsi="宋体" w:eastAsia="宋体" w:cs="宋体"/>
          <w:sz w:val="24"/>
          <w:szCs w:val="24"/>
          <w:lang w:eastAsia="zh-CN"/>
        </w:rPr>
        <w:t>；</w:t>
      </w:r>
    </w:p>
    <w:p>
      <w:pPr>
        <w:pStyle w:val="28"/>
        <w:widowControl/>
        <w:numPr>
          <w:ilvl w:val="0"/>
          <w:numId w:val="0"/>
        </w:numPr>
        <w:spacing w:line="360" w:lineRule="auto"/>
        <w:ind w:left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73.</w:t>
      </w:r>
      <w:r>
        <w:rPr>
          <w:rFonts w:hint="eastAsia" w:ascii="宋体" w:hAnsi="宋体" w:eastAsia="宋体" w:cs="宋体"/>
          <w:sz w:val="24"/>
          <w:szCs w:val="24"/>
        </w:rPr>
        <w:t>支持自定义开机通道，可设置默认通道，开机自动进入无需手动切换</w:t>
      </w:r>
      <w:r>
        <w:rPr>
          <w:rFonts w:hint="eastAsia" w:ascii="宋体" w:hAnsi="宋体" w:eastAsia="宋体" w:cs="宋体"/>
          <w:sz w:val="24"/>
          <w:szCs w:val="24"/>
          <w:lang w:eastAsia="zh-CN"/>
        </w:rPr>
        <w:t>；</w:t>
      </w:r>
    </w:p>
    <w:p>
      <w:pPr>
        <w:pStyle w:val="28"/>
        <w:widowControl/>
        <w:numPr>
          <w:ilvl w:val="0"/>
          <w:numId w:val="0"/>
        </w:numPr>
        <w:spacing w:line="360" w:lineRule="auto"/>
        <w:ind w:left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74.具有</w:t>
      </w:r>
      <w:r>
        <w:rPr>
          <w:rFonts w:hint="eastAsia" w:ascii="宋体" w:hAnsi="宋体" w:eastAsia="宋体" w:cs="宋体"/>
          <w:sz w:val="24"/>
          <w:szCs w:val="24"/>
        </w:rPr>
        <w:t>通道记忆功能，未设置开机通道时开机默认回到上一次关机时的通道</w:t>
      </w:r>
      <w:r>
        <w:rPr>
          <w:rFonts w:hint="eastAsia" w:ascii="宋体" w:hAnsi="宋体" w:eastAsia="宋体" w:cs="宋体"/>
          <w:sz w:val="24"/>
          <w:szCs w:val="24"/>
          <w:lang w:eastAsia="zh-CN"/>
        </w:rPr>
        <w:t>；</w:t>
      </w:r>
    </w:p>
    <w:p>
      <w:pPr>
        <w:pStyle w:val="28"/>
        <w:widowControl/>
        <w:numPr>
          <w:ilvl w:val="0"/>
          <w:numId w:val="0"/>
        </w:numPr>
        <w:spacing w:line="360" w:lineRule="auto"/>
        <w:ind w:left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75.具有</w:t>
      </w:r>
      <w:r>
        <w:rPr>
          <w:rFonts w:hint="eastAsia" w:ascii="宋体" w:hAnsi="宋体" w:eastAsia="宋体" w:cs="宋体"/>
          <w:sz w:val="24"/>
          <w:szCs w:val="24"/>
        </w:rPr>
        <w:t>智能手势识别功能，在任意通道下可通过五指长按屏幕实现熄屏和唤醒屏幕</w:t>
      </w:r>
      <w:r>
        <w:rPr>
          <w:rFonts w:hint="eastAsia" w:ascii="宋体" w:hAnsi="宋体" w:eastAsia="宋体" w:cs="宋体"/>
          <w:sz w:val="24"/>
          <w:szCs w:val="24"/>
          <w:lang w:eastAsia="zh-CN"/>
        </w:rPr>
        <w:t>，</w:t>
      </w:r>
      <w:r>
        <w:rPr>
          <w:rFonts w:hint="eastAsia" w:ascii="宋体" w:hAnsi="宋体" w:eastAsia="宋体" w:cs="宋体"/>
          <w:sz w:val="24"/>
          <w:szCs w:val="24"/>
        </w:rPr>
        <w:t>可识别五指上、下、左、右方向手势滑动调用相应功能，支持将各手势滑动方向自定义设置为主页、降半屏、批注、锁屏、经典护眼、纸质护眼、聚光灯、多任务、无操作等</w:t>
      </w:r>
      <w:r>
        <w:rPr>
          <w:rFonts w:hint="eastAsia" w:ascii="宋体" w:hAnsi="宋体" w:eastAsia="宋体" w:cs="宋体"/>
          <w:sz w:val="24"/>
          <w:szCs w:val="24"/>
          <w:lang w:eastAsia="zh-CN"/>
        </w:rPr>
        <w:t>；</w:t>
      </w:r>
    </w:p>
    <w:p>
      <w:pPr>
        <w:pStyle w:val="28"/>
        <w:widowControl/>
        <w:numPr>
          <w:ilvl w:val="0"/>
          <w:numId w:val="0"/>
        </w:numPr>
        <w:spacing w:line="360" w:lineRule="auto"/>
        <w:ind w:left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76.</w:t>
      </w:r>
      <w:r>
        <w:rPr>
          <w:rFonts w:hint="eastAsia" w:ascii="宋体" w:hAnsi="宋体" w:eastAsia="宋体" w:cs="宋体"/>
          <w:sz w:val="24"/>
          <w:szCs w:val="24"/>
        </w:rPr>
        <w:t>在任意信号源通道下支持十指长按屏幕5秒实现触摸锁定及解锁，触摸锁定时整机无法被触控操作</w:t>
      </w:r>
      <w:r>
        <w:rPr>
          <w:rFonts w:hint="eastAsia" w:ascii="宋体" w:hAnsi="宋体" w:eastAsia="宋体" w:cs="宋体"/>
          <w:sz w:val="24"/>
          <w:szCs w:val="24"/>
          <w:lang w:eastAsia="zh-CN"/>
        </w:rPr>
        <w:t>；</w:t>
      </w:r>
    </w:p>
    <w:p>
      <w:pPr>
        <w:pStyle w:val="28"/>
        <w:widowControl/>
        <w:numPr>
          <w:ilvl w:val="0"/>
          <w:numId w:val="0"/>
        </w:numPr>
        <w:spacing w:line="360" w:lineRule="auto"/>
        <w:ind w:left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77.具有</w:t>
      </w:r>
      <w:r>
        <w:rPr>
          <w:rFonts w:hint="eastAsia" w:ascii="宋体" w:hAnsi="宋体" w:eastAsia="宋体" w:cs="宋体"/>
          <w:sz w:val="24"/>
          <w:szCs w:val="24"/>
        </w:rPr>
        <w:t>智能U盘锁功能，可设置触摸及按键锁定，锁定后无法随意自由操作，需使用时插入USB key解锁</w:t>
      </w:r>
      <w:r>
        <w:rPr>
          <w:rFonts w:hint="eastAsia" w:ascii="宋体" w:hAnsi="宋体" w:eastAsia="宋体" w:cs="宋体"/>
          <w:sz w:val="24"/>
          <w:szCs w:val="24"/>
          <w:lang w:eastAsia="zh-CN"/>
        </w:rPr>
        <w:t>；</w:t>
      </w:r>
    </w:p>
    <w:p>
      <w:pPr>
        <w:pStyle w:val="28"/>
        <w:widowControl/>
        <w:numPr>
          <w:ilvl w:val="0"/>
          <w:numId w:val="0"/>
        </w:numPr>
        <w:spacing w:line="360" w:lineRule="auto"/>
        <w:ind w:left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78.具有</w:t>
      </w:r>
      <w:r>
        <w:rPr>
          <w:rFonts w:hint="eastAsia" w:ascii="宋体" w:hAnsi="宋体" w:eastAsia="宋体" w:cs="宋体"/>
          <w:sz w:val="24"/>
          <w:szCs w:val="24"/>
        </w:rPr>
        <w:t>一键开启录课功能，可将屏幕中显示的课件、音视频内容与老师人声同时录制</w:t>
      </w:r>
      <w:r>
        <w:rPr>
          <w:rFonts w:hint="eastAsia" w:ascii="宋体" w:hAnsi="宋体" w:eastAsia="宋体" w:cs="宋体"/>
          <w:sz w:val="24"/>
          <w:szCs w:val="24"/>
          <w:lang w:eastAsia="zh-CN"/>
        </w:rPr>
        <w:t>；</w:t>
      </w:r>
    </w:p>
    <w:p>
      <w:pPr>
        <w:pStyle w:val="28"/>
        <w:widowControl/>
        <w:numPr>
          <w:ilvl w:val="0"/>
          <w:numId w:val="0"/>
        </w:numPr>
        <w:spacing w:line="360" w:lineRule="auto"/>
        <w:ind w:left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79.</w:t>
      </w:r>
      <w:r>
        <w:rPr>
          <w:rFonts w:hint="eastAsia" w:ascii="宋体" w:hAnsi="宋体" w:eastAsia="宋体" w:cs="宋体"/>
          <w:sz w:val="24"/>
          <w:szCs w:val="24"/>
        </w:rPr>
        <w:t>支持本地升级和OTA在线升级两种方式对系统更新</w:t>
      </w:r>
      <w:r>
        <w:rPr>
          <w:rFonts w:hint="eastAsia" w:ascii="宋体" w:hAnsi="宋体" w:eastAsia="宋体" w:cs="宋体"/>
          <w:sz w:val="24"/>
          <w:szCs w:val="24"/>
          <w:lang w:eastAsia="zh-CN"/>
        </w:rPr>
        <w:t>；</w:t>
      </w:r>
    </w:p>
    <w:p>
      <w:pPr>
        <w:pStyle w:val="28"/>
        <w:widowControl/>
        <w:numPr>
          <w:ilvl w:val="0"/>
          <w:numId w:val="0"/>
        </w:numPr>
        <w:spacing w:line="360" w:lineRule="auto"/>
        <w:ind w:left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80.</w:t>
      </w:r>
      <w:r>
        <w:rPr>
          <w:rFonts w:hint="eastAsia" w:ascii="宋体" w:hAnsi="宋体" w:eastAsia="宋体" w:cs="宋体"/>
          <w:sz w:val="24"/>
          <w:szCs w:val="24"/>
        </w:rPr>
        <w:t>可屏幕下移</w:t>
      </w:r>
      <w:r>
        <w:rPr>
          <w:rFonts w:hint="eastAsia" w:ascii="宋体" w:hAnsi="宋体" w:eastAsia="宋体" w:cs="宋体"/>
          <w:sz w:val="24"/>
          <w:szCs w:val="24"/>
          <w:lang w:eastAsia="zh-CN"/>
        </w:rPr>
        <w:t>、</w:t>
      </w:r>
      <w:r>
        <w:rPr>
          <w:rFonts w:hint="eastAsia" w:ascii="宋体" w:hAnsi="宋体" w:eastAsia="宋体" w:cs="宋体"/>
          <w:sz w:val="24"/>
          <w:szCs w:val="24"/>
        </w:rPr>
        <w:t>降半屏显示</w:t>
      </w:r>
      <w:r>
        <w:rPr>
          <w:rFonts w:hint="eastAsia" w:ascii="宋体" w:hAnsi="宋体" w:eastAsia="宋体" w:cs="宋体"/>
          <w:sz w:val="24"/>
          <w:szCs w:val="24"/>
          <w:lang w:eastAsia="zh-CN"/>
        </w:rPr>
        <w:t>，</w:t>
      </w:r>
      <w:r>
        <w:rPr>
          <w:rFonts w:hint="eastAsia" w:ascii="宋体" w:hAnsi="宋体" w:eastAsia="宋体" w:cs="宋体"/>
          <w:sz w:val="24"/>
          <w:szCs w:val="24"/>
        </w:rPr>
        <w:t>半屏显示时支持对半屏部分显示内容进行触控操作并可通过点击非显示画面区域快速返回全屏</w:t>
      </w:r>
      <w:r>
        <w:rPr>
          <w:rFonts w:hint="eastAsia" w:ascii="宋体" w:hAnsi="宋体" w:eastAsia="宋体" w:cs="宋体"/>
          <w:sz w:val="24"/>
          <w:szCs w:val="24"/>
          <w:lang w:eastAsia="zh-CN"/>
        </w:rPr>
        <w:t>；</w:t>
      </w:r>
    </w:p>
    <w:p>
      <w:pPr>
        <w:pStyle w:val="28"/>
        <w:widowControl/>
        <w:numPr>
          <w:ilvl w:val="0"/>
          <w:numId w:val="0"/>
        </w:numPr>
        <w:spacing w:line="360" w:lineRule="auto"/>
        <w:ind w:left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81.</w:t>
      </w:r>
      <w:r>
        <w:rPr>
          <w:rFonts w:hint="eastAsia" w:ascii="宋体" w:hAnsi="宋体" w:eastAsia="宋体" w:cs="宋体"/>
          <w:sz w:val="24"/>
          <w:szCs w:val="24"/>
        </w:rPr>
        <w:t>支持通过物理按键、手势及触摸快捷按键等方式快捷调用半屏模式</w:t>
      </w:r>
      <w:r>
        <w:rPr>
          <w:rFonts w:hint="eastAsia" w:ascii="宋体" w:hAnsi="宋体" w:eastAsia="宋体" w:cs="宋体"/>
          <w:sz w:val="24"/>
          <w:szCs w:val="24"/>
          <w:lang w:eastAsia="zh-CN"/>
        </w:rPr>
        <w:t>；</w:t>
      </w:r>
    </w:p>
    <w:p>
      <w:pPr>
        <w:pStyle w:val="28"/>
        <w:widowControl/>
        <w:numPr>
          <w:ilvl w:val="0"/>
          <w:numId w:val="0"/>
        </w:numPr>
        <w:spacing w:line="360" w:lineRule="auto"/>
        <w:ind w:leftChars="0"/>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82.具有</w:t>
      </w:r>
      <w:r>
        <w:rPr>
          <w:rFonts w:hint="eastAsia" w:ascii="宋体" w:hAnsi="宋体" w:eastAsia="宋体" w:cs="宋体"/>
          <w:sz w:val="24"/>
          <w:szCs w:val="24"/>
        </w:rPr>
        <w:t>分级降屏（1/3、1/2）功能，可根据使用情况自行选择降1/3或1/2屏</w:t>
      </w:r>
      <w:r>
        <w:rPr>
          <w:rFonts w:hint="eastAsia" w:ascii="宋体" w:hAnsi="宋体" w:eastAsia="宋体" w:cs="宋体"/>
          <w:sz w:val="24"/>
          <w:szCs w:val="24"/>
          <w:lang w:eastAsia="zh-CN"/>
        </w:rPr>
        <w:t>；</w:t>
      </w:r>
    </w:p>
    <w:p>
      <w:pPr>
        <w:pStyle w:val="28"/>
        <w:widowControl/>
        <w:numPr>
          <w:ilvl w:val="0"/>
          <w:numId w:val="0"/>
        </w:numPr>
        <w:spacing w:line="360" w:lineRule="auto"/>
        <w:ind w:left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83.</w:t>
      </w:r>
      <w:r>
        <w:rPr>
          <w:rFonts w:hint="eastAsia" w:ascii="宋体" w:hAnsi="宋体" w:eastAsia="宋体" w:cs="宋体"/>
          <w:sz w:val="24"/>
          <w:szCs w:val="24"/>
        </w:rPr>
        <w:t>开机启动后自动进入教学桌面，支持账号登录、退出</w:t>
      </w:r>
      <w:r>
        <w:rPr>
          <w:rFonts w:hint="eastAsia" w:ascii="宋体" w:hAnsi="宋体" w:eastAsia="宋体" w:cs="宋体"/>
          <w:sz w:val="24"/>
          <w:szCs w:val="24"/>
          <w:lang w:val="en-US" w:eastAsia="zh-CN"/>
        </w:rPr>
        <w:t>及</w:t>
      </w:r>
      <w:r>
        <w:rPr>
          <w:rFonts w:hint="eastAsia" w:ascii="宋体" w:hAnsi="宋体" w:eastAsia="宋体" w:cs="宋体"/>
          <w:sz w:val="24"/>
          <w:szCs w:val="24"/>
        </w:rPr>
        <w:t>自动获取个人云端教学课件列表</w:t>
      </w:r>
      <w:r>
        <w:rPr>
          <w:rFonts w:hint="eastAsia" w:ascii="宋体" w:hAnsi="宋体" w:eastAsia="宋体" w:cs="宋体"/>
          <w:sz w:val="24"/>
          <w:szCs w:val="24"/>
          <w:lang w:eastAsia="zh-CN"/>
        </w:rPr>
        <w:t>；</w:t>
      </w:r>
    </w:p>
    <w:p>
      <w:pPr>
        <w:pStyle w:val="28"/>
        <w:widowControl/>
        <w:numPr>
          <w:ilvl w:val="0"/>
          <w:numId w:val="0"/>
        </w:numPr>
        <w:spacing w:line="360" w:lineRule="auto"/>
        <w:ind w:left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84.</w:t>
      </w:r>
      <w:r>
        <w:rPr>
          <w:rFonts w:hint="eastAsia" w:ascii="宋体" w:hAnsi="宋体" w:eastAsia="宋体" w:cs="宋体"/>
          <w:sz w:val="24"/>
          <w:szCs w:val="24"/>
        </w:rPr>
        <w:t>支持多种身份识别方式，支持通过账号登录、手机扫码登录</w:t>
      </w:r>
      <w:r>
        <w:rPr>
          <w:rFonts w:hint="eastAsia" w:ascii="宋体" w:hAnsi="宋体" w:eastAsia="宋体" w:cs="宋体"/>
          <w:sz w:val="24"/>
          <w:szCs w:val="24"/>
          <w:lang w:eastAsia="zh-CN"/>
        </w:rPr>
        <w:t>；</w:t>
      </w:r>
    </w:p>
    <w:p>
      <w:pPr>
        <w:pStyle w:val="28"/>
        <w:widowControl/>
        <w:numPr>
          <w:ilvl w:val="0"/>
          <w:numId w:val="0"/>
        </w:numPr>
        <w:spacing w:line="360" w:lineRule="auto"/>
        <w:ind w:left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85.</w:t>
      </w:r>
      <w:r>
        <w:rPr>
          <w:rFonts w:hint="eastAsia" w:ascii="宋体" w:hAnsi="宋体" w:eastAsia="宋体" w:cs="宋体"/>
          <w:sz w:val="24"/>
          <w:szCs w:val="24"/>
        </w:rPr>
        <w:t>支持统一互通的用户身份认证服务，账号登录后打开教学白板软件、校园美育软件时无需再次输入账号密码重复登录</w:t>
      </w:r>
      <w:r>
        <w:rPr>
          <w:rFonts w:hint="eastAsia" w:ascii="宋体" w:hAnsi="宋体" w:eastAsia="宋体" w:cs="宋体"/>
          <w:sz w:val="24"/>
          <w:szCs w:val="24"/>
          <w:lang w:eastAsia="zh-CN"/>
        </w:rPr>
        <w:t>；</w:t>
      </w:r>
    </w:p>
    <w:p>
      <w:pPr>
        <w:pStyle w:val="28"/>
        <w:widowControl/>
        <w:numPr>
          <w:ilvl w:val="0"/>
          <w:numId w:val="0"/>
        </w:numPr>
        <w:spacing w:line="360" w:lineRule="auto"/>
        <w:ind w:left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86.</w:t>
      </w:r>
      <w:r>
        <w:rPr>
          <w:rFonts w:hint="eastAsia" w:ascii="宋体" w:hAnsi="宋体" w:eastAsia="宋体" w:cs="宋体"/>
          <w:sz w:val="24"/>
          <w:szCs w:val="24"/>
        </w:rPr>
        <w:t>教学桌面支持教学常用的教学白板软件、视频展台软件、授课助手软件、WPS、文件管理器等，提供进入本机所有应用的入口，桌面软件支持自定义设置</w:t>
      </w:r>
      <w:r>
        <w:rPr>
          <w:rFonts w:hint="eastAsia" w:ascii="宋体" w:hAnsi="宋体" w:eastAsia="宋体" w:cs="宋体"/>
          <w:sz w:val="24"/>
          <w:szCs w:val="24"/>
          <w:lang w:eastAsia="zh-CN"/>
        </w:rPr>
        <w:t>；</w:t>
      </w:r>
    </w:p>
    <w:p>
      <w:pPr>
        <w:pStyle w:val="28"/>
        <w:widowControl/>
        <w:numPr>
          <w:ilvl w:val="0"/>
          <w:numId w:val="0"/>
        </w:numPr>
        <w:spacing w:line="360" w:lineRule="auto"/>
        <w:ind w:left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87.</w:t>
      </w:r>
      <w:r>
        <w:rPr>
          <w:rFonts w:hint="eastAsia" w:ascii="宋体" w:hAnsi="宋体" w:eastAsia="宋体" w:cs="宋体"/>
          <w:sz w:val="24"/>
          <w:szCs w:val="24"/>
        </w:rPr>
        <w:t>教学桌面教师登录账号后可自动获取并在桌面显示最近使用的教学课件，点击任意课件可直接进入授课模式并支持查看所有个人教学课件资源</w:t>
      </w:r>
      <w:r>
        <w:rPr>
          <w:rFonts w:hint="eastAsia" w:ascii="宋体" w:hAnsi="宋体" w:eastAsia="宋体" w:cs="宋体"/>
          <w:sz w:val="24"/>
          <w:szCs w:val="24"/>
          <w:lang w:eastAsia="zh-CN"/>
        </w:rPr>
        <w:t>；</w:t>
      </w:r>
    </w:p>
    <w:p>
      <w:pPr>
        <w:pStyle w:val="28"/>
        <w:widowControl/>
        <w:numPr>
          <w:ilvl w:val="0"/>
          <w:numId w:val="0"/>
        </w:numPr>
        <w:spacing w:line="360" w:lineRule="auto"/>
        <w:ind w:left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88.</w:t>
      </w:r>
      <w:r>
        <w:rPr>
          <w:rFonts w:hint="eastAsia" w:ascii="宋体" w:hAnsi="宋体" w:eastAsia="宋体" w:cs="宋体"/>
          <w:sz w:val="24"/>
          <w:szCs w:val="24"/>
        </w:rPr>
        <w:t>教学桌面</w:t>
      </w:r>
      <w:r>
        <w:rPr>
          <w:rFonts w:hint="eastAsia" w:ascii="宋体" w:hAnsi="宋体" w:eastAsia="宋体" w:cs="宋体"/>
          <w:sz w:val="24"/>
          <w:szCs w:val="24"/>
          <w:lang w:val="en-US" w:eastAsia="zh-CN"/>
        </w:rPr>
        <w:t>具有</w:t>
      </w:r>
      <w:r>
        <w:rPr>
          <w:rFonts w:hint="eastAsia" w:ascii="宋体" w:hAnsi="宋体" w:eastAsia="宋体" w:cs="宋体"/>
          <w:sz w:val="24"/>
          <w:szCs w:val="24"/>
        </w:rPr>
        <w:t>白板软件预览功能，可一键点击预览画面免登录快速进入教学白板授课界面实现教学白板快速调用</w:t>
      </w:r>
      <w:r>
        <w:rPr>
          <w:rFonts w:hint="eastAsia" w:ascii="宋体" w:hAnsi="宋体" w:eastAsia="宋体" w:cs="宋体"/>
          <w:sz w:val="24"/>
          <w:szCs w:val="24"/>
          <w:lang w:eastAsia="zh-CN"/>
        </w:rPr>
        <w:t>；</w:t>
      </w:r>
    </w:p>
    <w:p>
      <w:pPr>
        <w:pStyle w:val="28"/>
        <w:widowControl/>
        <w:numPr>
          <w:ilvl w:val="0"/>
          <w:numId w:val="0"/>
        </w:numPr>
        <w:spacing w:line="360" w:lineRule="auto"/>
        <w:ind w:leftChars="0"/>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89.</w:t>
      </w:r>
      <w:r>
        <w:rPr>
          <w:rFonts w:hint="eastAsia" w:ascii="宋体" w:hAnsi="宋体" w:eastAsia="宋体" w:cs="宋体"/>
          <w:sz w:val="24"/>
          <w:szCs w:val="24"/>
        </w:rPr>
        <w:t>教学桌面</w:t>
      </w:r>
      <w:r>
        <w:rPr>
          <w:rFonts w:hint="eastAsia" w:ascii="宋体" w:hAnsi="宋体" w:eastAsia="宋体" w:cs="宋体"/>
          <w:sz w:val="24"/>
          <w:szCs w:val="24"/>
          <w:lang w:val="en-US" w:eastAsia="zh-CN"/>
        </w:rPr>
        <w:t>具有</w:t>
      </w:r>
      <w:r>
        <w:rPr>
          <w:rFonts w:hint="eastAsia" w:ascii="宋体" w:hAnsi="宋体" w:eastAsia="宋体" w:cs="宋体"/>
          <w:sz w:val="24"/>
          <w:szCs w:val="24"/>
        </w:rPr>
        <w:t>画报轮播功能，通过主页快捷入口可自定义轮播内容、轮播间隔、播放时间等</w:t>
      </w:r>
      <w:r>
        <w:rPr>
          <w:rFonts w:hint="eastAsia" w:ascii="宋体" w:hAnsi="宋体" w:eastAsia="宋体" w:cs="宋体"/>
          <w:sz w:val="24"/>
          <w:szCs w:val="24"/>
          <w:lang w:eastAsia="zh-CN"/>
        </w:rPr>
        <w:t>；</w:t>
      </w:r>
    </w:p>
    <w:p>
      <w:pPr>
        <w:pStyle w:val="28"/>
        <w:widowControl/>
        <w:numPr>
          <w:ilvl w:val="0"/>
          <w:numId w:val="0"/>
        </w:numPr>
        <w:spacing w:line="360" w:lineRule="auto"/>
        <w:ind w:left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90.</w:t>
      </w:r>
      <w:r>
        <w:rPr>
          <w:rFonts w:hint="eastAsia" w:ascii="宋体" w:hAnsi="宋体" w:eastAsia="宋体" w:cs="宋体"/>
          <w:sz w:val="24"/>
          <w:szCs w:val="24"/>
        </w:rPr>
        <w:t>教学桌面中的文件管理支持同时显示本地磁盘、移动类存储设备的文件资源</w:t>
      </w:r>
      <w:r>
        <w:rPr>
          <w:rFonts w:hint="eastAsia" w:ascii="宋体" w:hAnsi="宋体" w:eastAsia="宋体" w:cs="宋体"/>
          <w:sz w:val="24"/>
          <w:szCs w:val="24"/>
          <w:lang w:eastAsia="zh-CN"/>
        </w:rPr>
        <w:t>；</w:t>
      </w:r>
    </w:p>
    <w:p>
      <w:pPr>
        <w:pStyle w:val="28"/>
        <w:widowControl/>
        <w:numPr>
          <w:ilvl w:val="0"/>
          <w:numId w:val="0"/>
        </w:numPr>
        <w:spacing w:line="360" w:lineRule="auto"/>
        <w:ind w:left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91.</w:t>
      </w:r>
      <w:r>
        <w:rPr>
          <w:rFonts w:hint="eastAsia" w:ascii="宋体" w:hAnsi="宋体" w:eastAsia="宋体" w:cs="宋体"/>
          <w:sz w:val="24"/>
          <w:szCs w:val="24"/>
        </w:rPr>
        <w:t>内置全通道侧边栏快捷菜单，包括应用软件、小工具、信源切换、快捷设置、主页等</w:t>
      </w:r>
      <w:r>
        <w:rPr>
          <w:rFonts w:hint="eastAsia" w:ascii="宋体" w:hAnsi="宋体" w:eastAsia="宋体" w:cs="宋体"/>
          <w:sz w:val="24"/>
          <w:szCs w:val="24"/>
          <w:lang w:eastAsia="zh-CN"/>
        </w:rPr>
        <w:t>，</w:t>
      </w:r>
      <w:r>
        <w:rPr>
          <w:rFonts w:hint="eastAsia" w:ascii="宋体" w:hAnsi="宋体" w:eastAsia="宋体" w:cs="宋体"/>
          <w:sz w:val="24"/>
          <w:szCs w:val="24"/>
        </w:rPr>
        <w:t>在任意显示通道下均可通过侧边栏一键进入该触摸菜单</w:t>
      </w:r>
      <w:r>
        <w:rPr>
          <w:rFonts w:hint="eastAsia" w:ascii="宋体" w:hAnsi="宋体" w:eastAsia="宋体" w:cs="宋体"/>
          <w:sz w:val="24"/>
          <w:szCs w:val="24"/>
          <w:lang w:eastAsia="zh-CN"/>
        </w:rPr>
        <w:t>；</w:t>
      </w:r>
    </w:p>
    <w:p>
      <w:pPr>
        <w:pStyle w:val="28"/>
        <w:widowControl/>
        <w:numPr>
          <w:ilvl w:val="0"/>
          <w:numId w:val="0"/>
        </w:numPr>
        <w:spacing w:line="360" w:lineRule="auto"/>
        <w:ind w:left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92.</w:t>
      </w:r>
      <w:r>
        <w:rPr>
          <w:rFonts w:hint="eastAsia" w:ascii="宋体" w:hAnsi="宋体" w:eastAsia="宋体" w:cs="宋体"/>
          <w:sz w:val="24"/>
          <w:szCs w:val="24"/>
        </w:rPr>
        <w:t>全通道侧边栏快捷菜单包含如下小工具：降半屏、锁屏、录屏、投屏、相机、自检等并支持自定义</w:t>
      </w:r>
      <w:r>
        <w:rPr>
          <w:rFonts w:hint="eastAsia" w:ascii="宋体" w:hAnsi="宋体" w:eastAsia="宋体" w:cs="宋体"/>
          <w:sz w:val="24"/>
          <w:szCs w:val="24"/>
          <w:lang w:eastAsia="zh-CN"/>
        </w:rPr>
        <w:t>；</w:t>
      </w:r>
    </w:p>
    <w:p>
      <w:pPr>
        <w:pStyle w:val="28"/>
        <w:widowControl/>
        <w:numPr>
          <w:ilvl w:val="0"/>
          <w:numId w:val="0"/>
        </w:numPr>
        <w:spacing w:line="360" w:lineRule="auto"/>
        <w:ind w:left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93.</w:t>
      </w:r>
      <w:r>
        <w:rPr>
          <w:rFonts w:hint="eastAsia" w:ascii="宋体" w:hAnsi="宋体" w:eastAsia="宋体" w:cs="宋体"/>
          <w:sz w:val="24"/>
          <w:szCs w:val="24"/>
        </w:rPr>
        <w:t>全通道侧边栏快捷菜单中应用软件可进行实时切换并打开，无需在已经开启任意应用软件全屏模式下退出当前应用再选择更换</w:t>
      </w:r>
      <w:r>
        <w:rPr>
          <w:rFonts w:hint="eastAsia" w:ascii="宋体" w:hAnsi="宋体" w:eastAsia="宋体" w:cs="宋体"/>
          <w:sz w:val="24"/>
          <w:szCs w:val="24"/>
          <w:lang w:eastAsia="zh-CN"/>
        </w:rPr>
        <w:t>；</w:t>
      </w:r>
    </w:p>
    <w:p>
      <w:pPr>
        <w:pStyle w:val="28"/>
        <w:widowControl/>
        <w:numPr>
          <w:ilvl w:val="0"/>
          <w:numId w:val="0"/>
        </w:numPr>
        <w:spacing w:line="360" w:lineRule="auto"/>
        <w:ind w:left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94.</w:t>
      </w:r>
      <w:r>
        <w:rPr>
          <w:rFonts w:hint="eastAsia" w:ascii="宋体" w:hAnsi="宋体" w:eastAsia="宋体" w:cs="宋体"/>
          <w:sz w:val="24"/>
          <w:szCs w:val="24"/>
        </w:rPr>
        <w:t>全通道侧边栏快捷菜单中可随时调起切换经典护眼模式、纸质护眼模式、自动亮度模式、音量和亮度调节、进入快捷整机设置</w:t>
      </w:r>
      <w:r>
        <w:rPr>
          <w:rFonts w:hint="eastAsia" w:ascii="宋体" w:hAnsi="宋体" w:eastAsia="宋体" w:cs="宋体"/>
          <w:sz w:val="24"/>
          <w:szCs w:val="24"/>
          <w:lang w:eastAsia="zh-CN"/>
        </w:rPr>
        <w:t>；</w:t>
      </w:r>
    </w:p>
    <w:p>
      <w:pPr>
        <w:pStyle w:val="28"/>
        <w:widowControl/>
        <w:numPr>
          <w:ilvl w:val="0"/>
          <w:numId w:val="0"/>
        </w:numPr>
        <w:spacing w:line="360" w:lineRule="auto"/>
        <w:ind w:left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95.</w:t>
      </w:r>
      <w:r>
        <w:rPr>
          <w:rFonts w:hint="eastAsia" w:ascii="宋体" w:hAnsi="宋体" w:eastAsia="宋体" w:cs="宋体"/>
          <w:sz w:val="24"/>
          <w:szCs w:val="24"/>
        </w:rPr>
        <w:t>处于非内置PC通道下支持调用屏幕快捷键一键回到PC通道</w:t>
      </w:r>
      <w:r>
        <w:rPr>
          <w:rFonts w:hint="eastAsia" w:ascii="宋体" w:hAnsi="宋体" w:eastAsia="宋体" w:cs="宋体"/>
          <w:sz w:val="24"/>
          <w:szCs w:val="24"/>
          <w:lang w:eastAsia="zh-CN"/>
        </w:rPr>
        <w:t>；</w:t>
      </w:r>
    </w:p>
    <w:p>
      <w:pPr>
        <w:pStyle w:val="28"/>
        <w:widowControl/>
        <w:numPr>
          <w:ilvl w:val="0"/>
          <w:numId w:val="0"/>
        </w:numPr>
        <w:spacing w:line="360" w:lineRule="auto"/>
        <w:ind w:left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96.</w:t>
      </w:r>
      <w:r>
        <w:rPr>
          <w:rFonts w:hint="eastAsia" w:ascii="宋体" w:hAnsi="宋体" w:eastAsia="宋体" w:cs="宋体"/>
          <w:sz w:val="24"/>
          <w:szCs w:val="24"/>
        </w:rPr>
        <w:t>全通道侧边栏支持在任意通道、页面使用批注小工具进行批注讲解，可切换书写笔颜色、截屏保存批注内容、清屏，可根据手与屏幕接触面积自动调整板擦工具大小</w:t>
      </w:r>
      <w:r>
        <w:rPr>
          <w:rFonts w:hint="eastAsia" w:ascii="宋体" w:hAnsi="宋体" w:eastAsia="宋体" w:cs="宋体"/>
          <w:sz w:val="24"/>
          <w:szCs w:val="24"/>
          <w:lang w:eastAsia="zh-CN"/>
        </w:rPr>
        <w:t>；</w:t>
      </w:r>
    </w:p>
    <w:p>
      <w:pPr>
        <w:pStyle w:val="28"/>
        <w:widowControl/>
        <w:numPr>
          <w:ilvl w:val="0"/>
          <w:numId w:val="0"/>
        </w:numPr>
        <w:spacing w:line="360" w:lineRule="auto"/>
        <w:ind w:left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97.</w:t>
      </w:r>
      <w:r>
        <w:rPr>
          <w:rFonts w:hint="eastAsia" w:ascii="宋体" w:hAnsi="宋体" w:eastAsia="宋体" w:cs="宋体"/>
          <w:sz w:val="24"/>
          <w:szCs w:val="24"/>
        </w:rPr>
        <w:t>截图：PC通道下侧边栏支持打开截图，可自行选择截取屏幕范围，点击截图即可成功截取屏幕并自动保存</w:t>
      </w:r>
      <w:r>
        <w:rPr>
          <w:rFonts w:hint="eastAsia" w:ascii="宋体" w:hAnsi="宋体" w:eastAsia="宋体" w:cs="宋体"/>
          <w:sz w:val="24"/>
          <w:szCs w:val="24"/>
          <w:lang w:eastAsia="zh-CN"/>
        </w:rPr>
        <w:t>；</w:t>
      </w:r>
    </w:p>
    <w:p>
      <w:pPr>
        <w:pStyle w:val="28"/>
        <w:widowControl/>
        <w:numPr>
          <w:ilvl w:val="0"/>
          <w:numId w:val="0"/>
        </w:numPr>
        <w:spacing w:line="360" w:lineRule="auto"/>
        <w:ind w:left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98.</w:t>
      </w:r>
      <w:r>
        <w:rPr>
          <w:rFonts w:hint="eastAsia" w:ascii="宋体" w:hAnsi="宋体" w:eastAsia="宋体" w:cs="宋体"/>
          <w:sz w:val="24"/>
          <w:szCs w:val="24"/>
        </w:rPr>
        <w:t>计时器：全通道侧边栏提供秒表正计时，点击开始计时便自动开始并实时显示时间</w:t>
      </w:r>
      <w:r>
        <w:rPr>
          <w:rFonts w:hint="eastAsia" w:ascii="宋体" w:hAnsi="宋体" w:eastAsia="宋体" w:cs="宋体"/>
          <w:sz w:val="24"/>
          <w:szCs w:val="24"/>
          <w:lang w:eastAsia="zh-CN"/>
        </w:rPr>
        <w:t>；</w:t>
      </w:r>
      <w:r>
        <w:rPr>
          <w:rFonts w:hint="eastAsia" w:ascii="宋体" w:hAnsi="宋体" w:eastAsia="宋体" w:cs="宋体"/>
          <w:sz w:val="24"/>
          <w:szCs w:val="24"/>
        </w:rPr>
        <w:t>支持倒计时，输入某特定时间值，可精确到秒，点击开始即进入倒计时且倒计时结束后有声音提示</w:t>
      </w:r>
      <w:r>
        <w:rPr>
          <w:rFonts w:hint="eastAsia" w:ascii="宋体" w:hAnsi="宋体" w:eastAsia="宋体" w:cs="宋体"/>
          <w:sz w:val="24"/>
          <w:szCs w:val="24"/>
          <w:lang w:eastAsia="zh-CN"/>
        </w:rPr>
        <w:t>；</w:t>
      </w:r>
    </w:p>
    <w:p>
      <w:pPr>
        <w:pStyle w:val="28"/>
        <w:widowControl/>
        <w:numPr>
          <w:ilvl w:val="0"/>
          <w:numId w:val="0"/>
        </w:numPr>
        <w:spacing w:line="360" w:lineRule="auto"/>
        <w:ind w:left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99.</w:t>
      </w:r>
      <w:r>
        <w:rPr>
          <w:rFonts w:hint="eastAsia" w:ascii="宋体" w:hAnsi="宋体" w:eastAsia="宋体" w:cs="宋体"/>
          <w:sz w:val="24"/>
          <w:szCs w:val="24"/>
        </w:rPr>
        <w:t>放大镜：全通道侧边栏支持打开放大镜工具放大任意区域内容</w:t>
      </w:r>
      <w:r>
        <w:rPr>
          <w:rFonts w:hint="eastAsia" w:ascii="宋体" w:hAnsi="宋体" w:eastAsia="宋体" w:cs="宋体"/>
          <w:sz w:val="24"/>
          <w:szCs w:val="24"/>
          <w:lang w:eastAsia="zh-CN"/>
        </w:rPr>
        <w:t>；</w:t>
      </w:r>
    </w:p>
    <w:p>
      <w:pPr>
        <w:pStyle w:val="28"/>
        <w:widowControl/>
        <w:numPr>
          <w:ilvl w:val="0"/>
          <w:numId w:val="0"/>
        </w:numPr>
        <w:spacing w:line="360" w:lineRule="auto"/>
        <w:ind w:left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100.</w:t>
      </w:r>
      <w:r>
        <w:rPr>
          <w:rFonts w:hint="eastAsia" w:ascii="宋体" w:hAnsi="宋体" w:eastAsia="宋体" w:cs="宋体"/>
          <w:sz w:val="24"/>
          <w:szCs w:val="24"/>
        </w:rPr>
        <w:t>聚光灯：全通道侧边栏支持打开聚光灯工具并可通过手势对聚光灯范围进行缩放</w:t>
      </w:r>
      <w:r>
        <w:rPr>
          <w:rFonts w:hint="eastAsia" w:ascii="宋体" w:hAnsi="宋体" w:eastAsia="宋体" w:cs="宋体"/>
          <w:sz w:val="24"/>
          <w:szCs w:val="24"/>
          <w:lang w:eastAsia="zh-CN"/>
        </w:rPr>
        <w:t>；</w:t>
      </w:r>
    </w:p>
    <w:p>
      <w:pPr>
        <w:pStyle w:val="28"/>
        <w:widowControl/>
        <w:numPr>
          <w:ilvl w:val="0"/>
          <w:numId w:val="0"/>
        </w:numPr>
        <w:spacing w:line="360" w:lineRule="auto"/>
        <w:ind w:left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101.</w:t>
      </w:r>
      <w:r>
        <w:rPr>
          <w:rFonts w:hint="eastAsia" w:ascii="宋体" w:hAnsi="宋体" w:eastAsia="宋体" w:cs="宋体"/>
          <w:sz w:val="24"/>
          <w:szCs w:val="24"/>
        </w:rPr>
        <w:t>计算器：全通道侧边栏支持打开计算器</w:t>
      </w:r>
      <w:r>
        <w:rPr>
          <w:rFonts w:hint="eastAsia" w:ascii="宋体" w:hAnsi="宋体" w:eastAsia="宋体" w:cs="宋体"/>
          <w:sz w:val="24"/>
          <w:szCs w:val="24"/>
          <w:lang w:eastAsia="zh-CN"/>
        </w:rPr>
        <w:t>；</w:t>
      </w:r>
    </w:p>
    <w:p>
      <w:pPr>
        <w:pStyle w:val="28"/>
        <w:widowControl/>
        <w:numPr>
          <w:ilvl w:val="0"/>
          <w:numId w:val="0"/>
        </w:numPr>
        <w:spacing w:line="360" w:lineRule="auto"/>
        <w:ind w:left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102.</w:t>
      </w:r>
      <w:r>
        <w:rPr>
          <w:rFonts w:hint="eastAsia" w:ascii="宋体" w:hAnsi="宋体" w:eastAsia="宋体" w:cs="宋体"/>
          <w:sz w:val="24"/>
          <w:szCs w:val="24"/>
        </w:rPr>
        <w:t>日历：全通道侧边栏支持打开日历快速查看日期</w:t>
      </w:r>
      <w:r>
        <w:rPr>
          <w:rFonts w:hint="eastAsia" w:ascii="宋体" w:hAnsi="宋体" w:eastAsia="宋体" w:cs="宋体"/>
          <w:sz w:val="24"/>
          <w:szCs w:val="24"/>
          <w:lang w:eastAsia="zh-CN"/>
        </w:rPr>
        <w:t>；</w:t>
      </w:r>
    </w:p>
    <w:p>
      <w:pPr>
        <w:pStyle w:val="28"/>
        <w:widowControl/>
        <w:numPr>
          <w:ilvl w:val="0"/>
          <w:numId w:val="0"/>
        </w:numPr>
        <w:spacing w:line="360" w:lineRule="auto"/>
        <w:ind w:left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103.</w:t>
      </w:r>
      <w:r>
        <w:rPr>
          <w:rFonts w:hint="eastAsia" w:ascii="宋体" w:hAnsi="宋体" w:eastAsia="宋体" w:cs="宋体"/>
          <w:sz w:val="24"/>
          <w:szCs w:val="24"/>
        </w:rPr>
        <w:t>倒数日：全通道侧边栏支持设置任意倒数日</w:t>
      </w:r>
      <w:r>
        <w:rPr>
          <w:rFonts w:hint="eastAsia" w:ascii="宋体" w:hAnsi="宋体" w:eastAsia="宋体" w:cs="宋体"/>
          <w:sz w:val="24"/>
          <w:szCs w:val="24"/>
          <w:lang w:eastAsia="zh-CN"/>
        </w:rPr>
        <w:t>；</w:t>
      </w:r>
    </w:p>
    <w:p>
      <w:pPr>
        <w:pStyle w:val="28"/>
        <w:widowControl/>
        <w:numPr>
          <w:ilvl w:val="0"/>
          <w:numId w:val="0"/>
        </w:numPr>
        <w:spacing w:line="360" w:lineRule="auto"/>
        <w:ind w:left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104.</w:t>
      </w:r>
      <w:r>
        <w:rPr>
          <w:rFonts w:hint="eastAsia" w:ascii="宋体" w:hAnsi="宋体" w:eastAsia="宋体" w:cs="宋体"/>
          <w:sz w:val="24"/>
          <w:szCs w:val="24"/>
        </w:rPr>
        <w:t>支持微信公众号报修和扫描整机自带二维码直接报修，用户可跟踪报修处理过程和处理结果</w:t>
      </w:r>
      <w:r>
        <w:rPr>
          <w:rFonts w:hint="eastAsia" w:ascii="宋体" w:hAnsi="宋体" w:eastAsia="宋体" w:cs="宋体"/>
          <w:sz w:val="24"/>
          <w:szCs w:val="24"/>
          <w:lang w:eastAsia="zh-CN"/>
        </w:rPr>
        <w:t>；</w:t>
      </w:r>
    </w:p>
    <w:p>
      <w:pPr>
        <w:widowControl/>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105.</w:t>
      </w:r>
      <w:r>
        <w:rPr>
          <w:rFonts w:hint="eastAsia" w:ascii="宋体" w:hAnsi="宋体" w:eastAsia="宋体" w:cs="宋体"/>
          <w:b w:val="0"/>
          <w:bCs w:val="0"/>
          <w:sz w:val="24"/>
          <w:szCs w:val="24"/>
        </w:rPr>
        <w:t>触控系统</w:t>
      </w:r>
    </w:p>
    <w:p>
      <w:pPr>
        <w:pStyle w:val="28"/>
        <w:widowControl/>
        <w:numPr>
          <w:ilvl w:val="0"/>
          <w:numId w:val="0"/>
        </w:numPr>
        <w:spacing w:line="360" w:lineRule="auto"/>
        <w:ind w:left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采用红外触控技术，支持Windows系统中进行</w:t>
      </w:r>
      <w:r>
        <w:rPr>
          <w:rFonts w:hint="eastAsia" w:ascii="宋体" w:hAnsi="宋体" w:eastAsia="宋体" w:cs="宋体"/>
          <w:sz w:val="24"/>
          <w:szCs w:val="24"/>
          <w:lang w:val="en-US" w:eastAsia="zh-CN"/>
        </w:rPr>
        <w:t>≥</w:t>
      </w:r>
      <w:r>
        <w:rPr>
          <w:rFonts w:hint="eastAsia" w:ascii="宋体" w:hAnsi="宋体" w:eastAsia="宋体" w:cs="宋体"/>
          <w:sz w:val="24"/>
          <w:szCs w:val="24"/>
        </w:rPr>
        <w:t>20点触控，支持在Android系统中进行</w:t>
      </w:r>
      <w:r>
        <w:rPr>
          <w:rFonts w:hint="eastAsia" w:ascii="宋体" w:hAnsi="宋体" w:eastAsia="宋体" w:cs="宋体"/>
          <w:sz w:val="24"/>
          <w:szCs w:val="24"/>
          <w:lang w:val="en-US" w:eastAsia="zh-CN"/>
        </w:rPr>
        <w:t>≥</w:t>
      </w:r>
      <w:r>
        <w:rPr>
          <w:rFonts w:hint="eastAsia" w:ascii="宋体" w:hAnsi="宋体" w:eastAsia="宋体" w:cs="宋体"/>
          <w:sz w:val="24"/>
          <w:szCs w:val="24"/>
        </w:rPr>
        <w:t>20点触控。触摸分辨率32768*32768，触摸响应时间≤4ms</w:t>
      </w:r>
      <w:r>
        <w:rPr>
          <w:rFonts w:hint="eastAsia" w:ascii="宋体" w:hAnsi="宋体" w:eastAsia="宋体" w:cs="宋体"/>
          <w:sz w:val="24"/>
          <w:szCs w:val="24"/>
          <w:lang w:eastAsia="zh-CN"/>
        </w:rPr>
        <w:t>；</w:t>
      </w:r>
    </w:p>
    <w:p>
      <w:pPr>
        <w:pStyle w:val="28"/>
        <w:widowControl/>
        <w:numPr>
          <w:ilvl w:val="0"/>
          <w:numId w:val="0"/>
        </w:numPr>
        <w:spacing w:line="36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连续触控时连续的两次触控点检测时间间隔≤7ms，最小识别物≤2mm，触摸精度±1mm。</w:t>
      </w:r>
    </w:p>
    <w:p>
      <w:pPr>
        <w:pStyle w:val="28"/>
        <w:widowControl/>
        <w:numPr>
          <w:ilvl w:val="0"/>
          <w:numId w:val="0"/>
        </w:numPr>
        <w:spacing w:line="360" w:lineRule="auto"/>
        <w:ind w:leftChars="0"/>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屏幕触摸有效识别高度</w:t>
      </w:r>
      <w:r>
        <w:rPr>
          <w:rFonts w:hint="eastAsia" w:ascii="宋体" w:hAnsi="宋体" w:eastAsia="宋体" w:cs="宋体"/>
          <w:sz w:val="24"/>
          <w:szCs w:val="24"/>
          <w:lang w:val="en-US" w:eastAsia="zh-CN"/>
        </w:rPr>
        <w:t>≤</w:t>
      </w:r>
      <w:r>
        <w:rPr>
          <w:rFonts w:hint="eastAsia" w:ascii="宋体" w:hAnsi="宋体" w:eastAsia="宋体" w:cs="宋体"/>
          <w:sz w:val="24"/>
          <w:szCs w:val="24"/>
        </w:rPr>
        <w:t>1.5mm，即触摸物体距离玻璃外表面高度</w:t>
      </w:r>
      <w:r>
        <w:rPr>
          <w:rFonts w:hint="eastAsia" w:ascii="宋体" w:hAnsi="宋体" w:eastAsia="宋体" w:cs="宋体"/>
          <w:sz w:val="24"/>
          <w:szCs w:val="24"/>
          <w:lang w:val="en-US" w:eastAsia="zh-CN"/>
        </w:rPr>
        <w:t>≤</w:t>
      </w:r>
      <w:r>
        <w:rPr>
          <w:rFonts w:hint="eastAsia" w:ascii="宋体" w:hAnsi="宋体" w:eastAsia="宋体" w:cs="宋体"/>
          <w:sz w:val="24"/>
          <w:szCs w:val="24"/>
        </w:rPr>
        <w:t>1.5mm时触摸屏识别为点击操作</w:t>
      </w:r>
      <w:r>
        <w:rPr>
          <w:rFonts w:hint="eastAsia" w:ascii="宋体" w:hAnsi="宋体" w:eastAsia="宋体" w:cs="宋体"/>
          <w:sz w:val="24"/>
          <w:szCs w:val="24"/>
          <w:lang w:eastAsia="zh-CN"/>
        </w:rPr>
        <w:t>；</w:t>
      </w:r>
    </w:p>
    <w:p>
      <w:pPr>
        <w:pStyle w:val="28"/>
        <w:widowControl/>
        <w:numPr>
          <w:ilvl w:val="0"/>
          <w:numId w:val="0"/>
        </w:numPr>
        <w:spacing w:line="360" w:lineRule="auto"/>
        <w:ind w:left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支持Windows、Mac Os及国产化操作系统外置电脑接入时无需安装触摸驱动</w:t>
      </w:r>
      <w:r>
        <w:rPr>
          <w:rFonts w:hint="eastAsia" w:ascii="宋体" w:hAnsi="宋体" w:eastAsia="宋体" w:cs="宋体"/>
          <w:sz w:val="24"/>
          <w:szCs w:val="24"/>
          <w:lang w:eastAsia="zh-CN"/>
        </w:rPr>
        <w:t>；</w:t>
      </w:r>
    </w:p>
    <w:p>
      <w:pPr>
        <w:pStyle w:val="28"/>
        <w:widowControl/>
        <w:numPr>
          <w:ilvl w:val="0"/>
          <w:numId w:val="0"/>
        </w:numPr>
        <w:spacing w:line="360" w:lineRule="auto"/>
        <w:ind w:left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从Android通道切换到OPS通道后，触摸框在1s内达到可触控状态；从OPS通道切换到外部通道后，触摸框在3s内达到可触控状态</w:t>
      </w:r>
      <w:r>
        <w:rPr>
          <w:rFonts w:hint="eastAsia" w:ascii="宋体" w:hAnsi="宋体" w:eastAsia="宋体" w:cs="宋体"/>
          <w:sz w:val="24"/>
          <w:szCs w:val="24"/>
          <w:lang w:eastAsia="zh-CN"/>
        </w:rPr>
        <w:t>；</w:t>
      </w:r>
    </w:p>
    <w:p>
      <w:pPr>
        <w:pStyle w:val="28"/>
        <w:widowControl/>
        <w:numPr>
          <w:ilvl w:val="0"/>
          <w:numId w:val="0"/>
        </w:numPr>
        <w:spacing w:line="360" w:lineRule="auto"/>
        <w:ind w:left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rPr>
        <w:t>全通道具备触摸提示音并具备开关</w:t>
      </w:r>
      <w:r>
        <w:rPr>
          <w:rFonts w:hint="eastAsia" w:ascii="宋体" w:hAnsi="宋体" w:eastAsia="宋体" w:cs="宋体"/>
          <w:sz w:val="24"/>
          <w:szCs w:val="24"/>
          <w:lang w:eastAsia="zh-CN"/>
        </w:rPr>
        <w:t>；</w:t>
      </w:r>
    </w:p>
    <w:p>
      <w:pPr>
        <w:pStyle w:val="28"/>
        <w:widowControl/>
        <w:numPr>
          <w:ilvl w:val="0"/>
          <w:numId w:val="0"/>
        </w:numPr>
        <w:spacing w:line="360" w:lineRule="auto"/>
        <w:ind w:left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rPr>
        <w:t>触摸屏具有防遮挡功能，触摸接收器在单点或多点遮挡后仍能正常书写</w:t>
      </w:r>
      <w:r>
        <w:rPr>
          <w:rFonts w:hint="eastAsia" w:ascii="宋体" w:hAnsi="宋体" w:eastAsia="宋体" w:cs="宋体"/>
          <w:sz w:val="24"/>
          <w:szCs w:val="24"/>
          <w:lang w:eastAsia="zh-CN"/>
        </w:rPr>
        <w:t>；</w:t>
      </w:r>
    </w:p>
    <w:p>
      <w:pPr>
        <w:pStyle w:val="28"/>
        <w:widowControl/>
        <w:numPr>
          <w:ilvl w:val="0"/>
          <w:numId w:val="0"/>
        </w:numPr>
        <w:spacing w:line="360" w:lineRule="auto"/>
        <w:ind w:leftChars="0"/>
        <w:rPr>
          <w:rFonts w:hint="eastAsia" w:ascii="宋体" w:hAnsi="宋体" w:eastAsia="宋体" w:cs="宋体"/>
          <w:color w:val="FF0000"/>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抗强光干扰，在≥200K LUX照度的环境下仍能正常书写</w:t>
      </w:r>
      <w:r>
        <w:rPr>
          <w:rFonts w:hint="eastAsia" w:ascii="宋体" w:hAnsi="宋体" w:eastAsia="宋体" w:cs="宋体"/>
          <w:b/>
          <w:bCs/>
          <w:sz w:val="24"/>
          <w:szCs w:val="24"/>
        </w:rPr>
        <w:t>。</w:t>
      </w:r>
      <w:bookmarkEnd w:id="0"/>
    </w:p>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106.</w:t>
      </w:r>
      <w:r>
        <w:rPr>
          <w:rFonts w:hint="eastAsia" w:ascii="宋体" w:hAnsi="宋体" w:eastAsia="宋体" w:cs="宋体"/>
          <w:b w:val="0"/>
          <w:bCs w:val="0"/>
          <w:sz w:val="24"/>
          <w:szCs w:val="24"/>
        </w:rPr>
        <w:t>安卓系统</w:t>
      </w:r>
    </w:p>
    <w:p>
      <w:pPr>
        <w:pStyle w:val="28"/>
        <w:widowControl/>
        <w:numPr>
          <w:ilvl w:val="0"/>
          <w:numId w:val="0"/>
        </w:numPr>
        <w:spacing w:line="360" w:lineRule="auto"/>
        <w:ind w:leftChars="0"/>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嵌入式安卓系统版本</w:t>
      </w:r>
      <w:r>
        <w:rPr>
          <w:rFonts w:hint="eastAsia" w:ascii="宋体" w:hAnsi="宋体" w:eastAsia="宋体" w:cs="宋体"/>
          <w:sz w:val="24"/>
          <w:szCs w:val="24"/>
          <w:lang w:val="en-US" w:eastAsia="zh-CN"/>
        </w:rPr>
        <w:t>≥</w:t>
      </w:r>
      <w:r>
        <w:rPr>
          <w:rFonts w:hint="eastAsia" w:ascii="宋体" w:hAnsi="宋体" w:eastAsia="宋体" w:cs="宋体"/>
          <w:sz w:val="24"/>
          <w:szCs w:val="24"/>
        </w:rPr>
        <w:t>Android 11，内存≥3GB，存储空间≥16GB</w:t>
      </w:r>
      <w:r>
        <w:rPr>
          <w:rFonts w:hint="eastAsia" w:ascii="宋体" w:hAnsi="宋体" w:eastAsia="宋体" w:cs="宋体"/>
          <w:sz w:val="24"/>
          <w:szCs w:val="24"/>
          <w:lang w:eastAsia="zh-CN"/>
        </w:rPr>
        <w:t>；</w:t>
      </w:r>
    </w:p>
    <w:p>
      <w:pPr>
        <w:pStyle w:val="28"/>
        <w:widowControl/>
        <w:numPr>
          <w:ilvl w:val="0"/>
          <w:numId w:val="0"/>
        </w:numPr>
        <w:spacing w:line="360" w:lineRule="auto"/>
        <w:ind w:left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color w:val="000000" w:themeColor="text1"/>
          <w:sz w:val="24"/>
          <w:szCs w:val="24"/>
          <w14:textFill>
            <w14:solidFill>
              <w14:schemeClr w14:val="tx1"/>
            </w14:solidFill>
          </w14:textFill>
        </w:rPr>
        <w:t>嵌入式安卓系统下主界面、菜单、图标、文字均为4K超高清显示</w:t>
      </w:r>
      <w:r>
        <w:rPr>
          <w:rFonts w:hint="eastAsia" w:ascii="宋体" w:hAnsi="宋体" w:eastAsia="宋体" w:cs="宋体"/>
          <w:color w:val="000000" w:themeColor="text1"/>
          <w:sz w:val="24"/>
          <w:szCs w:val="24"/>
          <w:lang w:eastAsia="zh-CN"/>
          <w14:textFill>
            <w14:solidFill>
              <w14:schemeClr w14:val="tx1"/>
            </w14:solidFill>
          </w14:textFill>
        </w:rPr>
        <w:t>；</w:t>
      </w:r>
    </w:p>
    <w:p>
      <w:pPr>
        <w:pStyle w:val="28"/>
        <w:widowControl/>
        <w:numPr>
          <w:ilvl w:val="0"/>
          <w:numId w:val="0"/>
        </w:numPr>
        <w:spacing w:line="360" w:lineRule="auto"/>
        <w:ind w:left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无PC状态</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嵌入式</w:t>
      </w:r>
      <w:r>
        <w:rPr>
          <w:rFonts w:hint="eastAsia" w:ascii="宋体" w:hAnsi="宋体" w:eastAsia="宋体" w:cs="宋体"/>
          <w:color w:val="000000" w:themeColor="text1"/>
          <w:sz w:val="24"/>
          <w:szCs w:val="24"/>
          <w:lang w:val="en-US" w:eastAsia="zh-CN"/>
          <w14:textFill>
            <w14:solidFill>
              <w14:schemeClr w14:val="tx1"/>
            </w14:solidFill>
          </w14:textFill>
        </w:rPr>
        <w:t>安卓</w:t>
      </w:r>
      <w:r>
        <w:rPr>
          <w:rFonts w:hint="eastAsia" w:ascii="宋体" w:hAnsi="宋体" w:eastAsia="宋体" w:cs="宋体"/>
          <w:color w:val="000000" w:themeColor="text1"/>
          <w:sz w:val="24"/>
          <w:szCs w:val="24"/>
          <w14:textFill>
            <w14:solidFill>
              <w14:schemeClr w14:val="tx1"/>
            </w14:solidFill>
          </w14:textFill>
        </w:rPr>
        <w:t>系统下可实现</w:t>
      </w:r>
      <w:r>
        <w:rPr>
          <w:rFonts w:hint="eastAsia" w:ascii="宋体" w:hAnsi="宋体" w:eastAsia="宋体" w:cs="宋体"/>
          <w:color w:val="000000" w:themeColor="text1"/>
          <w:sz w:val="24"/>
          <w:szCs w:val="24"/>
          <w:lang w:val="en-US" w:eastAsia="zh-CN"/>
          <w14:textFill>
            <w14:solidFill>
              <w14:schemeClr w14:val="tx1"/>
            </w14:solidFill>
          </w14:textFill>
        </w:rPr>
        <w:t>W</w:t>
      </w:r>
      <w:r>
        <w:rPr>
          <w:rFonts w:hint="eastAsia" w:ascii="宋体" w:hAnsi="宋体" w:eastAsia="宋体" w:cs="宋体"/>
          <w:color w:val="000000" w:themeColor="text1"/>
          <w:sz w:val="24"/>
          <w:szCs w:val="24"/>
          <w14:textFill>
            <w14:solidFill>
              <w14:schemeClr w14:val="tx1"/>
            </w14:solidFill>
          </w14:textFill>
        </w:rPr>
        <w:t>indows系统中常用的教学应用，如白板书写、WPS软件使用和网页浏览</w:t>
      </w:r>
      <w:r>
        <w:rPr>
          <w:rFonts w:hint="eastAsia" w:ascii="宋体" w:hAnsi="宋体" w:eastAsia="宋体" w:cs="宋体"/>
          <w:color w:val="000000" w:themeColor="text1"/>
          <w:sz w:val="24"/>
          <w:szCs w:val="24"/>
          <w:lang w:eastAsia="zh-CN"/>
          <w14:textFill>
            <w14:solidFill>
              <w14:schemeClr w14:val="tx1"/>
            </w14:solidFill>
          </w14:textFill>
        </w:rPr>
        <w:t>；</w:t>
      </w:r>
    </w:p>
    <w:p>
      <w:pPr>
        <w:pStyle w:val="28"/>
        <w:widowControl/>
        <w:numPr>
          <w:ilvl w:val="0"/>
          <w:numId w:val="0"/>
        </w:numPr>
        <w:spacing w:line="360" w:lineRule="auto"/>
        <w:ind w:left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在嵌入式</w:t>
      </w:r>
      <w:r>
        <w:rPr>
          <w:rFonts w:hint="eastAsia" w:ascii="宋体" w:hAnsi="宋体" w:eastAsia="宋体" w:cs="宋体"/>
          <w:color w:val="000000" w:themeColor="text1"/>
          <w:sz w:val="24"/>
          <w:szCs w:val="24"/>
          <w:lang w:val="en-US" w:eastAsia="zh-CN"/>
          <w14:textFill>
            <w14:solidFill>
              <w14:schemeClr w14:val="tx1"/>
            </w14:solidFill>
          </w14:textFill>
        </w:rPr>
        <w:t>安卓</w:t>
      </w:r>
      <w:r>
        <w:rPr>
          <w:rFonts w:hint="eastAsia" w:ascii="宋体" w:hAnsi="宋体" w:eastAsia="宋体" w:cs="宋体"/>
          <w:color w:val="000000" w:themeColor="text1"/>
          <w:sz w:val="24"/>
          <w:szCs w:val="24"/>
          <w14:textFill>
            <w14:solidFill>
              <w14:schemeClr w14:val="tx1"/>
            </w14:solidFill>
          </w14:textFill>
        </w:rPr>
        <w:t>系统下能对USB接口所读取到的文件进行自动归类，可分类查找文档、安装包、图片、音视频，检索后可直接在界面中打开</w:t>
      </w:r>
      <w:r>
        <w:rPr>
          <w:rFonts w:hint="eastAsia" w:ascii="宋体" w:hAnsi="宋体" w:eastAsia="宋体" w:cs="宋体"/>
          <w:color w:val="000000" w:themeColor="text1"/>
          <w:sz w:val="24"/>
          <w:szCs w:val="24"/>
          <w:lang w:eastAsia="zh-CN"/>
          <w14:textFill>
            <w14:solidFill>
              <w14:schemeClr w14:val="tx1"/>
            </w14:solidFill>
          </w14:textFill>
        </w:rPr>
        <w:t>；</w:t>
      </w:r>
    </w:p>
    <w:p>
      <w:pPr>
        <w:pStyle w:val="28"/>
        <w:widowControl/>
        <w:numPr>
          <w:ilvl w:val="0"/>
          <w:numId w:val="0"/>
        </w:numPr>
        <w:spacing w:line="360" w:lineRule="auto"/>
        <w:ind w:left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安卓系统下提供快捷桌面，可快捷进入白板、文件管理、电脑桌面、浏览器及更多应用</w:t>
      </w:r>
      <w:r>
        <w:rPr>
          <w:rFonts w:hint="eastAsia" w:ascii="宋体" w:hAnsi="宋体" w:eastAsia="宋体" w:cs="宋体"/>
          <w:color w:val="000000" w:themeColor="text1"/>
          <w:sz w:val="24"/>
          <w:szCs w:val="24"/>
          <w:lang w:eastAsia="zh-CN"/>
          <w14:textFill>
            <w14:solidFill>
              <w14:schemeClr w14:val="tx1"/>
            </w14:solidFill>
          </w14:textFill>
        </w:rPr>
        <w:t>；</w:t>
      </w:r>
    </w:p>
    <w:p>
      <w:pPr>
        <w:pStyle w:val="28"/>
        <w:widowControl/>
        <w:numPr>
          <w:ilvl w:val="0"/>
          <w:numId w:val="0"/>
        </w:numPr>
        <w:spacing w:line="360" w:lineRule="auto"/>
        <w:ind w:left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内置硬件自检工具（非第三方工具）可一键进行硬件系统自动检测，对系统内存空间、存储空间、wifi状态、OPS状态、本机温度、光感、触摸系统等提供直观的状态提示</w:t>
      </w:r>
      <w:r>
        <w:rPr>
          <w:rFonts w:hint="eastAsia" w:ascii="宋体" w:hAnsi="宋体" w:eastAsia="宋体" w:cs="宋体"/>
          <w:color w:val="000000" w:themeColor="text1"/>
          <w:sz w:val="24"/>
          <w:szCs w:val="24"/>
          <w:lang w:eastAsia="zh-CN"/>
          <w14:textFill>
            <w14:solidFill>
              <w14:schemeClr w14:val="tx1"/>
            </w14:solidFill>
          </w14:textFill>
        </w:rPr>
        <w:t>；</w:t>
      </w:r>
    </w:p>
    <w:p>
      <w:pPr>
        <w:pStyle w:val="28"/>
        <w:widowControl/>
        <w:numPr>
          <w:ilvl w:val="0"/>
          <w:numId w:val="0"/>
        </w:numPr>
        <w:spacing w:line="360" w:lineRule="auto"/>
        <w:ind w:left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温度监控工具：</w:t>
      </w:r>
      <w:r>
        <w:rPr>
          <w:rFonts w:hint="eastAsia" w:ascii="宋体" w:hAnsi="宋体" w:eastAsia="宋体" w:cs="宋体"/>
          <w:color w:val="000000" w:themeColor="text1"/>
          <w:sz w:val="24"/>
          <w:szCs w:val="24"/>
          <w:lang w:val="en-US" w:eastAsia="zh-CN"/>
          <w14:textFill>
            <w14:solidFill>
              <w14:schemeClr w14:val="tx1"/>
            </w14:solidFill>
          </w14:textFill>
        </w:rPr>
        <w:t>具有</w:t>
      </w:r>
      <w:r>
        <w:rPr>
          <w:rFonts w:hint="eastAsia" w:ascii="宋体" w:hAnsi="宋体" w:eastAsia="宋体" w:cs="宋体"/>
          <w:color w:val="000000" w:themeColor="text1"/>
          <w:sz w:val="24"/>
          <w:szCs w:val="24"/>
          <w14:textFill>
            <w14:solidFill>
              <w14:schemeClr w14:val="tx1"/>
            </w14:solidFill>
          </w14:textFill>
        </w:rPr>
        <w:t>温度监控</w:t>
      </w:r>
      <w:r>
        <w:rPr>
          <w:rFonts w:hint="eastAsia" w:ascii="宋体" w:hAnsi="宋体" w:eastAsia="宋体" w:cs="宋体"/>
          <w:color w:val="000000" w:themeColor="text1"/>
          <w:sz w:val="24"/>
          <w:szCs w:val="24"/>
          <w:lang w:val="en-US" w:eastAsia="zh-CN"/>
          <w14:textFill>
            <w14:solidFill>
              <w14:schemeClr w14:val="tx1"/>
            </w14:solidFill>
          </w14:textFill>
        </w:rPr>
        <w:t>功能</w:t>
      </w:r>
      <w:r>
        <w:rPr>
          <w:rFonts w:hint="eastAsia" w:ascii="宋体" w:hAnsi="宋体" w:eastAsia="宋体" w:cs="宋体"/>
          <w:color w:val="000000" w:themeColor="text1"/>
          <w:sz w:val="24"/>
          <w:szCs w:val="24"/>
          <w14:textFill>
            <w14:solidFill>
              <w14:schemeClr w14:val="tx1"/>
            </w14:solidFill>
          </w14:textFill>
        </w:rPr>
        <w:t>可实时检测整机温度值（CPU）并在安卓主页显示实时温度信息，能够根据温度变化显示不同颜色进行预警，温度过高时自动进行断电保护</w:t>
      </w:r>
      <w:r>
        <w:rPr>
          <w:rFonts w:hint="eastAsia" w:ascii="宋体" w:hAnsi="宋体" w:eastAsia="宋体" w:cs="宋体"/>
          <w:color w:val="000000" w:themeColor="text1"/>
          <w:sz w:val="24"/>
          <w:szCs w:val="24"/>
          <w:lang w:eastAsia="zh-CN"/>
          <w14:textFill>
            <w14:solidFill>
              <w14:schemeClr w14:val="tx1"/>
            </w14:solidFill>
          </w14:textFill>
        </w:rPr>
        <w:t>；</w:t>
      </w:r>
    </w:p>
    <w:p>
      <w:pPr>
        <w:pStyle w:val="28"/>
        <w:widowControl/>
        <w:numPr>
          <w:ilvl w:val="0"/>
          <w:numId w:val="0"/>
        </w:numPr>
        <w:spacing w:line="360" w:lineRule="auto"/>
        <w:ind w:left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嵌入式</w:t>
      </w:r>
      <w:r>
        <w:rPr>
          <w:rFonts w:hint="eastAsia" w:ascii="宋体" w:hAnsi="宋体" w:eastAsia="宋体" w:cs="宋体"/>
          <w:color w:val="000000" w:themeColor="text1"/>
          <w:sz w:val="24"/>
          <w:szCs w:val="24"/>
          <w:lang w:val="en-US" w:eastAsia="zh-CN"/>
          <w14:textFill>
            <w14:solidFill>
              <w14:schemeClr w14:val="tx1"/>
            </w14:solidFill>
          </w14:textFill>
        </w:rPr>
        <w:t>安卓</w:t>
      </w:r>
      <w:r>
        <w:rPr>
          <w:rFonts w:hint="eastAsia" w:ascii="宋体" w:hAnsi="宋体" w:eastAsia="宋体" w:cs="宋体"/>
          <w:color w:val="000000" w:themeColor="text1"/>
          <w:sz w:val="24"/>
          <w:szCs w:val="24"/>
          <w14:textFill>
            <w14:solidFill>
              <w14:schemeClr w14:val="tx1"/>
            </w14:solidFill>
          </w14:textFill>
        </w:rPr>
        <w:t>系统下白板支持对已经书写的笔迹和形状的颜色进行更换</w:t>
      </w:r>
      <w:r>
        <w:rPr>
          <w:rFonts w:hint="eastAsia" w:ascii="宋体" w:hAnsi="宋体" w:eastAsia="宋体" w:cs="宋体"/>
          <w:color w:val="000000" w:themeColor="text1"/>
          <w:sz w:val="24"/>
          <w:szCs w:val="24"/>
          <w:lang w:eastAsia="zh-CN"/>
          <w14:textFill>
            <w14:solidFill>
              <w14:schemeClr w14:val="tx1"/>
            </w14:solidFill>
          </w14:textFill>
        </w:rPr>
        <w:t>；</w:t>
      </w:r>
    </w:p>
    <w:p>
      <w:pPr>
        <w:pStyle w:val="28"/>
        <w:widowControl/>
        <w:numPr>
          <w:ilvl w:val="0"/>
          <w:numId w:val="0"/>
        </w:numPr>
        <w:spacing w:line="360" w:lineRule="auto"/>
        <w:ind w:left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t>嵌入式</w:t>
      </w:r>
      <w:r>
        <w:rPr>
          <w:rFonts w:hint="eastAsia" w:ascii="宋体" w:hAnsi="宋体" w:eastAsia="宋体" w:cs="宋体"/>
          <w:color w:val="000000" w:themeColor="text1"/>
          <w:sz w:val="24"/>
          <w:szCs w:val="24"/>
          <w:lang w:val="en-US" w:eastAsia="zh-CN"/>
          <w14:textFill>
            <w14:solidFill>
              <w14:schemeClr w14:val="tx1"/>
            </w14:solidFill>
          </w14:textFill>
        </w:rPr>
        <w:t>安卓</w:t>
      </w:r>
      <w:r>
        <w:rPr>
          <w:rFonts w:hint="eastAsia" w:ascii="宋体" w:hAnsi="宋体" w:eastAsia="宋体" w:cs="宋体"/>
          <w:color w:val="000000" w:themeColor="text1"/>
          <w:sz w:val="24"/>
          <w:szCs w:val="24"/>
          <w14:textFill>
            <w14:solidFill>
              <w14:schemeClr w14:val="tx1"/>
            </w14:solidFill>
          </w14:textFill>
        </w:rPr>
        <w:t>系统下白板支持对已经书写的笔迹和形状进行选择，拖拽移位、缩放</w:t>
      </w:r>
      <w:r>
        <w:rPr>
          <w:rFonts w:hint="eastAsia" w:ascii="宋体" w:hAnsi="宋体" w:eastAsia="宋体" w:cs="宋体"/>
          <w:color w:val="000000" w:themeColor="text1"/>
          <w:sz w:val="24"/>
          <w:szCs w:val="24"/>
          <w:lang w:eastAsia="zh-CN"/>
          <w14:textFill>
            <w14:solidFill>
              <w14:schemeClr w14:val="tx1"/>
            </w14:solidFill>
          </w14:textFill>
        </w:rPr>
        <w:t>；</w:t>
      </w:r>
    </w:p>
    <w:p>
      <w:pPr>
        <w:pStyle w:val="28"/>
        <w:widowControl/>
        <w:numPr>
          <w:ilvl w:val="0"/>
          <w:numId w:val="0"/>
        </w:numPr>
        <w:spacing w:line="360" w:lineRule="auto"/>
        <w:ind w:left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嵌入式</w:t>
      </w:r>
      <w:r>
        <w:rPr>
          <w:rFonts w:hint="eastAsia" w:ascii="宋体" w:hAnsi="宋体" w:eastAsia="宋体" w:cs="宋体"/>
          <w:color w:val="000000" w:themeColor="text1"/>
          <w:sz w:val="24"/>
          <w:szCs w:val="24"/>
          <w:lang w:val="en-US" w:eastAsia="zh-CN"/>
          <w14:textFill>
            <w14:solidFill>
              <w14:schemeClr w14:val="tx1"/>
            </w14:solidFill>
          </w14:textFill>
        </w:rPr>
        <w:t>安卓</w:t>
      </w:r>
      <w:r>
        <w:rPr>
          <w:rFonts w:hint="eastAsia" w:ascii="宋体" w:hAnsi="宋体" w:eastAsia="宋体" w:cs="宋体"/>
          <w:color w:val="000000" w:themeColor="text1"/>
          <w:sz w:val="24"/>
          <w:szCs w:val="24"/>
          <w14:textFill>
            <w14:solidFill>
              <w14:schemeClr w14:val="tx1"/>
            </w14:solidFill>
          </w14:textFill>
        </w:rPr>
        <w:t>系统下白板支持20点书写及手掌擦除（手掌擦除面积根据手掌与屏幕的接触面大小自动调整）</w:t>
      </w:r>
      <w:r>
        <w:rPr>
          <w:rFonts w:hint="eastAsia" w:ascii="宋体" w:hAnsi="宋体" w:eastAsia="宋体" w:cs="宋体"/>
          <w:color w:val="000000" w:themeColor="text1"/>
          <w:sz w:val="24"/>
          <w:szCs w:val="24"/>
          <w:lang w:eastAsia="zh-CN"/>
          <w14:textFill>
            <w14:solidFill>
              <w14:schemeClr w14:val="tx1"/>
            </w14:solidFill>
          </w14:textFill>
        </w:rPr>
        <w:t>；</w:t>
      </w:r>
    </w:p>
    <w:p>
      <w:pPr>
        <w:pStyle w:val="28"/>
        <w:widowControl/>
        <w:numPr>
          <w:ilvl w:val="0"/>
          <w:numId w:val="0"/>
        </w:numPr>
        <w:spacing w:line="360" w:lineRule="auto"/>
        <w:ind w:left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w:t>
      </w:r>
      <w:r>
        <w:rPr>
          <w:rFonts w:hint="eastAsia" w:ascii="宋体" w:hAnsi="宋体" w:eastAsia="宋体" w:cs="宋体"/>
          <w:color w:val="000000" w:themeColor="text1"/>
          <w:sz w:val="24"/>
          <w:szCs w:val="24"/>
          <w14:textFill>
            <w14:solidFill>
              <w14:schemeClr w14:val="tx1"/>
            </w14:solidFill>
          </w14:textFill>
        </w:rPr>
        <w:t>嵌入式</w:t>
      </w:r>
      <w:r>
        <w:rPr>
          <w:rFonts w:hint="eastAsia" w:ascii="宋体" w:hAnsi="宋体" w:eastAsia="宋体" w:cs="宋体"/>
          <w:color w:val="000000" w:themeColor="text1"/>
          <w:sz w:val="24"/>
          <w:szCs w:val="24"/>
          <w:lang w:val="en-US" w:eastAsia="zh-CN"/>
          <w14:textFill>
            <w14:solidFill>
              <w14:schemeClr w14:val="tx1"/>
            </w14:solidFill>
          </w14:textFill>
        </w:rPr>
        <w:t>安卓</w:t>
      </w:r>
      <w:r>
        <w:rPr>
          <w:rFonts w:hint="eastAsia" w:ascii="宋体" w:hAnsi="宋体" w:eastAsia="宋体" w:cs="宋体"/>
          <w:color w:val="000000" w:themeColor="text1"/>
          <w:sz w:val="24"/>
          <w:szCs w:val="24"/>
          <w14:textFill>
            <w14:solidFill>
              <w14:schemeClr w14:val="tx1"/>
            </w14:solidFill>
          </w14:textFill>
        </w:rPr>
        <w:t>系统下白板支持全局漫游并能对全局内容进行预览及移动</w:t>
      </w:r>
      <w:r>
        <w:rPr>
          <w:rFonts w:hint="eastAsia" w:ascii="宋体" w:hAnsi="宋体" w:eastAsia="宋体" w:cs="宋体"/>
          <w:color w:val="000000" w:themeColor="text1"/>
          <w:sz w:val="24"/>
          <w:szCs w:val="24"/>
          <w:lang w:eastAsia="zh-CN"/>
          <w14:textFill>
            <w14:solidFill>
              <w14:schemeClr w14:val="tx1"/>
            </w14:solidFill>
          </w14:textFill>
        </w:rPr>
        <w:t>；</w:t>
      </w:r>
    </w:p>
    <w:p>
      <w:pPr>
        <w:pStyle w:val="28"/>
        <w:widowControl/>
        <w:numPr>
          <w:ilvl w:val="0"/>
          <w:numId w:val="0"/>
        </w:numPr>
        <w:spacing w:line="360" w:lineRule="auto"/>
        <w:ind w:left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t>嵌入式</w:t>
      </w:r>
      <w:r>
        <w:rPr>
          <w:rFonts w:hint="eastAsia" w:ascii="宋体" w:hAnsi="宋体" w:eastAsia="宋体" w:cs="宋体"/>
          <w:color w:val="000000" w:themeColor="text1"/>
          <w:sz w:val="24"/>
          <w:szCs w:val="24"/>
          <w:lang w:val="en-US" w:eastAsia="zh-CN"/>
          <w14:textFill>
            <w14:solidFill>
              <w14:schemeClr w14:val="tx1"/>
            </w14:solidFill>
          </w14:textFill>
        </w:rPr>
        <w:t>安卓</w:t>
      </w:r>
      <w:r>
        <w:rPr>
          <w:rFonts w:hint="eastAsia" w:ascii="宋体" w:hAnsi="宋体" w:eastAsia="宋体" w:cs="宋体"/>
          <w:color w:val="000000" w:themeColor="text1"/>
          <w:sz w:val="24"/>
          <w:szCs w:val="24"/>
          <w14:textFill>
            <w14:solidFill>
              <w14:schemeClr w14:val="tx1"/>
            </w14:solidFill>
          </w14:textFill>
        </w:rPr>
        <w:t>系统下白板书写内容可导出课件、图片、PDF等格式</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支持10种以上平面图形工具及8种以上立体图形工具</w:t>
      </w:r>
      <w:r>
        <w:rPr>
          <w:rFonts w:hint="eastAsia" w:ascii="宋体" w:hAnsi="宋体" w:eastAsia="宋体" w:cs="宋体"/>
          <w:color w:val="000000" w:themeColor="text1"/>
          <w:sz w:val="24"/>
          <w:szCs w:val="24"/>
          <w:lang w:eastAsia="zh-CN"/>
          <w14:textFill>
            <w14:solidFill>
              <w14:schemeClr w14:val="tx1"/>
            </w14:solidFill>
          </w14:textFill>
        </w:rPr>
        <w:t>；</w:t>
      </w:r>
    </w:p>
    <w:p>
      <w:pPr>
        <w:pStyle w:val="28"/>
        <w:widowControl/>
        <w:numPr>
          <w:ilvl w:val="0"/>
          <w:numId w:val="0"/>
        </w:numPr>
        <w:spacing w:line="360" w:lineRule="auto"/>
        <w:ind w:left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w:t>
      </w:r>
      <w:r>
        <w:rPr>
          <w:rFonts w:hint="eastAsia" w:ascii="宋体" w:hAnsi="宋体" w:eastAsia="宋体" w:cs="宋体"/>
          <w:color w:val="000000" w:themeColor="text1"/>
          <w:sz w:val="24"/>
          <w:szCs w:val="24"/>
          <w14:textFill>
            <w14:solidFill>
              <w14:schemeClr w14:val="tx1"/>
            </w14:solidFill>
          </w14:textFill>
        </w:rPr>
        <w:t>嵌入式</w:t>
      </w:r>
      <w:r>
        <w:rPr>
          <w:rFonts w:hint="eastAsia" w:ascii="宋体" w:hAnsi="宋体" w:eastAsia="宋体" w:cs="宋体"/>
          <w:color w:val="000000" w:themeColor="text1"/>
          <w:sz w:val="24"/>
          <w:szCs w:val="24"/>
          <w:lang w:val="en-US" w:eastAsia="zh-CN"/>
          <w14:textFill>
            <w14:solidFill>
              <w14:schemeClr w14:val="tx1"/>
            </w14:solidFill>
          </w14:textFill>
        </w:rPr>
        <w:t>安卓</w:t>
      </w:r>
      <w:r>
        <w:rPr>
          <w:rFonts w:hint="eastAsia" w:ascii="宋体" w:hAnsi="宋体" w:eastAsia="宋体" w:cs="宋体"/>
          <w:color w:val="000000" w:themeColor="text1"/>
          <w:sz w:val="24"/>
          <w:szCs w:val="24"/>
          <w14:textFill>
            <w14:solidFill>
              <w14:schemeClr w14:val="tx1"/>
            </w14:solidFill>
          </w14:textFill>
        </w:rPr>
        <w:t>系统下白板支持不同背景颜色，提供11种学科专用背景，如横线格、米字格、拼音格、田字格、五线谱、作文纸、篮球场、网球场、羽毛球场、足球场、排球场</w:t>
      </w:r>
      <w:r>
        <w:rPr>
          <w:rFonts w:hint="eastAsia" w:ascii="宋体" w:hAnsi="宋体" w:eastAsia="宋体" w:cs="宋体"/>
          <w:color w:val="000000" w:themeColor="text1"/>
          <w:sz w:val="24"/>
          <w:szCs w:val="24"/>
          <w:lang w:eastAsia="zh-CN"/>
          <w14:textFill>
            <w14:solidFill>
              <w14:schemeClr w14:val="tx1"/>
            </w14:solidFill>
          </w14:textFill>
        </w:rPr>
        <w:t>；</w:t>
      </w:r>
    </w:p>
    <w:p>
      <w:pPr>
        <w:pStyle w:val="28"/>
        <w:widowControl/>
        <w:numPr>
          <w:ilvl w:val="0"/>
          <w:numId w:val="0"/>
        </w:numPr>
        <w:spacing w:line="360" w:lineRule="auto"/>
        <w:ind w:left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w:t>
      </w:r>
      <w:r>
        <w:rPr>
          <w:rFonts w:hint="eastAsia" w:ascii="宋体" w:hAnsi="宋体" w:eastAsia="宋体" w:cs="宋体"/>
          <w:color w:val="000000" w:themeColor="text1"/>
          <w:sz w:val="24"/>
          <w:szCs w:val="24"/>
          <w14:textFill>
            <w14:solidFill>
              <w14:schemeClr w14:val="tx1"/>
            </w14:solidFill>
          </w14:textFill>
        </w:rPr>
        <w:t>嵌入式</w:t>
      </w:r>
      <w:r>
        <w:rPr>
          <w:rFonts w:hint="eastAsia" w:ascii="宋体" w:hAnsi="宋体" w:eastAsia="宋体" w:cs="宋体"/>
          <w:color w:val="000000" w:themeColor="text1"/>
          <w:sz w:val="24"/>
          <w:szCs w:val="24"/>
          <w:lang w:val="en-US" w:eastAsia="zh-CN"/>
          <w14:textFill>
            <w14:solidFill>
              <w14:schemeClr w14:val="tx1"/>
            </w14:solidFill>
          </w14:textFill>
        </w:rPr>
        <w:t>安卓</w:t>
      </w:r>
      <w:r>
        <w:rPr>
          <w:rFonts w:hint="eastAsia" w:ascii="宋体" w:hAnsi="宋体" w:eastAsia="宋体" w:cs="宋体"/>
          <w:color w:val="000000" w:themeColor="text1"/>
          <w:sz w:val="24"/>
          <w:szCs w:val="24"/>
          <w14:textFill>
            <w14:solidFill>
              <w14:schemeClr w14:val="tx1"/>
            </w14:solidFill>
          </w14:textFill>
        </w:rPr>
        <w:t>系统下白板支持将页面内容生成分享二维码，扫码后可在手机端进行查看及二次分享</w:t>
      </w:r>
      <w:r>
        <w:rPr>
          <w:rFonts w:hint="eastAsia" w:ascii="宋体" w:hAnsi="宋体" w:eastAsia="宋体" w:cs="宋体"/>
          <w:color w:val="000000" w:themeColor="text1"/>
          <w:sz w:val="24"/>
          <w:szCs w:val="24"/>
          <w:lang w:eastAsia="zh-CN"/>
          <w14:textFill>
            <w14:solidFill>
              <w14:schemeClr w14:val="tx1"/>
            </w14:solidFill>
          </w14:textFill>
        </w:rPr>
        <w:t>；</w:t>
      </w:r>
    </w:p>
    <w:p>
      <w:pPr>
        <w:pStyle w:val="28"/>
        <w:widowControl/>
        <w:numPr>
          <w:ilvl w:val="0"/>
          <w:numId w:val="0"/>
        </w:numPr>
        <w:spacing w:line="360" w:lineRule="auto"/>
        <w:ind w:leftChars="0"/>
        <w:rPr>
          <w:rFonts w:hint="eastAsia" w:ascii="宋体" w:hAnsi="宋体" w:eastAsia="宋体" w:cs="宋体"/>
          <w:sz w:val="24"/>
          <w:szCs w:val="24"/>
        </w:rPr>
      </w:pPr>
      <w:r>
        <w:rPr>
          <w:rFonts w:hint="eastAsia" w:ascii="宋体" w:hAnsi="宋体" w:eastAsia="宋体" w:cs="宋体"/>
          <w:color w:val="000000" w:themeColor="text1"/>
          <w:sz w:val="24"/>
          <w:szCs w:val="24"/>
          <w:lang w:val="en-US" w:eastAsia="zh-CN"/>
          <w14:textFill>
            <w14:solidFill>
              <w14:schemeClr w14:val="tx1"/>
            </w14:solidFill>
          </w14:textFill>
        </w:rPr>
        <w:t>15）</w:t>
      </w:r>
      <w:r>
        <w:rPr>
          <w:rFonts w:hint="eastAsia" w:ascii="宋体" w:hAnsi="宋体" w:eastAsia="宋体" w:cs="宋体"/>
          <w:color w:val="000000" w:themeColor="text1"/>
          <w:sz w:val="24"/>
          <w:szCs w:val="24"/>
          <w14:textFill>
            <w14:solidFill>
              <w14:schemeClr w14:val="tx1"/>
            </w14:solidFill>
          </w14:textFill>
        </w:rPr>
        <w:t>嵌入式</w:t>
      </w:r>
      <w:r>
        <w:rPr>
          <w:rFonts w:hint="eastAsia" w:ascii="宋体" w:hAnsi="宋体" w:eastAsia="宋体" w:cs="宋体"/>
          <w:color w:val="000000" w:themeColor="text1"/>
          <w:sz w:val="24"/>
          <w:szCs w:val="24"/>
          <w:lang w:val="en-US" w:eastAsia="zh-CN"/>
          <w14:textFill>
            <w14:solidFill>
              <w14:schemeClr w14:val="tx1"/>
            </w14:solidFill>
          </w14:textFill>
        </w:rPr>
        <w:t>安卓</w:t>
      </w:r>
      <w:r>
        <w:rPr>
          <w:rFonts w:hint="eastAsia" w:ascii="宋体" w:hAnsi="宋体" w:eastAsia="宋体" w:cs="宋体"/>
          <w:color w:val="000000" w:themeColor="text1"/>
          <w:sz w:val="24"/>
          <w:szCs w:val="24"/>
          <w14:textFill>
            <w14:solidFill>
              <w14:schemeClr w14:val="tx1"/>
            </w14:solidFill>
          </w14:textFill>
        </w:rPr>
        <w:t>系统下内置通过权威眼科医院临床试验验证的电子视力表软件，支持通过触摸、手势、遥控器方式进行视力检测</w:t>
      </w:r>
      <w:r>
        <w:rPr>
          <w:rFonts w:hint="eastAsia" w:ascii="宋体" w:hAnsi="宋体" w:eastAsia="宋体" w:cs="宋体"/>
          <w:b/>
          <w:bCs/>
          <w:sz w:val="24"/>
          <w:szCs w:val="24"/>
        </w:rPr>
        <w:t>（提供</w:t>
      </w:r>
      <w:r>
        <w:rPr>
          <w:rFonts w:hint="eastAsia" w:ascii="宋体" w:hAnsi="宋体" w:eastAsia="宋体" w:cs="宋体"/>
          <w:b/>
          <w:bCs/>
          <w:sz w:val="24"/>
          <w:szCs w:val="24"/>
          <w:lang w:val="en-US" w:eastAsia="zh-CN"/>
        </w:rPr>
        <w:t>国家权威机构出具的相关证明材料</w:t>
      </w:r>
      <w:r>
        <w:rPr>
          <w:rFonts w:hint="eastAsia" w:ascii="宋体" w:hAnsi="宋体" w:eastAsia="宋体" w:cs="宋体"/>
          <w:b/>
          <w:bCs/>
          <w:sz w:val="24"/>
          <w:szCs w:val="24"/>
        </w:rPr>
        <w:t>）</w:t>
      </w:r>
      <w:r>
        <w:rPr>
          <w:rFonts w:hint="eastAsia" w:ascii="宋体" w:hAnsi="宋体" w:eastAsia="宋体" w:cs="宋体"/>
          <w:b/>
          <w:bCs/>
          <w:sz w:val="24"/>
          <w:szCs w:val="24"/>
          <w:lang w:eastAsia="zh-CN"/>
        </w:rPr>
        <w:t>；</w:t>
      </w:r>
    </w:p>
    <w:p>
      <w:pPr>
        <w:pStyle w:val="28"/>
        <w:widowControl/>
        <w:numPr>
          <w:ilvl w:val="0"/>
          <w:numId w:val="0"/>
        </w:numPr>
        <w:spacing w:line="360" w:lineRule="auto"/>
        <w:ind w:left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w:t>
      </w:r>
      <w:r>
        <w:rPr>
          <w:rFonts w:hint="eastAsia" w:ascii="宋体" w:hAnsi="宋体" w:eastAsia="宋体" w:cs="宋体"/>
          <w:color w:val="000000" w:themeColor="text1"/>
          <w:sz w:val="24"/>
          <w:szCs w:val="24"/>
          <w14:textFill>
            <w14:solidFill>
              <w14:schemeClr w14:val="tx1"/>
            </w14:solidFill>
          </w14:textFill>
        </w:rPr>
        <w:t>支持进行单人视力检测及全班视力检测</w:t>
      </w:r>
      <w:r>
        <w:rPr>
          <w:rFonts w:hint="eastAsia" w:ascii="宋体" w:hAnsi="宋体" w:eastAsia="宋体" w:cs="宋体"/>
          <w:color w:val="000000" w:themeColor="text1"/>
          <w:sz w:val="24"/>
          <w:szCs w:val="24"/>
          <w:lang w:eastAsia="zh-CN"/>
          <w14:textFill>
            <w14:solidFill>
              <w14:schemeClr w14:val="tx1"/>
            </w14:solidFill>
          </w14:textFill>
        </w:rPr>
        <w:t>；</w:t>
      </w:r>
    </w:p>
    <w:p>
      <w:pPr>
        <w:pStyle w:val="28"/>
        <w:widowControl/>
        <w:numPr>
          <w:ilvl w:val="0"/>
          <w:numId w:val="0"/>
        </w:numPr>
        <w:spacing w:line="360" w:lineRule="auto"/>
        <w:ind w:left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17）</w:t>
      </w:r>
      <w:r>
        <w:rPr>
          <w:rFonts w:hint="eastAsia" w:ascii="宋体" w:hAnsi="宋体" w:eastAsia="宋体" w:cs="宋体"/>
          <w:color w:val="000000" w:themeColor="text1"/>
          <w:sz w:val="24"/>
          <w:szCs w:val="24"/>
          <w14:textFill>
            <w14:solidFill>
              <w14:schemeClr w14:val="tx1"/>
            </w14:solidFill>
          </w14:textFill>
        </w:rPr>
        <w:t>支持裸眼检测和戴镜检测两种检测方式</w:t>
      </w:r>
      <w:r>
        <w:rPr>
          <w:rFonts w:hint="eastAsia" w:ascii="宋体" w:hAnsi="宋体" w:eastAsia="宋体" w:cs="宋体"/>
          <w:color w:val="000000" w:themeColor="text1"/>
          <w:sz w:val="24"/>
          <w:szCs w:val="24"/>
          <w:lang w:eastAsia="zh-CN"/>
          <w14:textFill>
            <w14:solidFill>
              <w14:schemeClr w14:val="tx1"/>
            </w14:solidFill>
          </w14:textFill>
        </w:rPr>
        <w:t>；</w:t>
      </w:r>
    </w:p>
    <w:p>
      <w:pPr>
        <w:pStyle w:val="28"/>
        <w:widowControl/>
        <w:numPr>
          <w:ilvl w:val="0"/>
          <w:numId w:val="0"/>
        </w:numPr>
        <w:spacing w:line="360" w:lineRule="auto"/>
        <w:ind w:left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18）</w:t>
      </w:r>
      <w:r>
        <w:rPr>
          <w:rFonts w:hint="eastAsia" w:ascii="宋体" w:hAnsi="宋体" w:eastAsia="宋体" w:cs="宋体"/>
          <w:color w:val="000000" w:themeColor="text1"/>
          <w:sz w:val="24"/>
          <w:szCs w:val="24"/>
          <w14:textFill>
            <w14:solidFill>
              <w14:schemeClr w14:val="tx1"/>
            </w14:solidFill>
          </w14:textFill>
        </w:rPr>
        <w:t>支持在系统后台批量导入学生名单</w:t>
      </w:r>
      <w:r>
        <w:rPr>
          <w:rFonts w:hint="eastAsia" w:ascii="宋体" w:hAnsi="宋体" w:eastAsia="宋体" w:cs="宋体"/>
          <w:color w:val="000000" w:themeColor="text1"/>
          <w:sz w:val="24"/>
          <w:szCs w:val="24"/>
          <w:lang w:eastAsia="zh-CN"/>
          <w14:textFill>
            <w14:solidFill>
              <w14:schemeClr w14:val="tx1"/>
            </w14:solidFill>
          </w14:textFill>
        </w:rPr>
        <w:t>；</w:t>
      </w:r>
    </w:p>
    <w:p>
      <w:pPr>
        <w:pStyle w:val="28"/>
        <w:widowControl/>
        <w:numPr>
          <w:ilvl w:val="0"/>
          <w:numId w:val="0"/>
        </w:numPr>
        <w:spacing w:line="360" w:lineRule="auto"/>
        <w:ind w:left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19）</w:t>
      </w:r>
      <w:r>
        <w:rPr>
          <w:rFonts w:hint="eastAsia" w:ascii="宋体" w:hAnsi="宋体" w:eastAsia="宋体" w:cs="宋体"/>
          <w:color w:val="000000" w:themeColor="text1"/>
          <w:sz w:val="24"/>
          <w:szCs w:val="24"/>
          <w14:textFill>
            <w14:solidFill>
              <w14:schemeClr w14:val="tx1"/>
            </w14:solidFill>
          </w14:textFill>
        </w:rPr>
        <w:t>支持护眼百科内容浏览播放，包含专家视频、护眼动画等</w:t>
      </w:r>
      <w:r>
        <w:rPr>
          <w:rFonts w:hint="eastAsia" w:ascii="宋体" w:hAnsi="宋体" w:eastAsia="宋体" w:cs="宋体"/>
          <w:color w:val="000000" w:themeColor="text1"/>
          <w:sz w:val="24"/>
          <w:szCs w:val="24"/>
          <w:lang w:eastAsia="zh-CN"/>
          <w14:textFill>
            <w14:solidFill>
              <w14:schemeClr w14:val="tx1"/>
            </w14:solidFill>
          </w14:textFill>
        </w:rPr>
        <w:t>；</w:t>
      </w:r>
    </w:p>
    <w:p>
      <w:pPr>
        <w:pStyle w:val="28"/>
        <w:widowControl/>
        <w:numPr>
          <w:ilvl w:val="0"/>
          <w:numId w:val="0"/>
        </w:numPr>
        <w:spacing w:line="360" w:lineRule="auto"/>
        <w:ind w:left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20）</w:t>
      </w:r>
      <w:r>
        <w:rPr>
          <w:rFonts w:hint="eastAsia" w:ascii="宋体" w:hAnsi="宋体" w:eastAsia="宋体" w:cs="宋体"/>
          <w:color w:val="000000" w:themeColor="text1"/>
          <w:sz w:val="24"/>
          <w:szCs w:val="24"/>
          <w14:textFill>
            <w14:solidFill>
              <w14:schemeClr w14:val="tx1"/>
            </w14:solidFill>
          </w14:textFill>
        </w:rPr>
        <w:t>支持在系统后台自动生成学生视力档案</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支持在系统后台导出视力数据进行统计分析</w:t>
      </w:r>
      <w:r>
        <w:rPr>
          <w:rFonts w:hint="eastAsia" w:ascii="宋体" w:hAnsi="宋体" w:eastAsia="宋体" w:cs="宋体"/>
          <w:color w:val="000000" w:themeColor="text1"/>
          <w:sz w:val="24"/>
          <w:szCs w:val="24"/>
          <w:lang w:eastAsia="zh-CN"/>
          <w14:textFill>
            <w14:solidFill>
              <w14:schemeClr w14:val="tx1"/>
            </w14:solidFill>
          </w14:textFill>
        </w:rPr>
        <w:t>；</w:t>
      </w:r>
    </w:p>
    <w:p>
      <w:pPr>
        <w:pStyle w:val="28"/>
        <w:widowControl/>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w:t>
      </w:r>
      <w:r>
        <w:rPr>
          <w:rFonts w:hint="eastAsia" w:ascii="宋体" w:hAnsi="宋体" w:eastAsia="宋体" w:cs="宋体"/>
          <w:color w:val="000000" w:themeColor="text1"/>
          <w:sz w:val="24"/>
          <w:szCs w:val="24"/>
          <w14:textFill>
            <w14:solidFill>
              <w14:schemeClr w14:val="tx1"/>
            </w14:solidFill>
          </w14:textFill>
        </w:rPr>
        <w:t>班级视力数据可实时同步至教师账号，教师和学校管理员可在后台查看、分析、导出视力数据。</w:t>
      </w:r>
    </w:p>
    <w:p>
      <w:pPr>
        <w:pStyle w:val="28"/>
        <w:widowControl/>
        <w:numPr>
          <w:ilvl w:val="0"/>
          <w:numId w:val="0"/>
        </w:numPr>
        <w:spacing w:line="360" w:lineRule="auto"/>
        <w:ind w:leftChars="0"/>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107.含ops模块，ops配置：I5-11300H、8G、256G；</w:t>
      </w:r>
    </w:p>
    <w:p>
      <w:pPr>
        <w:pStyle w:val="28"/>
        <w:widowControl/>
        <w:numPr>
          <w:ilvl w:val="0"/>
          <w:numId w:val="0"/>
        </w:numPr>
        <w:spacing w:line="360" w:lineRule="auto"/>
        <w:ind w:leftChars="0"/>
        <w:rPr>
          <w:rFonts w:hint="eastAsia" w:ascii="宋体" w:hAnsi="宋体"/>
          <w:b/>
          <w:color w:val="auto"/>
          <w:sz w:val="24"/>
          <w:szCs w:val="24"/>
          <w:highlight w:val="none"/>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108.含移动支架及投屏器。</w:t>
      </w:r>
    </w:p>
    <w:p>
      <w:pPr>
        <w:spacing w:line="360" w:lineRule="auto"/>
        <w:rPr>
          <w:rFonts w:hint="default" w:ascii="宋体" w:hAnsi="宋体" w:eastAsia="宋体"/>
          <w:b/>
          <w:color w:val="auto"/>
          <w:sz w:val="24"/>
          <w:szCs w:val="24"/>
          <w:highlight w:val="none"/>
          <w:lang w:val="en-US" w:eastAsia="zh-CN"/>
        </w:rPr>
      </w:pPr>
      <w:r>
        <w:rPr>
          <w:rFonts w:hint="eastAsia" w:ascii="宋体" w:hAnsi="宋体"/>
          <w:b/>
          <w:color w:val="auto"/>
          <w:sz w:val="24"/>
          <w:szCs w:val="24"/>
          <w:highlight w:val="none"/>
          <w:lang w:val="en-US" w:eastAsia="zh-CN"/>
        </w:rPr>
        <w:t>三</w:t>
      </w:r>
      <w:r>
        <w:rPr>
          <w:rFonts w:ascii="宋体" w:hAnsi="宋体"/>
          <w:b/>
          <w:color w:val="auto"/>
          <w:sz w:val="24"/>
          <w:szCs w:val="24"/>
          <w:highlight w:val="none"/>
        </w:rPr>
        <w:t>、</w:t>
      </w:r>
      <w:r>
        <w:rPr>
          <w:rFonts w:hint="eastAsia" w:ascii="宋体" w:hAnsi="宋体"/>
          <w:b/>
          <w:color w:val="auto"/>
          <w:sz w:val="24"/>
          <w:szCs w:val="24"/>
          <w:highlight w:val="none"/>
          <w:lang w:val="en-US" w:eastAsia="zh-CN"/>
        </w:rPr>
        <w:t>商务要求</w:t>
      </w:r>
    </w:p>
    <w:p>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1、工期：按采购人要求</w:t>
      </w:r>
      <w:r>
        <w:rPr>
          <w:rFonts w:hint="eastAsia" w:ascii="宋体" w:hAnsi="宋体" w:eastAsia="宋体" w:cs="宋体"/>
          <w:sz w:val="24"/>
          <w:highlight w:val="none"/>
          <w:lang w:val="en-US" w:eastAsia="zh-CN"/>
        </w:rPr>
        <w:t>一个月</w:t>
      </w:r>
      <w:r>
        <w:rPr>
          <w:rFonts w:hint="eastAsia" w:ascii="宋体" w:hAnsi="宋体" w:eastAsia="宋体" w:cs="宋体"/>
          <w:sz w:val="24"/>
          <w:highlight w:val="none"/>
        </w:rPr>
        <w:t>完成并验收合格。</w:t>
      </w:r>
    </w:p>
    <w:p>
      <w:pPr>
        <w:keepNext w:val="0"/>
        <w:keepLines w:val="0"/>
        <w:pageBreakBefore w:val="0"/>
        <w:widowControl w:val="0"/>
        <w:kinsoku/>
        <w:wordWrap/>
        <w:overflowPunct/>
        <w:topLinePunct w:val="0"/>
        <w:autoSpaceDE/>
        <w:autoSpaceDN/>
        <w:bidi w:val="0"/>
        <w:snapToGrid/>
        <w:spacing w:line="360" w:lineRule="auto"/>
        <w:ind w:firstLine="482" w:firstLineChars="200"/>
        <w:outlineLvl w:val="2"/>
        <w:rPr>
          <w:rFonts w:hint="eastAsia" w:ascii="宋体" w:hAnsi="宋体" w:eastAsia="宋体" w:cs="宋体"/>
          <w:b/>
          <w:bCs/>
          <w:sz w:val="24"/>
          <w:highlight w:val="none"/>
        </w:rPr>
      </w:pPr>
      <w:r>
        <w:rPr>
          <w:rFonts w:hint="eastAsia" w:ascii="宋体" w:hAnsi="宋体" w:eastAsia="宋体" w:cs="宋体"/>
          <w:b/>
          <w:bCs/>
          <w:sz w:val="24"/>
          <w:highlight w:val="none"/>
        </w:rPr>
        <w:t>2、质保期</w:t>
      </w:r>
    </w:p>
    <w:p>
      <w:pPr>
        <w:pStyle w:val="6"/>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设备验收合格后免费保修≥</w:t>
      </w:r>
      <w:r>
        <w:rPr>
          <w:rFonts w:hint="eastAsia" w:hAnsi="宋体" w:cs="宋体"/>
          <w:sz w:val="24"/>
          <w:highlight w:val="none"/>
          <w:lang w:val="en-US" w:eastAsia="zh-CN"/>
        </w:rPr>
        <w:t>1</w:t>
      </w:r>
      <w:r>
        <w:rPr>
          <w:rFonts w:hint="eastAsia" w:ascii="宋体" w:hAnsi="宋体" w:eastAsia="宋体" w:cs="宋体"/>
          <w:sz w:val="24"/>
          <w:highlight w:val="none"/>
        </w:rPr>
        <w:t>年（生产厂家对设备另有超过相应年限保修规定的，按原规定执行），保证开机率大于95%（365天计）。维修响应时间＜4小时，工程师24-48小时内到位并排除故障。保修后免费维修，只收零配件成本费，保证零配件供应8年。质保期外的服务，不得收取任何上门费。</w:t>
      </w:r>
    </w:p>
    <w:p>
      <w:pPr>
        <w:pStyle w:val="6"/>
        <w:keepNext w:val="0"/>
        <w:keepLines w:val="0"/>
        <w:pageBreakBefore w:val="0"/>
        <w:widowControl w:val="0"/>
        <w:kinsoku/>
        <w:wordWrap/>
        <w:overflowPunct/>
        <w:topLinePunct w:val="0"/>
        <w:autoSpaceDE/>
        <w:autoSpaceDN/>
        <w:bidi w:val="0"/>
        <w:snapToGrid/>
        <w:spacing w:line="360" w:lineRule="auto"/>
        <w:ind w:firstLine="480" w:firstLineChars="200"/>
        <w:outlineLvl w:val="2"/>
        <w:rPr>
          <w:rFonts w:hint="eastAsia" w:ascii="宋体" w:hAnsi="宋体" w:eastAsia="宋体" w:cs="宋体"/>
          <w:sz w:val="24"/>
          <w:highlight w:val="none"/>
        </w:rPr>
      </w:pPr>
      <w:r>
        <w:rPr>
          <w:rFonts w:hint="eastAsia" w:ascii="宋体" w:hAnsi="宋体" w:eastAsia="宋体" w:cs="宋体"/>
          <w:sz w:val="24"/>
          <w:highlight w:val="none"/>
        </w:rPr>
        <w:t>3、设备培训</w:t>
      </w:r>
    </w:p>
    <w:p>
      <w:pPr>
        <w:pStyle w:val="6"/>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在设备安装完成后，厂方工程师应免费提供对用户的使用人员应用培训和工程师的常规维护培训（列出具体的培训方案，如提供院外培训，供方负责需方人员培训期间的一切费用(包括差旅费、食宿费用等)），具体细节由院方定。</w:t>
      </w:r>
    </w:p>
    <w:p>
      <w:pPr>
        <w:pStyle w:val="6"/>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在设备使用后，供方根据用户的要求，派专家对用户的使用人员进行应用水平的培训。</w:t>
      </w:r>
    </w:p>
    <w:p>
      <w:pPr>
        <w:pStyle w:val="6"/>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4、提供操作手册、维修手册（包括详细的维修技术资料、维修线路图、软件等）中、英文说明书。</w:t>
      </w:r>
    </w:p>
    <w:p>
      <w:pPr>
        <w:pStyle w:val="6"/>
        <w:keepNext w:val="0"/>
        <w:keepLines w:val="0"/>
        <w:pageBreakBefore w:val="0"/>
        <w:widowControl w:val="0"/>
        <w:kinsoku/>
        <w:wordWrap/>
        <w:overflowPunct/>
        <w:topLinePunct w:val="0"/>
        <w:autoSpaceDE/>
        <w:autoSpaceDN/>
        <w:bidi w:val="0"/>
        <w:snapToGrid/>
        <w:spacing w:line="360" w:lineRule="auto"/>
        <w:ind w:firstLine="480" w:firstLineChars="200"/>
        <w:outlineLvl w:val="2"/>
        <w:rPr>
          <w:rFonts w:hint="eastAsia" w:ascii="宋体" w:hAnsi="宋体" w:eastAsia="宋体" w:cs="宋体"/>
          <w:sz w:val="24"/>
          <w:szCs w:val="24"/>
          <w:highlight w:val="none"/>
        </w:rPr>
      </w:pPr>
      <w:r>
        <w:rPr>
          <w:rFonts w:hint="eastAsia" w:ascii="宋体" w:hAnsi="宋体" w:eastAsia="宋体" w:cs="宋体"/>
          <w:sz w:val="24"/>
          <w:szCs w:val="24"/>
          <w:highlight w:val="none"/>
        </w:rPr>
        <w:t>5、验收标准</w:t>
      </w:r>
    </w:p>
    <w:p>
      <w:pPr>
        <w:pStyle w:val="6"/>
        <w:keepNext w:val="0"/>
        <w:keepLines w:val="0"/>
        <w:pageBreakBefore w:val="0"/>
        <w:widowControl w:val="0"/>
        <w:kinsoku/>
        <w:wordWrap/>
        <w:overflowPunct/>
        <w:topLinePunct w:val="0"/>
        <w:autoSpaceDE/>
        <w:autoSpaceDN/>
        <w:bidi w:val="0"/>
        <w:snapToGrid/>
        <w:spacing w:line="360" w:lineRule="auto"/>
        <w:ind w:firstLine="484" w:firstLineChars="201"/>
        <w:rPr>
          <w:rFonts w:hint="eastAsia" w:ascii="宋体" w:hAnsi="宋体" w:eastAsia="宋体" w:cs="宋体"/>
          <w:b/>
          <w:sz w:val="24"/>
          <w:highlight w:val="none"/>
        </w:rPr>
      </w:pPr>
      <w:r>
        <w:rPr>
          <w:rFonts w:hint="eastAsia" w:ascii="宋体" w:hAnsi="宋体" w:eastAsia="宋体" w:cs="宋体"/>
          <w:b/>
          <w:sz w:val="24"/>
          <w:highlight w:val="none"/>
        </w:rPr>
        <w:t>根据中华人民共和国现行技术标准，按采购文件以及合同规定的验收评定标准等规范，由采购人根据《政府采购合同履约和验收管理办法（暂行）》（义招管办【2008】32号）文件要求和《义乌市关于规范政府采购管理的若干意见》（义政办发【2017】102号）要求，组织验收。</w:t>
      </w:r>
    </w:p>
    <w:p>
      <w:pPr>
        <w:spacing w:line="420" w:lineRule="exact"/>
        <w:ind w:firstLine="482" w:firstLineChars="200"/>
        <w:rPr>
          <w:rFonts w:hint="default" w:hAnsi="宋体" w:eastAsia="宋体"/>
          <w:b/>
          <w:color w:val="auto"/>
          <w:sz w:val="24"/>
          <w:szCs w:val="24"/>
          <w:highlight w:val="none"/>
          <w:lang w:val="en-US" w:eastAsia="zh-CN"/>
        </w:rPr>
      </w:pPr>
    </w:p>
    <w:p>
      <w:pPr>
        <w:pStyle w:val="6"/>
        <w:spacing w:line="360" w:lineRule="auto"/>
        <w:rPr>
          <w:rFonts w:hint="eastAsia" w:hAnsi="宋体" w:eastAsia="宋体"/>
          <w:b/>
          <w:color w:val="auto"/>
          <w:sz w:val="24"/>
          <w:szCs w:val="24"/>
          <w:highlight w:val="none"/>
          <w:lang w:eastAsia="zh-CN"/>
        </w:rPr>
      </w:pPr>
      <w:r>
        <w:rPr>
          <w:rFonts w:hint="eastAsia" w:hAnsi="宋体"/>
          <w:b/>
          <w:color w:val="auto"/>
          <w:sz w:val="24"/>
          <w:szCs w:val="24"/>
          <w:highlight w:val="none"/>
          <w:lang w:val="en-US" w:eastAsia="zh-CN"/>
        </w:rPr>
        <w:t>四</w:t>
      </w:r>
      <w:r>
        <w:rPr>
          <w:rFonts w:hAnsi="宋体"/>
          <w:b/>
          <w:color w:val="auto"/>
          <w:sz w:val="24"/>
          <w:szCs w:val="24"/>
          <w:highlight w:val="none"/>
        </w:rPr>
        <w:t>、结算方式及付款方式</w:t>
      </w:r>
    </w:p>
    <w:p>
      <w:pPr>
        <w:pStyle w:val="6"/>
        <w:spacing w:line="360" w:lineRule="auto"/>
        <w:rPr>
          <w:rFonts w:hint="eastAsia" w:hAnsi="宋体" w:eastAsia="宋体"/>
          <w:color w:val="auto"/>
          <w:sz w:val="24"/>
          <w:szCs w:val="24"/>
          <w:highlight w:val="none"/>
          <w:lang w:eastAsia="zh-CN"/>
        </w:rPr>
      </w:pPr>
      <w:r>
        <w:rPr>
          <w:rFonts w:hAnsi="宋体"/>
          <w:color w:val="auto"/>
          <w:sz w:val="24"/>
          <w:szCs w:val="24"/>
          <w:highlight w:val="none"/>
        </w:rPr>
        <w:t xml:space="preserve">   </w:t>
      </w:r>
      <w:r>
        <w:rPr>
          <w:rFonts w:hint="eastAsia" w:hAnsi="宋体"/>
          <w:color w:val="auto"/>
          <w:sz w:val="24"/>
          <w:szCs w:val="24"/>
          <w:highlight w:val="none"/>
        </w:rPr>
        <w:t>全部货物最终验收合格后30个工作日内，</w:t>
      </w:r>
      <w:r>
        <w:rPr>
          <w:rFonts w:hint="eastAsia" w:hAnsi="宋体"/>
          <w:color w:val="auto"/>
          <w:sz w:val="24"/>
          <w:szCs w:val="24"/>
          <w:highlight w:val="none"/>
          <w:lang w:val="en-US" w:eastAsia="zh-CN"/>
        </w:rPr>
        <w:t>甲方根据合同、发票、验收单</w:t>
      </w:r>
      <w:r>
        <w:rPr>
          <w:rFonts w:hint="eastAsia" w:hAnsi="宋体"/>
          <w:color w:val="auto"/>
          <w:sz w:val="24"/>
          <w:szCs w:val="24"/>
          <w:highlight w:val="none"/>
        </w:rPr>
        <w:t>向乙方支付全部货款</w:t>
      </w:r>
      <w:r>
        <w:rPr>
          <w:rFonts w:hint="eastAsia" w:hAnsi="宋体"/>
          <w:color w:val="auto"/>
          <w:sz w:val="24"/>
          <w:szCs w:val="24"/>
          <w:highlight w:val="none"/>
          <w:lang w:eastAsia="zh-CN"/>
        </w:rPr>
        <w:t>。</w:t>
      </w:r>
    </w:p>
    <w:p>
      <w:pPr>
        <w:pStyle w:val="6"/>
        <w:spacing w:line="360" w:lineRule="auto"/>
        <w:rPr>
          <w:rFonts w:hint="eastAsia" w:hAnsi="宋体"/>
          <w:color w:val="auto"/>
          <w:sz w:val="24"/>
          <w:szCs w:val="24"/>
          <w:highlight w:val="none"/>
        </w:rPr>
      </w:pPr>
    </w:p>
    <w:p>
      <w:pPr>
        <w:pStyle w:val="6"/>
        <w:spacing w:line="360" w:lineRule="auto"/>
        <w:rPr>
          <w:rFonts w:hAnsi="宋体"/>
          <w:b/>
          <w:color w:val="auto"/>
          <w:sz w:val="24"/>
          <w:szCs w:val="24"/>
          <w:highlight w:val="none"/>
        </w:rPr>
      </w:pPr>
      <w:r>
        <w:rPr>
          <w:rFonts w:hint="eastAsia" w:hAnsi="宋体"/>
          <w:b/>
          <w:color w:val="auto"/>
          <w:sz w:val="24"/>
          <w:szCs w:val="24"/>
          <w:highlight w:val="none"/>
          <w:lang w:val="en-US" w:eastAsia="zh-CN"/>
        </w:rPr>
        <w:t>五</w:t>
      </w:r>
      <w:r>
        <w:rPr>
          <w:rFonts w:hAnsi="宋体"/>
          <w:b/>
          <w:color w:val="auto"/>
          <w:sz w:val="24"/>
          <w:szCs w:val="24"/>
          <w:highlight w:val="none"/>
        </w:rPr>
        <w:t>、</w:t>
      </w:r>
      <w:r>
        <w:rPr>
          <w:rFonts w:hint="eastAsia" w:hAnsi="宋体"/>
          <w:b/>
          <w:color w:val="auto"/>
          <w:sz w:val="24"/>
          <w:szCs w:val="24"/>
          <w:highlight w:val="none"/>
        </w:rPr>
        <w:t>其他</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1．中标人不得转包、分包。</w:t>
      </w:r>
    </w:p>
    <w:p>
      <w:pPr>
        <w:spacing w:line="360" w:lineRule="auto"/>
        <w:ind w:left="479" w:leftChars="228"/>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投标方在投标前可以自行到现场进行实地踏勘，招标单位不另行组织现场勘察会。</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投标单位报价时应以人民币为计算单位，报价总金额到元为止。报价中的管理费、利润、税费等其他费用由各参标单位自行考虑。本次招投标相关资料文件概不退还。</w:t>
      </w:r>
    </w:p>
    <w:p>
      <w:pPr>
        <w:spacing w:line="360" w:lineRule="auto"/>
        <w:ind w:firstLine="480"/>
        <w:rPr>
          <w:rFonts w:hint="eastAsia" w:ascii="宋体" w:hAnsi="宋体"/>
          <w:color w:val="auto"/>
          <w:sz w:val="24"/>
          <w:szCs w:val="24"/>
          <w:highlight w:val="none"/>
        </w:rPr>
      </w:pPr>
      <w:r>
        <w:rPr>
          <w:rFonts w:hint="eastAsia" w:ascii="宋体" w:hAnsi="宋体"/>
          <w:color w:val="auto"/>
          <w:sz w:val="24"/>
          <w:szCs w:val="24"/>
          <w:highlight w:val="none"/>
        </w:rPr>
        <w:t>4、请投标方认真仔细阅读招标书，若与招标文件不符的请在投标文件中做补充说明， 例如付款方式、结算方式、售后等。</w:t>
      </w:r>
    </w:p>
    <w:p>
      <w:pPr>
        <w:spacing w:line="360" w:lineRule="auto"/>
        <w:ind w:firstLine="720" w:firstLineChars="200"/>
        <w:rPr>
          <w:color w:val="auto"/>
          <w:sz w:val="36"/>
          <w:highlight w:val="none"/>
        </w:rPr>
      </w:pPr>
      <w:r>
        <w:rPr>
          <w:color w:val="auto"/>
          <w:sz w:val="36"/>
          <w:highlight w:val="none"/>
        </w:rPr>
        <w:t xml:space="preserve">       </w:t>
      </w:r>
    </w:p>
    <w:p>
      <w:pPr>
        <w:pStyle w:val="2"/>
      </w:pPr>
    </w:p>
    <w:p>
      <w:pPr>
        <w:pStyle w:val="2"/>
        <w:rPr>
          <w:color w:val="auto"/>
          <w:highlight w:val="none"/>
        </w:rPr>
      </w:pPr>
    </w:p>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第四章   投标文件要求</w:t>
      </w:r>
    </w:p>
    <w:p>
      <w:pPr>
        <w:widowControl/>
        <w:spacing w:line="420" w:lineRule="atLeast"/>
        <w:ind w:firstLine="48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一、对投标文件的要求</w:t>
      </w:r>
    </w:p>
    <w:p>
      <w:pPr>
        <w:widowControl/>
        <w:spacing w:line="420" w:lineRule="atLeast"/>
        <w:ind w:firstLine="480"/>
        <w:rPr>
          <w:rFonts w:ascii="宋体" w:hAnsi="宋体" w:cs="宋体"/>
          <w:color w:val="auto"/>
          <w:kern w:val="0"/>
          <w:sz w:val="24"/>
          <w:szCs w:val="24"/>
          <w:highlight w:val="none"/>
        </w:rPr>
      </w:pPr>
      <w:r>
        <w:rPr>
          <w:rFonts w:hint="eastAsia" w:ascii="宋体" w:hAnsi="宋体"/>
          <w:color w:val="auto"/>
          <w:sz w:val="24"/>
          <w:szCs w:val="21"/>
          <w:highlight w:val="none"/>
        </w:rPr>
        <w:t>1．投标方应仔细阅读招标文件的所有内容，按招标文件的要求提供投标文件，并保证所提供的全部资料的真实性，以使其投标对招标文件做出实质性响应，否则，其投标可能被拒绝</w:t>
      </w:r>
      <w:r>
        <w:rPr>
          <w:rFonts w:hint="eastAsia" w:ascii="宋体" w:hAnsi="宋体" w:cs="宋体"/>
          <w:color w:val="auto"/>
          <w:kern w:val="0"/>
          <w:sz w:val="24"/>
          <w:szCs w:val="24"/>
          <w:highlight w:val="none"/>
        </w:rPr>
        <w:t>。</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w:t>
      </w:r>
      <w:r>
        <w:rPr>
          <w:rFonts w:hint="eastAsia" w:ascii="宋体" w:hAnsi="宋体"/>
          <w:color w:val="auto"/>
          <w:sz w:val="24"/>
          <w:szCs w:val="21"/>
          <w:highlight w:val="none"/>
        </w:rPr>
        <w:t>．</w:t>
      </w:r>
      <w:r>
        <w:rPr>
          <w:rFonts w:ascii="宋体" w:hAnsi="宋体"/>
          <w:color w:val="auto"/>
          <w:sz w:val="24"/>
          <w:szCs w:val="21"/>
          <w:highlight w:val="none"/>
        </w:rPr>
        <w:t>在招标文件对技术要求中，投标人必须充分应答和满足用户的强制性的需求，如“★”等，否则将导致废标。</w:t>
      </w:r>
    </w:p>
    <w:p>
      <w:pPr>
        <w:widowControl/>
        <w:spacing w:line="420" w:lineRule="atLeast"/>
        <w:ind w:firstLine="48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二、投标文件的组成</w:t>
      </w:r>
    </w:p>
    <w:p>
      <w:pPr>
        <w:widowControl/>
        <w:spacing w:line="420" w:lineRule="atLeast"/>
        <w:ind w:firstLine="48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递交的投标文件应分为技术标和商务标，技术标为除商务报价外的所有内容，且技术标和商务标分开制作，并单独密封包装。</w:t>
      </w:r>
      <w:r>
        <w:rPr>
          <w:rFonts w:ascii="宋体" w:hAnsi="宋体" w:cs="宋体"/>
          <w:b/>
          <w:bCs/>
          <w:color w:val="auto"/>
          <w:kern w:val="0"/>
          <w:sz w:val="24"/>
          <w:szCs w:val="24"/>
          <w:highlight w:val="none"/>
        </w:rPr>
        <w:t>技术标（含资信与服务）不得含商务报价，否则作无效标处理。</w:t>
      </w:r>
    </w:p>
    <w:p>
      <w:pPr>
        <w:widowControl/>
        <w:spacing w:line="420" w:lineRule="atLeast"/>
        <w:ind w:left="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技术标：</w:t>
      </w:r>
    </w:p>
    <w:p>
      <w:pPr>
        <w:pStyle w:val="6"/>
        <w:spacing w:line="460" w:lineRule="exact"/>
        <w:ind w:firstLine="480" w:firstLineChars="200"/>
        <w:rPr>
          <w:rFonts w:hAnsi="宋体" w:cs="宋体"/>
          <w:color w:val="auto"/>
          <w:kern w:val="0"/>
          <w:sz w:val="24"/>
          <w:szCs w:val="24"/>
          <w:highlight w:val="none"/>
        </w:rPr>
      </w:pPr>
      <w:r>
        <w:rPr>
          <w:rFonts w:hint="eastAsia" w:hAnsi="宋体" w:cs="宋体"/>
          <w:color w:val="auto"/>
          <w:kern w:val="0"/>
          <w:sz w:val="24"/>
          <w:szCs w:val="24"/>
          <w:highlight w:val="none"/>
        </w:rPr>
        <w:t>应包括下列内容（包含但不仅限于以下）并应按顺序装订成册(复印件需加盖单位公章，提供的所有证书应在有效期内)</w:t>
      </w:r>
    </w:p>
    <w:p>
      <w:pPr>
        <w:pStyle w:val="6"/>
        <w:spacing w:line="460" w:lineRule="exact"/>
        <w:ind w:firstLine="480" w:firstLineChars="200"/>
        <w:rPr>
          <w:rFonts w:hAnsi="宋体" w:cs="宋体"/>
          <w:color w:val="auto"/>
          <w:kern w:val="0"/>
          <w:sz w:val="24"/>
          <w:szCs w:val="24"/>
          <w:highlight w:val="none"/>
        </w:rPr>
      </w:pPr>
      <w:r>
        <w:rPr>
          <w:rFonts w:hint="eastAsia" w:hAnsi="宋体" w:cs="宋体"/>
          <w:color w:val="auto"/>
          <w:kern w:val="0"/>
          <w:sz w:val="24"/>
          <w:szCs w:val="24"/>
          <w:highlight w:val="none"/>
        </w:rPr>
        <w:t>（1）营业执照副本（复印件加盖公章）；组织机构代码证副本（复印件加盖公章）、税务登记证副本（复印件加盖公章）；</w:t>
      </w:r>
    </w:p>
    <w:p>
      <w:pPr>
        <w:pStyle w:val="6"/>
        <w:spacing w:line="460" w:lineRule="exact"/>
        <w:ind w:firstLine="480" w:firstLineChars="200"/>
        <w:rPr>
          <w:rFonts w:hAnsi="宋体" w:cs="宋体"/>
          <w:color w:val="auto"/>
          <w:kern w:val="0"/>
          <w:sz w:val="24"/>
          <w:szCs w:val="24"/>
          <w:highlight w:val="none"/>
        </w:rPr>
      </w:pPr>
      <w:r>
        <w:rPr>
          <w:rFonts w:hint="eastAsia" w:hAnsi="宋体" w:cs="宋体"/>
          <w:color w:val="auto"/>
          <w:kern w:val="0"/>
          <w:sz w:val="24"/>
          <w:szCs w:val="24"/>
          <w:highlight w:val="none"/>
        </w:rPr>
        <w:t>（2）法人资格证明或法人代表授权书；</w:t>
      </w:r>
    </w:p>
    <w:p>
      <w:pPr>
        <w:pStyle w:val="6"/>
        <w:spacing w:line="460" w:lineRule="exact"/>
        <w:ind w:firstLine="480" w:firstLineChars="200"/>
        <w:rPr>
          <w:rFonts w:hAnsi="宋体" w:cs="宋体"/>
          <w:color w:val="auto"/>
          <w:kern w:val="0"/>
          <w:sz w:val="24"/>
          <w:szCs w:val="24"/>
          <w:highlight w:val="none"/>
        </w:rPr>
      </w:pPr>
      <w:r>
        <w:rPr>
          <w:rFonts w:hint="eastAsia" w:hAnsi="宋体" w:cs="宋体"/>
          <w:color w:val="auto"/>
          <w:kern w:val="0"/>
          <w:sz w:val="24"/>
          <w:szCs w:val="24"/>
          <w:highlight w:val="none"/>
        </w:rPr>
        <w:t>（3）法定代表人或授权代表的身份证（复印件）；</w:t>
      </w:r>
    </w:p>
    <w:p>
      <w:pPr>
        <w:widowControl/>
        <w:spacing w:line="420" w:lineRule="atLeast"/>
        <w:ind w:left="480"/>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（4）售后服务的及时性等保证措施</w:t>
      </w:r>
      <w:r>
        <w:rPr>
          <w:rFonts w:hint="eastAsia" w:ascii="宋体" w:hAnsi="宋体" w:cs="宋体"/>
          <w:color w:val="auto"/>
          <w:kern w:val="0"/>
          <w:sz w:val="24"/>
          <w:szCs w:val="24"/>
          <w:highlight w:val="none"/>
          <w:lang w:eastAsia="zh-CN"/>
        </w:rPr>
        <w:t>；</w:t>
      </w:r>
    </w:p>
    <w:p>
      <w:pPr>
        <w:widowControl/>
        <w:spacing w:line="420" w:lineRule="atLeast"/>
        <w:ind w:left="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）对本次采购货物及供货服务的具体方案，包括供货方案、服务团队、常驻联系人等；</w:t>
      </w:r>
    </w:p>
    <w:p>
      <w:pPr>
        <w:widowControl/>
        <w:spacing w:line="420" w:lineRule="atLeast"/>
        <w:ind w:left="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6</w:t>
      </w:r>
      <w:r>
        <w:rPr>
          <w:rFonts w:hint="eastAsia" w:ascii="宋体" w:hAnsi="宋体" w:cs="宋体"/>
          <w:color w:val="auto"/>
          <w:kern w:val="0"/>
          <w:sz w:val="24"/>
          <w:szCs w:val="24"/>
          <w:highlight w:val="none"/>
        </w:rPr>
        <w:t>）产品质量保证措施、产品的质量保证承诺；</w:t>
      </w:r>
    </w:p>
    <w:p>
      <w:pPr>
        <w:widowControl/>
        <w:spacing w:line="420" w:lineRule="atLeast"/>
        <w:ind w:left="480"/>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）售前、售后服务内容和服务承诺</w:t>
      </w:r>
      <w:r>
        <w:rPr>
          <w:rFonts w:hint="eastAsia" w:ascii="宋体" w:hAnsi="宋体" w:cs="宋体"/>
          <w:color w:val="auto"/>
          <w:kern w:val="0"/>
          <w:sz w:val="24"/>
          <w:szCs w:val="24"/>
          <w:highlight w:val="none"/>
          <w:lang w:eastAsia="zh-CN"/>
        </w:rPr>
        <w:t>；</w:t>
      </w:r>
    </w:p>
    <w:p>
      <w:pPr>
        <w:widowControl/>
        <w:spacing w:line="420" w:lineRule="atLeast"/>
        <w:ind w:left="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8</w:t>
      </w:r>
      <w:r>
        <w:rPr>
          <w:rFonts w:hint="eastAsia" w:ascii="宋体" w:hAnsi="宋体" w:cs="宋体"/>
          <w:color w:val="auto"/>
          <w:kern w:val="0"/>
          <w:sz w:val="24"/>
          <w:szCs w:val="24"/>
          <w:highlight w:val="none"/>
        </w:rPr>
        <w:t>）投标人能够给予招标人的其他优惠条件；</w:t>
      </w:r>
    </w:p>
    <w:p>
      <w:pPr>
        <w:widowControl/>
        <w:spacing w:line="420" w:lineRule="atLeast"/>
        <w:ind w:left="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9</w:t>
      </w:r>
      <w:r>
        <w:rPr>
          <w:rFonts w:hint="eastAsia" w:ascii="宋体" w:hAnsi="宋体" w:cs="宋体"/>
          <w:color w:val="auto"/>
          <w:kern w:val="0"/>
          <w:sz w:val="24"/>
          <w:szCs w:val="24"/>
          <w:highlight w:val="none"/>
        </w:rPr>
        <w:t>）其他投标人认为应该提交给招标人的资料（如业绩）；</w:t>
      </w:r>
    </w:p>
    <w:p>
      <w:pPr>
        <w:widowControl/>
        <w:spacing w:line="420" w:lineRule="atLeast"/>
        <w:ind w:left="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10</w:t>
      </w:r>
      <w:r>
        <w:rPr>
          <w:rFonts w:hint="eastAsia" w:ascii="宋体" w:hAnsi="宋体" w:cs="宋体"/>
          <w:color w:val="auto"/>
          <w:kern w:val="0"/>
          <w:sz w:val="24"/>
          <w:szCs w:val="24"/>
          <w:highlight w:val="none"/>
        </w:rPr>
        <w:t>）各种能体现投标人实力的响应内容或有利于招标人的各种承诺等；</w:t>
      </w:r>
    </w:p>
    <w:p>
      <w:pPr>
        <w:widowControl/>
        <w:spacing w:line="420" w:lineRule="atLeast"/>
        <w:ind w:left="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11</w:t>
      </w:r>
      <w:r>
        <w:rPr>
          <w:rFonts w:hint="eastAsia" w:ascii="宋体" w:hAnsi="宋体" w:cs="宋体"/>
          <w:color w:val="auto"/>
          <w:kern w:val="0"/>
          <w:sz w:val="24"/>
          <w:szCs w:val="24"/>
          <w:highlight w:val="none"/>
        </w:rPr>
        <w:t>）若有技术偏离，详细列明技术偏离部分；</w:t>
      </w:r>
      <w:r>
        <w:rPr>
          <w:rFonts w:hint="eastAsia" w:ascii="宋体" w:hAnsi="宋体" w:cs="宋体"/>
          <w:b/>
          <w:color w:val="auto"/>
          <w:kern w:val="0"/>
          <w:sz w:val="24"/>
          <w:szCs w:val="24"/>
          <w:highlight w:val="none"/>
        </w:rPr>
        <w:t>（选填）</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商务标：</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（1）投标函（附件三）</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（2）报价一览表（附件五）</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（3）投标报价明细表（附件六）</w:t>
      </w:r>
    </w:p>
    <w:p>
      <w:pPr>
        <w:widowControl/>
        <w:spacing w:line="420" w:lineRule="atLeast"/>
        <w:ind w:firstLine="48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三、投标报价要求</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1．投标均以人民币报价。</w:t>
      </w:r>
    </w:p>
    <w:p>
      <w:pPr>
        <w:spacing w:line="42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投标报价包括货物价款、途中运输费、装卸费、保险费、利润、税金、完成本项目的其它费用和政策性文件规定及合同包含的所有风险、责任等各项应有费用，如有漏项，视同已包含在其总项目中，合同总价不予调整</w:t>
      </w:r>
      <w:r>
        <w:rPr>
          <w:rFonts w:hint="eastAsia" w:ascii="宋体" w:hAnsi="宋体" w:cs="宋体"/>
          <w:color w:val="auto"/>
          <w:kern w:val="0"/>
          <w:sz w:val="24"/>
          <w:szCs w:val="24"/>
          <w:highlight w:val="none"/>
        </w:rPr>
        <w:t>。</w:t>
      </w:r>
    </w:p>
    <w:p>
      <w:pPr>
        <w:spacing w:line="42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ascii="宋体" w:hAnsi="宋体" w:cs="宋体"/>
          <w:color w:val="auto"/>
          <w:kern w:val="0"/>
          <w:sz w:val="24"/>
          <w:szCs w:val="24"/>
          <w:highlight w:val="none"/>
        </w:rPr>
        <w:t>投标文件报价出现前后不一致的，按照下列规定修正：</w:t>
      </w:r>
    </w:p>
    <w:p>
      <w:pPr>
        <w:snapToGrid w:val="0"/>
        <w:spacing w:line="42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投标文件中开标一览表（报价表）内容与投标文件中相应内容不一致的，以开标一览表（报价表）为准；</w:t>
      </w:r>
    </w:p>
    <w:p>
      <w:pPr>
        <w:snapToGrid w:val="0"/>
        <w:spacing w:line="42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大写金额和小写金额不一致的，以大写金额为准；</w:t>
      </w:r>
    </w:p>
    <w:p>
      <w:pPr>
        <w:snapToGrid w:val="0"/>
        <w:spacing w:line="42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ascii="宋体" w:hAnsi="宋体" w:cs="宋体"/>
          <w:color w:val="auto"/>
          <w:kern w:val="0"/>
          <w:sz w:val="24"/>
          <w:szCs w:val="24"/>
          <w:highlight w:val="none"/>
        </w:rPr>
        <w:t>单价金额小数点或者百分比有明显错位的，以开标一览表的总价为准，并修改单价；</w:t>
      </w:r>
    </w:p>
    <w:p>
      <w:pPr>
        <w:snapToGrid w:val="0"/>
        <w:spacing w:line="42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r>
        <w:rPr>
          <w:rFonts w:ascii="宋体" w:hAnsi="宋体" w:cs="宋体"/>
          <w:color w:val="auto"/>
          <w:kern w:val="0"/>
          <w:sz w:val="24"/>
          <w:szCs w:val="24"/>
          <w:highlight w:val="none"/>
        </w:rPr>
        <w:t>总价金额与按单价汇总金额不一致的，以单价金额计算结果为准。</w:t>
      </w:r>
    </w:p>
    <w:p>
      <w:pPr>
        <w:pStyle w:val="6"/>
        <w:spacing w:line="420" w:lineRule="atLeast"/>
        <w:ind w:firstLine="480" w:firstLineChars="200"/>
        <w:rPr>
          <w:rFonts w:hAnsi="宋体" w:cs="宋体"/>
          <w:color w:val="auto"/>
          <w:kern w:val="0"/>
          <w:sz w:val="24"/>
          <w:szCs w:val="24"/>
          <w:highlight w:val="none"/>
        </w:rPr>
      </w:pPr>
      <w:r>
        <w:rPr>
          <w:rFonts w:hAnsi="宋体" w:cs="宋体"/>
          <w:color w:val="auto"/>
          <w:kern w:val="0"/>
          <w:sz w:val="24"/>
          <w:szCs w:val="24"/>
          <w:highlight w:val="none"/>
        </w:rPr>
        <w:t>同时出现两种以上不一致的，按照前款规定的顺序修正。修正后的报价由投标人法定代表人或其授权代表签字确认后产生约束力，投标人不确认的，其投标无效。</w:t>
      </w:r>
    </w:p>
    <w:p>
      <w:pPr>
        <w:spacing w:line="42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r>
        <w:rPr>
          <w:rFonts w:ascii="宋体" w:hAnsi="宋体" w:cs="宋体"/>
          <w:color w:val="auto"/>
          <w:kern w:val="0"/>
          <w:sz w:val="24"/>
          <w:szCs w:val="24"/>
          <w:highlight w:val="none"/>
        </w:rPr>
        <w:t>中标后，</w:t>
      </w:r>
      <w:r>
        <w:rPr>
          <w:rFonts w:ascii="宋体" w:hAnsi="宋体" w:cs="宋体"/>
          <w:b/>
          <w:color w:val="auto"/>
          <w:kern w:val="0"/>
          <w:sz w:val="24"/>
          <w:szCs w:val="24"/>
          <w:highlight w:val="none"/>
        </w:rPr>
        <w:t>中标人所填写的单价在合同实施期间不因市场变化因素而变动</w:t>
      </w:r>
      <w:r>
        <w:rPr>
          <w:rFonts w:ascii="宋体" w:hAnsi="宋体" w:cs="宋体"/>
          <w:color w:val="auto"/>
          <w:kern w:val="0"/>
          <w:sz w:val="24"/>
          <w:szCs w:val="24"/>
          <w:highlight w:val="none"/>
        </w:rPr>
        <w:t>；投标人在计算报价时应考虑一定的风险系数。</w:t>
      </w:r>
    </w:p>
    <w:p>
      <w:pPr>
        <w:spacing w:line="42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w:t>
      </w:r>
      <w:r>
        <w:rPr>
          <w:rFonts w:ascii="宋体" w:hAnsi="宋体" w:cs="宋体"/>
          <w:color w:val="auto"/>
          <w:kern w:val="0"/>
          <w:sz w:val="24"/>
          <w:szCs w:val="24"/>
          <w:highlight w:val="none"/>
        </w:rPr>
        <w:t>投标人应按招标文件规定的报价格式进行投标报价。投标人对每种货物只允许有一个报价，采购人不接受任何有选择性的报价。</w:t>
      </w:r>
    </w:p>
    <w:p>
      <w:pPr>
        <w:widowControl/>
        <w:spacing w:line="420" w:lineRule="atLeast"/>
        <w:ind w:firstLine="48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四、投标文件制作要求</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1．投标文件正本必须用不退色的墨水填写或打印，幅面规格A4并装订成册，副本可用复印件。投标文件须一式</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份（正本1份，副本</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份），分别加盖“正本”“副本”印章。正本与副本如有差别，以正本为准，责任由投标人自负。</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2．投标文件中不许有加行、涂抹或改写。若修改错漏处，须由法定代表人或其授权代表签字并加盖单位公章方可生效。</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3．投标文件封面应标明“正本”或“副本”字样。</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r>
        <w:rPr>
          <w:rFonts w:hint="eastAsia" w:ascii="宋体" w:hAnsi="宋体" w:cs="宋体"/>
          <w:b/>
          <w:bCs/>
          <w:color w:val="auto"/>
          <w:kern w:val="0"/>
          <w:sz w:val="24"/>
          <w:szCs w:val="24"/>
          <w:highlight w:val="none"/>
        </w:rPr>
        <w:t>技术标和商务标分开制作并单独密封包装，全部投标文件应装入同一密封袋内，封口处应有投标人法定代表人或其授权代表签字并加盖投标单位公章；封面注明招标项目名称和编号，投标人的名称、地址、邮编、传真、联系电话、联系人。</w:t>
      </w:r>
    </w:p>
    <w:p>
      <w:pPr>
        <w:widowControl/>
        <w:spacing w:line="420" w:lineRule="atLeas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 xml:space="preserve">    五 、投标文件的送达时间 </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1．开标地点即为投标文件的递交地点，招标人在投标截止时间前一小时内接收投标文件。</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2．投标截止时间即为开标时间，招标方将拒绝在投标截止时间后收到的投标文件。</w:t>
      </w:r>
    </w:p>
    <w:p>
      <w:pPr>
        <w:widowControl/>
        <w:spacing w:line="420" w:lineRule="atLeast"/>
        <w:ind w:firstLine="48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六、投标单位有下列情况之一的，</w:t>
      </w:r>
      <w:r>
        <w:rPr>
          <w:rFonts w:hint="eastAsia" w:ascii="宋体" w:hAnsi="宋体" w:cs="宋体"/>
          <w:b/>
          <w:color w:val="auto"/>
          <w:kern w:val="0"/>
          <w:sz w:val="24"/>
          <w:szCs w:val="24"/>
          <w:highlight w:val="none"/>
          <w:lang w:val="en-GB"/>
        </w:rPr>
        <w:t>其投标将可能被拒绝或作无效投标处理：</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1、未在规定时间内将投标书送达规定地点的。</w:t>
      </w:r>
    </w:p>
    <w:p>
      <w:pPr>
        <w:widowControl/>
        <w:spacing w:line="420" w:lineRule="atLeast"/>
        <w:ind w:firstLine="480"/>
        <w:rPr>
          <w:color w:val="auto"/>
          <w:sz w:val="24"/>
          <w:highlight w:val="none"/>
        </w:rPr>
      </w:pP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w:t>
      </w:r>
      <w:r>
        <w:rPr>
          <w:color w:val="auto"/>
          <w:sz w:val="24"/>
          <w:highlight w:val="none"/>
        </w:rPr>
        <w:t>投标文件未按规定密封的</w:t>
      </w:r>
      <w:r>
        <w:rPr>
          <w:rFonts w:hint="eastAsia"/>
          <w:color w:val="auto"/>
          <w:sz w:val="24"/>
          <w:highlight w:val="none"/>
        </w:rPr>
        <w:t>。</w:t>
      </w:r>
    </w:p>
    <w:p>
      <w:pPr>
        <w:widowControl/>
        <w:spacing w:line="420" w:lineRule="atLeast"/>
        <w:ind w:firstLine="480"/>
        <w:rPr>
          <w:color w:val="auto"/>
          <w:sz w:val="24"/>
          <w:highlight w:val="none"/>
        </w:rPr>
      </w:pPr>
      <w:r>
        <w:rPr>
          <w:rFonts w:hint="eastAsia"/>
          <w:color w:val="auto"/>
          <w:sz w:val="24"/>
          <w:highlight w:val="none"/>
        </w:rPr>
        <w:t>3、</w:t>
      </w:r>
      <w:r>
        <w:rPr>
          <w:color w:val="auto"/>
          <w:sz w:val="24"/>
          <w:highlight w:val="none"/>
        </w:rPr>
        <w:t>投标报价高于预算价或最高限价的</w:t>
      </w:r>
      <w:r>
        <w:rPr>
          <w:rFonts w:hint="eastAsia"/>
          <w:color w:val="auto"/>
          <w:sz w:val="24"/>
          <w:highlight w:val="none"/>
        </w:rPr>
        <w:t>。</w:t>
      </w:r>
    </w:p>
    <w:p>
      <w:pPr>
        <w:widowControl/>
        <w:spacing w:line="420" w:lineRule="atLeast"/>
        <w:ind w:firstLine="480"/>
        <w:rPr>
          <w:rFonts w:ascii="宋体" w:hAnsi="宋体" w:cs="宋体"/>
          <w:b/>
          <w:color w:val="auto"/>
          <w:kern w:val="0"/>
          <w:sz w:val="24"/>
          <w:szCs w:val="24"/>
          <w:highlight w:val="none"/>
        </w:rPr>
      </w:pPr>
      <w:r>
        <w:rPr>
          <w:rFonts w:ascii="宋体" w:hAnsi="宋体" w:cs="宋体"/>
          <w:b/>
          <w:color w:val="auto"/>
          <w:kern w:val="0"/>
          <w:sz w:val="24"/>
          <w:szCs w:val="24"/>
          <w:highlight w:val="none"/>
        </w:rPr>
        <w:t>4</w:t>
      </w:r>
      <w:r>
        <w:rPr>
          <w:rFonts w:hint="eastAsia" w:ascii="宋体" w:hAnsi="宋体" w:cs="宋体"/>
          <w:b/>
          <w:color w:val="auto"/>
          <w:kern w:val="0"/>
          <w:sz w:val="24"/>
          <w:szCs w:val="24"/>
          <w:highlight w:val="none"/>
        </w:rPr>
        <w:t>、投标书未按规定密封或未按要求加盖公章或投标文件签署不符合要求的。</w:t>
      </w:r>
    </w:p>
    <w:p>
      <w:pPr>
        <w:widowControl/>
        <w:spacing w:line="420" w:lineRule="atLeast"/>
        <w:ind w:firstLine="480"/>
        <w:rPr>
          <w:rFonts w:ascii="宋体" w:hAnsi="宋体" w:cs="宋体"/>
          <w:b/>
          <w:color w:val="auto"/>
          <w:kern w:val="0"/>
          <w:sz w:val="24"/>
          <w:szCs w:val="24"/>
          <w:highlight w:val="none"/>
        </w:rPr>
      </w:pPr>
      <w:r>
        <w:rPr>
          <w:rFonts w:ascii="宋体" w:hAnsi="宋体" w:cs="宋体"/>
          <w:b/>
          <w:color w:val="auto"/>
          <w:kern w:val="0"/>
          <w:sz w:val="24"/>
          <w:szCs w:val="24"/>
          <w:highlight w:val="none"/>
        </w:rPr>
        <w:t>5</w:t>
      </w:r>
      <w:r>
        <w:rPr>
          <w:rFonts w:hint="eastAsia" w:ascii="宋体" w:hAnsi="宋体" w:cs="宋体"/>
          <w:b/>
          <w:color w:val="auto"/>
          <w:kern w:val="0"/>
          <w:sz w:val="24"/>
          <w:szCs w:val="24"/>
          <w:highlight w:val="none"/>
        </w:rPr>
        <w:t>、投标文件无法人代表签字或签字无法人代表有效委托的。</w:t>
      </w:r>
    </w:p>
    <w:p>
      <w:pPr>
        <w:widowControl/>
        <w:spacing w:line="420"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6</w:t>
      </w:r>
      <w:r>
        <w:rPr>
          <w:rFonts w:hint="eastAsia" w:ascii="宋体" w:hAnsi="宋体" w:cs="宋体"/>
          <w:color w:val="auto"/>
          <w:kern w:val="0"/>
          <w:sz w:val="24"/>
          <w:szCs w:val="24"/>
          <w:highlight w:val="none"/>
        </w:rPr>
        <w:t>、</w:t>
      </w:r>
      <w:r>
        <w:rPr>
          <w:rFonts w:eastAsia="新宋体"/>
          <w:color w:val="auto"/>
          <w:sz w:val="24"/>
          <w:highlight w:val="none"/>
        </w:rPr>
        <w:t>投标人的投标资格不符合招标文件的资格要求规定</w:t>
      </w:r>
      <w:r>
        <w:rPr>
          <w:color w:val="auto"/>
          <w:kern w:val="0"/>
          <w:sz w:val="24"/>
          <w:highlight w:val="none"/>
        </w:rPr>
        <w:t>；未按招标文件规定提供相关文件，如资格说明、身份申明等；超出经营范围投标的</w:t>
      </w:r>
      <w:r>
        <w:rPr>
          <w:rFonts w:hint="eastAsia"/>
          <w:color w:val="auto"/>
          <w:kern w:val="0"/>
          <w:sz w:val="24"/>
          <w:highlight w:val="none"/>
        </w:rPr>
        <w:t>。</w:t>
      </w:r>
    </w:p>
    <w:p>
      <w:pPr>
        <w:widowControl/>
        <w:spacing w:line="420"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w:t>
      </w:r>
      <w:r>
        <w:rPr>
          <w:color w:val="auto"/>
          <w:sz w:val="24"/>
          <w:highlight w:val="none"/>
        </w:rPr>
        <w:t>投标方的所投产品的数量不符合招标文件规定的</w:t>
      </w:r>
      <w:r>
        <w:rPr>
          <w:rFonts w:hint="eastAsia" w:ascii="宋体" w:hAnsi="宋体" w:cs="宋体"/>
          <w:color w:val="auto"/>
          <w:kern w:val="0"/>
          <w:sz w:val="24"/>
          <w:szCs w:val="24"/>
          <w:highlight w:val="none"/>
        </w:rPr>
        <w:t>。</w:t>
      </w:r>
    </w:p>
    <w:p>
      <w:pPr>
        <w:widowControl/>
        <w:spacing w:line="420"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8</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如评标委员会一致认为最低投标报价或某些分项明显不合理，有降低质量、不能诚信履约的可能时，评标委员会有权通知投标方限期进行解释。如投标人未在规定期限内做出解释，或所作解释不合理，经评标委员会取得一致意见后，可列为异常报价，确定该投标为无效标。</w:t>
      </w:r>
    </w:p>
    <w:p>
      <w:pPr>
        <w:widowControl/>
        <w:spacing w:line="420"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9</w:t>
      </w:r>
      <w:r>
        <w:rPr>
          <w:rFonts w:hint="eastAsia" w:ascii="宋体" w:hAnsi="宋体" w:cs="宋体"/>
          <w:color w:val="auto"/>
          <w:kern w:val="0"/>
          <w:sz w:val="24"/>
          <w:szCs w:val="24"/>
          <w:highlight w:val="none"/>
        </w:rPr>
        <w:t>、</w:t>
      </w:r>
      <w:r>
        <w:rPr>
          <w:color w:val="auto"/>
          <w:kern w:val="0"/>
          <w:sz w:val="24"/>
          <w:highlight w:val="none"/>
        </w:rPr>
        <w:t>投标文件不符合招标文件规定，未按规定格式填写的；或投标文件内容不全或关键字迹模糊、无法辨认的；或投标文件内容自相矛盾的</w:t>
      </w:r>
      <w:r>
        <w:rPr>
          <w:rFonts w:hint="eastAsia"/>
          <w:color w:val="auto"/>
          <w:kern w:val="0"/>
          <w:sz w:val="24"/>
          <w:highlight w:val="none"/>
        </w:rPr>
        <w:t>。</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0</w:t>
      </w:r>
      <w:r>
        <w:rPr>
          <w:rFonts w:hint="eastAsia" w:ascii="宋体" w:hAnsi="宋体" w:cs="宋体"/>
          <w:color w:val="auto"/>
          <w:kern w:val="0"/>
          <w:sz w:val="24"/>
          <w:szCs w:val="24"/>
          <w:highlight w:val="none"/>
        </w:rPr>
        <w:t>、投标文件中提供伪造、虚假材料的。</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w:t>
      </w:r>
      <w:r>
        <w:rPr>
          <w:color w:val="auto"/>
          <w:kern w:val="0"/>
          <w:sz w:val="24"/>
          <w:highlight w:val="none"/>
        </w:rPr>
        <w:t>借用或冒用他人名义或证件、涂改文件、伪造或编造投标文件的</w:t>
      </w:r>
      <w:r>
        <w:rPr>
          <w:rFonts w:hint="eastAsia"/>
          <w:color w:val="auto"/>
          <w:kern w:val="0"/>
          <w:sz w:val="24"/>
          <w:highlight w:val="none"/>
        </w:rPr>
        <w:t>。</w:t>
      </w:r>
    </w:p>
    <w:p>
      <w:pPr>
        <w:widowControl/>
        <w:spacing w:line="420"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12</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对本招标文件中打★号的条款未完全响应的</w:t>
      </w:r>
      <w:r>
        <w:rPr>
          <w:rFonts w:hint="eastAsia" w:ascii="宋体" w:hAnsi="宋体" w:cs="宋体"/>
          <w:color w:val="auto"/>
          <w:kern w:val="0"/>
          <w:sz w:val="24"/>
          <w:szCs w:val="24"/>
          <w:highlight w:val="none"/>
        </w:rPr>
        <w:t>。</w:t>
      </w:r>
    </w:p>
    <w:p>
      <w:pPr>
        <w:widowControl/>
        <w:spacing w:line="420"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13</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投标文件附有采购人不能接受的条件</w:t>
      </w:r>
      <w:r>
        <w:rPr>
          <w:rFonts w:hint="eastAsia" w:ascii="宋体" w:hAnsi="宋体" w:cs="宋体"/>
          <w:color w:val="auto"/>
          <w:kern w:val="0"/>
          <w:sz w:val="24"/>
          <w:szCs w:val="24"/>
          <w:highlight w:val="none"/>
        </w:rPr>
        <w:t>。</w:t>
      </w:r>
    </w:p>
    <w:p>
      <w:pPr>
        <w:widowControl/>
        <w:spacing w:line="420"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14</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技术标中体现或包含商务报价。</w:t>
      </w:r>
    </w:p>
    <w:p>
      <w:pPr>
        <w:widowControl/>
        <w:spacing w:line="420"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15</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若发现有意串标或提供虚假说明材料者</w:t>
      </w:r>
      <w:r>
        <w:rPr>
          <w:rFonts w:hint="eastAsia" w:ascii="宋体" w:hAnsi="宋体" w:cs="宋体"/>
          <w:color w:val="auto"/>
          <w:kern w:val="0"/>
          <w:sz w:val="24"/>
          <w:szCs w:val="24"/>
          <w:highlight w:val="none"/>
        </w:rPr>
        <w:t>。</w:t>
      </w:r>
    </w:p>
    <w:p>
      <w:pPr>
        <w:widowControl/>
        <w:spacing w:line="420"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16</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评标小组认为技术或商务与招标文件偏离的部分过多，或在实质上不响应招标文件的</w:t>
      </w:r>
      <w:r>
        <w:rPr>
          <w:rFonts w:hint="eastAsia" w:ascii="宋体" w:hAnsi="宋体" w:cs="宋体"/>
          <w:color w:val="auto"/>
          <w:kern w:val="0"/>
          <w:sz w:val="24"/>
          <w:szCs w:val="24"/>
          <w:highlight w:val="none"/>
        </w:rPr>
        <w:t>。</w:t>
      </w:r>
    </w:p>
    <w:p>
      <w:pPr>
        <w:widowControl/>
        <w:spacing w:line="420" w:lineRule="atLeast"/>
        <w:ind w:firstLine="480"/>
        <w:rPr>
          <w:rFonts w:ascii="宋体" w:hAnsi="宋体"/>
          <w:color w:val="auto"/>
          <w:sz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spacing w:line="360" w:lineRule="auto"/>
        <w:jc w:val="center"/>
        <w:rPr>
          <w:rFonts w:hint="eastAsia" w:ascii="宋体" w:hAnsi="宋体"/>
          <w:b/>
          <w:color w:val="auto"/>
          <w:sz w:val="32"/>
          <w:szCs w:val="32"/>
          <w:highlight w:val="none"/>
        </w:rPr>
      </w:pPr>
    </w:p>
    <w:p>
      <w:pPr>
        <w:spacing w:line="360" w:lineRule="auto"/>
        <w:jc w:val="center"/>
        <w:rPr>
          <w:rFonts w:hint="eastAsia" w:ascii="宋体" w:hAnsi="宋体"/>
          <w:b/>
          <w:color w:val="auto"/>
          <w:sz w:val="32"/>
          <w:szCs w:val="32"/>
          <w:highlight w:val="none"/>
        </w:rPr>
      </w:pPr>
    </w:p>
    <w:p>
      <w:pPr>
        <w:spacing w:line="360" w:lineRule="auto"/>
        <w:jc w:val="center"/>
        <w:rPr>
          <w:rFonts w:hint="eastAsia" w:ascii="宋体" w:hAnsi="宋体"/>
          <w:b/>
          <w:color w:val="auto"/>
          <w:sz w:val="32"/>
          <w:szCs w:val="32"/>
          <w:highlight w:val="none"/>
        </w:rPr>
      </w:pPr>
    </w:p>
    <w:p>
      <w:pPr>
        <w:spacing w:line="360" w:lineRule="auto"/>
        <w:jc w:val="center"/>
        <w:rPr>
          <w:rFonts w:hint="eastAsia" w:ascii="宋体" w:hAnsi="宋体"/>
          <w:b/>
          <w:color w:val="auto"/>
          <w:sz w:val="32"/>
          <w:szCs w:val="32"/>
          <w:highlight w:val="none"/>
        </w:rPr>
      </w:pPr>
    </w:p>
    <w:p>
      <w:pPr>
        <w:spacing w:line="360" w:lineRule="auto"/>
        <w:jc w:val="center"/>
        <w:rPr>
          <w:rFonts w:hint="eastAsia" w:ascii="宋体" w:hAnsi="宋体"/>
          <w:b/>
          <w:color w:val="auto"/>
          <w:sz w:val="32"/>
          <w:szCs w:val="32"/>
          <w:highlight w:val="none"/>
        </w:rPr>
      </w:pPr>
    </w:p>
    <w:p>
      <w:pPr>
        <w:spacing w:line="360" w:lineRule="auto"/>
        <w:jc w:val="center"/>
        <w:rPr>
          <w:rFonts w:hint="eastAsia" w:ascii="宋体" w:hAnsi="宋体"/>
          <w:b/>
          <w:color w:val="auto"/>
          <w:sz w:val="32"/>
          <w:szCs w:val="32"/>
          <w:highlight w:val="none"/>
        </w:rPr>
      </w:pPr>
    </w:p>
    <w:p>
      <w:pPr>
        <w:spacing w:line="360" w:lineRule="auto"/>
        <w:jc w:val="center"/>
        <w:rPr>
          <w:rFonts w:hint="eastAsia" w:ascii="宋体" w:hAnsi="宋体"/>
          <w:b/>
          <w:color w:val="auto"/>
          <w:sz w:val="32"/>
          <w:szCs w:val="32"/>
          <w:highlight w:val="none"/>
        </w:rPr>
      </w:pPr>
    </w:p>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第五章   评标办法</w:t>
      </w:r>
    </w:p>
    <w:p>
      <w:pPr>
        <w:adjustRightInd w:val="0"/>
        <w:snapToGrid w:val="0"/>
        <w:spacing w:line="360" w:lineRule="auto"/>
        <w:ind w:right="17" w:firstLine="480" w:firstLineChars="200"/>
        <w:rPr>
          <w:rFonts w:ascii="宋体" w:hAnsi="宋体"/>
          <w:color w:val="auto"/>
          <w:sz w:val="24"/>
          <w:szCs w:val="24"/>
          <w:highlight w:val="none"/>
        </w:rPr>
      </w:pPr>
      <w:r>
        <w:rPr>
          <w:rFonts w:ascii="宋体" w:hAnsi="宋体"/>
          <w:color w:val="auto"/>
          <w:sz w:val="24"/>
          <w:szCs w:val="24"/>
          <w:highlight w:val="none"/>
        </w:rPr>
        <w:t>根据《中华人民共和国政府采购法》和《中华人民共和国招标投标法》的有关规定，为更好地做到公开、公平、公正，结合本次招标的特点，特制定本评标办法。评标小组用综合评分法对招标项目作出评标结论</w:t>
      </w:r>
      <w:r>
        <w:rPr>
          <w:rFonts w:hint="eastAsia" w:ascii="宋体" w:hAnsi="宋体"/>
          <w:color w:val="auto"/>
          <w:sz w:val="24"/>
          <w:szCs w:val="24"/>
          <w:highlight w:val="none"/>
        </w:rPr>
        <w:t>。</w:t>
      </w:r>
    </w:p>
    <w:p>
      <w:pPr>
        <w:pStyle w:val="6"/>
        <w:spacing w:line="360" w:lineRule="auto"/>
        <w:rPr>
          <w:rFonts w:hAnsi="宋体"/>
          <w:b/>
          <w:bCs/>
          <w:color w:val="auto"/>
          <w:sz w:val="24"/>
          <w:szCs w:val="24"/>
          <w:highlight w:val="none"/>
        </w:rPr>
      </w:pPr>
      <w:r>
        <w:rPr>
          <w:rFonts w:hint="eastAsia" w:hAnsi="宋体"/>
          <w:b/>
          <w:bCs/>
          <w:color w:val="auto"/>
          <w:sz w:val="24"/>
          <w:szCs w:val="24"/>
          <w:highlight w:val="none"/>
        </w:rPr>
        <w:t>一</w:t>
      </w:r>
      <w:r>
        <w:rPr>
          <w:rFonts w:hAnsi="宋体"/>
          <w:b/>
          <w:bCs/>
          <w:color w:val="auto"/>
          <w:sz w:val="24"/>
          <w:szCs w:val="24"/>
          <w:highlight w:val="none"/>
        </w:rPr>
        <w:t>、评审办法</w:t>
      </w:r>
    </w:p>
    <w:p>
      <w:pPr>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评标采用综合评分法，评标委员会从投标人的综合实力、信誉、业绩、售后服务、产品构成、技术性能、质量等方面进行评审。评标委员会根据评审情况，对各投标人的商务报价方面在分值范围内进行统一打分，对各投标人的资信商务方面在分值范围内进行统一打分，对各投标人的技术方面在分值范围内进行独立打分。</w:t>
      </w:r>
    </w:p>
    <w:p>
      <w:pPr>
        <w:adjustRightInd w:val="0"/>
        <w:snapToGrid w:val="0"/>
        <w:spacing w:line="360" w:lineRule="auto"/>
        <w:jc w:val="center"/>
        <w:rPr>
          <w:rFonts w:ascii="宋体" w:hAnsi="宋体"/>
          <w:b/>
          <w:color w:val="auto"/>
          <w:sz w:val="24"/>
          <w:szCs w:val="24"/>
          <w:highlight w:val="none"/>
        </w:rPr>
      </w:pPr>
      <w:r>
        <w:rPr>
          <w:rFonts w:ascii="宋体" w:hAnsi="宋体"/>
          <w:b/>
          <w:color w:val="auto"/>
          <w:sz w:val="24"/>
          <w:szCs w:val="24"/>
          <w:highlight w:val="none"/>
        </w:rPr>
        <w:t>每个投标人最终得分=商务报价分+技术分</w:t>
      </w:r>
    </w:p>
    <w:p>
      <w:pPr>
        <w:adjustRightInd w:val="0"/>
        <w:snapToGrid w:val="0"/>
        <w:spacing w:line="360" w:lineRule="auto"/>
        <w:rPr>
          <w:rFonts w:ascii="宋体" w:hAnsi="宋体"/>
          <w:color w:val="auto"/>
          <w:sz w:val="24"/>
          <w:szCs w:val="24"/>
          <w:highlight w:val="none"/>
        </w:rPr>
      </w:pPr>
      <w:r>
        <w:rPr>
          <w:rFonts w:ascii="宋体" w:hAnsi="宋体"/>
          <w:color w:val="auto"/>
          <w:sz w:val="24"/>
          <w:szCs w:val="24"/>
          <w:highlight w:val="none"/>
        </w:rPr>
        <w:t>评标委员会推荐得分最高的投标人为第一中标候选人、得分次高的投标人为第二中标候选人（如果得分相同，则按投标人报价从低到高顺序推荐为中标候选人；如果投标报价也相同，则抽签决定），并编写评标报告</w:t>
      </w:r>
      <w:r>
        <w:rPr>
          <w:rFonts w:hint="eastAsia" w:ascii="宋体" w:hAnsi="宋体"/>
          <w:color w:val="auto"/>
          <w:sz w:val="24"/>
          <w:szCs w:val="24"/>
          <w:highlight w:val="none"/>
        </w:rPr>
        <w:t>。</w:t>
      </w:r>
    </w:p>
    <w:p>
      <w:pPr>
        <w:adjustRightInd w:val="0"/>
        <w:snapToGrid w:val="0"/>
        <w:spacing w:line="360" w:lineRule="auto"/>
        <w:rPr>
          <w:rFonts w:ascii="宋体" w:hAnsi="宋体"/>
          <w:b/>
          <w:color w:val="auto"/>
          <w:sz w:val="24"/>
          <w:szCs w:val="24"/>
          <w:highlight w:val="none"/>
        </w:rPr>
      </w:pPr>
      <w:r>
        <w:rPr>
          <w:rFonts w:hint="eastAsia" w:ascii="宋体" w:hAnsi="宋体"/>
          <w:b/>
          <w:color w:val="auto"/>
          <w:sz w:val="24"/>
          <w:szCs w:val="24"/>
          <w:highlight w:val="none"/>
        </w:rPr>
        <w:t>1、技术评审（总分</w:t>
      </w:r>
      <w:r>
        <w:rPr>
          <w:rFonts w:hint="eastAsia" w:ascii="宋体" w:hAnsi="宋体"/>
          <w:b/>
          <w:color w:val="auto"/>
          <w:sz w:val="24"/>
          <w:szCs w:val="24"/>
          <w:highlight w:val="none"/>
          <w:lang w:val="en-US" w:eastAsia="zh-CN"/>
        </w:rPr>
        <w:t>70</w:t>
      </w:r>
      <w:r>
        <w:rPr>
          <w:rFonts w:hint="eastAsia" w:ascii="宋体" w:hAnsi="宋体"/>
          <w:b/>
          <w:color w:val="auto"/>
          <w:sz w:val="24"/>
          <w:szCs w:val="24"/>
          <w:highlight w:val="none"/>
        </w:rPr>
        <w:t>分）</w:t>
      </w:r>
    </w:p>
    <w:p>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由评标专家负责对投标文件的技术部分采用记名方式各自评分。</w:t>
      </w:r>
      <w:r>
        <w:rPr>
          <w:rFonts w:hint="eastAsia" w:ascii="宋体" w:hAnsi="宋体" w:cs="黑体"/>
          <w:color w:val="auto"/>
          <w:sz w:val="24"/>
          <w:szCs w:val="24"/>
          <w:highlight w:val="none"/>
        </w:rPr>
        <w:t>投标人的最终技术部分的得分</w:t>
      </w:r>
      <w:r>
        <w:rPr>
          <w:rFonts w:hint="eastAsia" w:ascii="宋体" w:hAnsi="宋体"/>
          <w:color w:val="auto"/>
          <w:sz w:val="24"/>
          <w:szCs w:val="24"/>
          <w:highlight w:val="none"/>
        </w:rPr>
        <w:t>为全体评标专家评分的算术平均值。如某一份评分表中某一项评分，超过评分细则所规定的分值范围，则该张打分表无效。投标人最终得分为评标委员会所有成员的有效评分的算术平均值，计算时保留小数2位。</w:t>
      </w:r>
    </w:p>
    <w:tbl>
      <w:tblPr>
        <w:tblStyle w:val="15"/>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662"/>
        <w:gridCol w:w="7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8" w:type="dxa"/>
            <w:vAlign w:val="center"/>
          </w:tcPr>
          <w:p>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评审因素</w:t>
            </w:r>
          </w:p>
        </w:tc>
        <w:tc>
          <w:tcPr>
            <w:tcW w:w="662" w:type="dxa"/>
            <w:vAlign w:val="center"/>
          </w:tcPr>
          <w:p>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分值</w:t>
            </w:r>
          </w:p>
        </w:tc>
        <w:tc>
          <w:tcPr>
            <w:tcW w:w="7608" w:type="dxa"/>
            <w:vAlign w:val="center"/>
          </w:tcPr>
          <w:p>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8" w:type="dxa"/>
            <w:vAlign w:val="center"/>
          </w:tcPr>
          <w:p>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质保期</w:t>
            </w:r>
          </w:p>
        </w:tc>
        <w:tc>
          <w:tcPr>
            <w:tcW w:w="662" w:type="dxa"/>
            <w:vAlign w:val="center"/>
          </w:tcPr>
          <w:p>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w:t>
            </w:r>
          </w:p>
        </w:tc>
        <w:tc>
          <w:tcPr>
            <w:tcW w:w="7608" w:type="dxa"/>
            <w:vAlign w:val="center"/>
          </w:tcPr>
          <w:p>
            <w:pPr>
              <w:rPr>
                <w:rFonts w:hint="eastAsia" w:ascii="宋体" w:hAnsi="宋体" w:eastAsia="宋体" w:cs="宋体"/>
                <w:sz w:val="24"/>
                <w:szCs w:val="24"/>
                <w:highlight w:val="none"/>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客观分</w:t>
            </w:r>
            <w:r>
              <w:rPr>
                <w:rFonts w:hint="eastAsia" w:ascii="宋体" w:hAnsi="宋体" w:eastAsia="宋体" w:cs="宋体"/>
                <w:b/>
                <w:bCs/>
                <w:sz w:val="24"/>
                <w:szCs w:val="24"/>
                <w:highlight w:val="none"/>
                <w:lang w:eastAsia="zh-CN"/>
              </w:rPr>
              <w:t>】</w:t>
            </w:r>
            <w:r>
              <w:rPr>
                <w:rFonts w:hint="eastAsia" w:ascii="宋体" w:hAnsi="宋体" w:eastAsia="宋体" w:cs="宋体"/>
                <w:sz w:val="24"/>
                <w:szCs w:val="24"/>
                <w:highlight w:val="none"/>
              </w:rPr>
              <w:t>满足招标文件要求基础上每延长</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年得</w:t>
            </w:r>
            <w:r>
              <w:rPr>
                <w:rFonts w:hint="eastAsia" w:ascii="宋体" w:hAnsi="宋体" w:eastAsia="宋体" w:cs="宋体"/>
                <w:sz w:val="24"/>
                <w:szCs w:val="24"/>
                <w:highlight w:val="none"/>
                <w:lang w:val="en-US" w:eastAsia="zh-CN"/>
              </w:rPr>
              <w:t>0.5</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最高</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分），延长时间不足</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年不计入得分，不满足招标文件要求投标无效。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8" w:type="dxa"/>
            <w:vAlign w:val="center"/>
          </w:tcPr>
          <w:p>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业绩</w:t>
            </w:r>
          </w:p>
        </w:tc>
        <w:tc>
          <w:tcPr>
            <w:tcW w:w="662" w:type="dxa"/>
            <w:vAlign w:val="center"/>
          </w:tcPr>
          <w:p>
            <w:pPr>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w:t>
            </w:r>
          </w:p>
        </w:tc>
        <w:tc>
          <w:tcPr>
            <w:tcW w:w="7608"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客观分</w:t>
            </w:r>
            <w:r>
              <w:rPr>
                <w:rFonts w:hint="eastAsia" w:ascii="宋体" w:hAnsi="宋体" w:eastAsia="宋体" w:cs="宋体"/>
                <w:b/>
                <w:bCs/>
                <w:sz w:val="24"/>
                <w:szCs w:val="24"/>
                <w:highlight w:val="none"/>
                <w:lang w:eastAsia="zh-CN"/>
              </w:rPr>
              <w:t>】</w:t>
            </w:r>
            <w:r>
              <w:rPr>
                <w:rFonts w:hint="eastAsia" w:ascii="宋体" w:hAnsi="宋体" w:eastAsia="宋体" w:cs="宋体"/>
                <w:b w:val="0"/>
                <w:bCs w:val="0"/>
                <w:sz w:val="24"/>
                <w:szCs w:val="24"/>
                <w:highlight w:val="none"/>
              </w:rPr>
              <w:t>投标人自</w:t>
            </w:r>
            <w:r>
              <w:rPr>
                <w:rFonts w:hint="eastAsia" w:ascii="宋体" w:hAnsi="宋体" w:eastAsia="宋体" w:cs="宋体"/>
                <w:b w:val="0"/>
                <w:bCs w:val="0"/>
                <w:sz w:val="24"/>
                <w:szCs w:val="24"/>
                <w:highlight w:val="none"/>
                <w:lang w:val="en-US" w:eastAsia="zh-CN"/>
              </w:rPr>
              <w:t>2020</w:t>
            </w:r>
            <w:r>
              <w:rPr>
                <w:rFonts w:hint="eastAsia" w:ascii="宋体" w:hAnsi="宋体" w:eastAsia="宋体" w:cs="宋体"/>
                <w:b w:val="0"/>
                <w:bCs w:val="0"/>
                <w:sz w:val="24"/>
                <w:szCs w:val="24"/>
                <w:highlight w:val="none"/>
              </w:rPr>
              <w:t>年1月1日以来（以合同签订时间为准）类似</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与采购标的同品类</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合同（</w:t>
            </w:r>
            <w:r>
              <w:rPr>
                <w:rFonts w:hint="eastAsia" w:ascii="宋体" w:hAnsi="宋体" w:eastAsia="宋体" w:cs="宋体"/>
                <w:b w:val="0"/>
                <w:bCs w:val="0"/>
                <w:sz w:val="24"/>
                <w:szCs w:val="24"/>
                <w:highlight w:val="none"/>
                <w:lang w:eastAsia="zh-CN"/>
              </w:rPr>
              <w:t>最高</w:t>
            </w: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t>分）：</w:t>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分</w:t>
            </w:r>
            <w:r>
              <w:rPr>
                <w:rFonts w:hint="eastAsia" w:ascii="宋体" w:hAnsi="宋体" w:eastAsia="宋体" w:cs="宋体"/>
                <w:b w:val="0"/>
                <w:bCs w:val="0"/>
                <w:sz w:val="24"/>
                <w:szCs w:val="24"/>
                <w:highlight w:val="none"/>
                <w:lang w:val="en-US" w:eastAsia="zh-CN"/>
              </w:rPr>
              <w:t>/</w:t>
            </w:r>
            <w:r>
              <w:rPr>
                <w:rFonts w:hint="eastAsia" w:ascii="宋体" w:hAnsi="宋体" w:eastAsia="宋体" w:cs="宋体"/>
                <w:b w:val="0"/>
                <w:bCs w:val="0"/>
                <w:sz w:val="24"/>
                <w:szCs w:val="24"/>
                <w:highlight w:val="none"/>
              </w:rPr>
              <w:t>份业绩证明材料</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以</w:t>
            </w:r>
            <w:r>
              <w:rPr>
                <w:rFonts w:hint="eastAsia" w:ascii="宋体" w:hAnsi="宋体" w:eastAsia="宋体" w:cs="宋体"/>
                <w:b w:val="0"/>
                <w:bCs w:val="0"/>
                <w:sz w:val="24"/>
                <w:szCs w:val="24"/>
                <w:highlight w:val="none"/>
              </w:rPr>
              <w:t>合同及对应验收报告复印件</w:t>
            </w:r>
            <w:r>
              <w:rPr>
                <w:rFonts w:hint="eastAsia" w:ascii="宋体" w:hAnsi="宋体" w:eastAsia="宋体" w:cs="宋体"/>
                <w:b w:val="0"/>
                <w:bCs w:val="0"/>
                <w:sz w:val="24"/>
                <w:szCs w:val="24"/>
                <w:highlight w:val="none"/>
                <w:lang w:val="en-US" w:eastAsia="zh-CN"/>
              </w:rPr>
              <w:t>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8" w:type="dxa"/>
            <w:vAlign w:val="center"/>
          </w:tcPr>
          <w:p>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产品响应</w:t>
            </w:r>
          </w:p>
        </w:tc>
        <w:tc>
          <w:tcPr>
            <w:tcW w:w="662" w:type="dxa"/>
            <w:vAlign w:val="center"/>
          </w:tcPr>
          <w:p>
            <w:pPr>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36</w:t>
            </w:r>
          </w:p>
        </w:tc>
        <w:tc>
          <w:tcPr>
            <w:tcW w:w="7608" w:type="dxa"/>
            <w:vAlign w:val="center"/>
          </w:tcPr>
          <w:p>
            <w:pPr>
              <w:rPr>
                <w:rFonts w:hint="eastAsia" w:ascii="宋体" w:hAnsi="宋体" w:eastAsia="宋体" w:cs="宋体"/>
                <w:b w:val="0"/>
                <w:bCs w:val="0"/>
                <w:sz w:val="24"/>
                <w:szCs w:val="24"/>
                <w:highlight w:val="none"/>
                <w:lang w:eastAsia="zh-CN"/>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客观分</w:t>
            </w:r>
            <w:r>
              <w:rPr>
                <w:rFonts w:hint="eastAsia" w:ascii="宋体" w:hAnsi="宋体" w:eastAsia="宋体" w:cs="宋体"/>
                <w:b/>
                <w:bCs/>
                <w:sz w:val="24"/>
                <w:szCs w:val="24"/>
                <w:highlight w:val="none"/>
                <w:lang w:eastAsia="zh-CN"/>
              </w:rPr>
              <w:t>】</w:t>
            </w:r>
            <w:r>
              <w:rPr>
                <w:rFonts w:hint="eastAsia" w:ascii="宋体" w:hAnsi="宋体" w:eastAsia="宋体" w:cs="宋体"/>
                <w:b w:val="0"/>
                <w:bCs w:val="0"/>
                <w:sz w:val="24"/>
                <w:szCs w:val="24"/>
                <w:highlight w:val="none"/>
                <w:lang w:eastAsia="zh-CN"/>
              </w:rPr>
              <w:t>满足或明显优于招标文件明确的全部技术条款要求得</w:t>
            </w:r>
            <w:r>
              <w:rPr>
                <w:rFonts w:hint="eastAsia" w:ascii="宋体" w:hAnsi="宋体" w:eastAsia="宋体" w:cs="宋体"/>
                <w:b w:val="0"/>
                <w:bCs w:val="0"/>
                <w:sz w:val="24"/>
                <w:szCs w:val="24"/>
                <w:highlight w:val="none"/>
                <w:lang w:val="en-US" w:eastAsia="zh-CN"/>
              </w:rPr>
              <w:t>36分</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标</w:t>
            </w: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eastAsia="zh-CN"/>
              </w:rPr>
              <w:t>技术条款低于技术要求（负偏离）扣</w:t>
            </w: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lang w:eastAsia="zh-CN"/>
              </w:rPr>
              <w:t>分</w:t>
            </w:r>
            <w:r>
              <w:rPr>
                <w:rFonts w:hint="eastAsia" w:ascii="宋体" w:hAnsi="宋体" w:eastAsia="宋体" w:cs="宋体"/>
                <w:b w:val="0"/>
                <w:bCs w:val="0"/>
                <w:sz w:val="24"/>
                <w:szCs w:val="24"/>
                <w:highlight w:val="none"/>
                <w:lang w:val="en-US" w:eastAsia="zh-CN"/>
              </w:rPr>
              <w:t>/项</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36分起扣</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非标</w:t>
            </w: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eastAsia="zh-CN"/>
              </w:rPr>
              <w:t>技术条款低于技术要求（负偏离）扣</w:t>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lang w:eastAsia="zh-CN"/>
              </w:rPr>
              <w:t>分</w:t>
            </w:r>
            <w:r>
              <w:rPr>
                <w:rFonts w:hint="eastAsia" w:ascii="宋体" w:hAnsi="宋体" w:eastAsia="宋体" w:cs="宋体"/>
                <w:b w:val="0"/>
                <w:bCs w:val="0"/>
                <w:sz w:val="24"/>
                <w:szCs w:val="24"/>
                <w:highlight w:val="none"/>
                <w:lang w:val="en-US" w:eastAsia="zh-CN"/>
              </w:rPr>
              <w:t>/项</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36分起扣</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合计负偏离≥5项投标无效</w:t>
            </w:r>
            <w:r>
              <w:rPr>
                <w:rFonts w:hint="eastAsia" w:ascii="宋体" w:hAnsi="宋体" w:eastAsia="宋体" w:cs="宋体"/>
                <w:b w:val="0"/>
                <w:bCs w:val="0"/>
                <w:sz w:val="24"/>
                <w:szCs w:val="24"/>
                <w:highlight w:val="none"/>
                <w:lang w:eastAsia="zh-CN"/>
              </w:rPr>
              <w:t>。</w:t>
            </w:r>
          </w:p>
          <w:p>
            <w:pPr>
              <w:rPr>
                <w:rFonts w:hint="eastAsia" w:ascii="宋体" w:hAnsi="宋体" w:eastAsia="宋体" w:cs="宋体"/>
                <w:sz w:val="24"/>
                <w:szCs w:val="24"/>
                <w:highlight w:val="none"/>
                <w:lang w:val="en-US" w:eastAsia="zh-CN"/>
              </w:rPr>
            </w:pPr>
            <w:r>
              <w:rPr>
                <w:rFonts w:hint="eastAsia" w:ascii="宋体" w:hAnsi="宋体" w:eastAsia="宋体" w:cs="宋体"/>
                <w:b/>
                <w:bCs/>
                <w:sz w:val="24"/>
                <w:szCs w:val="24"/>
              </w:rPr>
              <w:t>说明：与</w:t>
            </w:r>
            <w:r>
              <w:rPr>
                <w:rFonts w:hint="eastAsia" w:ascii="宋体" w:hAnsi="宋体" w:eastAsia="宋体" w:cs="宋体"/>
                <w:b/>
                <w:bCs/>
                <w:sz w:val="24"/>
                <w:szCs w:val="24"/>
                <w:lang w:val="en-US" w:eastAsia="zh-CN"/>
              </w:rPr>
              <w:t>技术方案中</w:t>
            </w:r>
            <w:r>
              <w:rPr>
                <w:rFonts w:hint="eastAsia" w:ascii="宋体" w:hAnsi="宋体" w:eastAsia="宋体" w:cs="宋体"/>
                <w:b/>
                <w:bCs/>
                <w:sz w:val="24"/>
                <w:szCs w:val="24"/>
              </w:rPr>
              <w:t>相关材料不一致</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低于技术要求</w:t>
            </w:r>
            <w:r>
              <w:rPr>
                <w:rFonts w:hint="eastAsia" w:ascii="宋体" w:hAnsi="宋体" w:eastAsia="宋体" w:cs="宋体"/>
                <w:b/>
                <w:bCs/>
                <w:sz w:val="24"/>
                <w:szCs w:val="24"/>
                <w:lang w:eastAsia="zh-CN"/>
              </w:rPr>
              <w:t>）</w:t>
            </w:r>
            <w:r>
              <w:rPr>
                <w:rFonts w:hint="eastAsia" w:ascii="宋体" w:hAnsi="宋体" w:eastAsia="宋体" w:cs="宋体"/>
                <w:b/>
                <w:bCs/>
                <w:sz w:val="24"/>
                <w:szCs w:val="24"/>
              </w:rPr>
              <w:t>以相关材料为准并可视为负偏离</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未按采购需求提供相关证明材料视为</w:t>
            </w:r>
            <w:r>
              <w:rPr>
                <w:rFonts w:hint="eastAsia" w:ascii="宋体" w:hAnsi="宋体" w:eastAsia="宋体" w:cs="宋体"/>
                <w:b/>
                <w:bCs/>
                <w:sz w:val="24"/>
                <w:szCs w:val="24"/>
              </w:rPr>
              <w:t>负偏离</w:t>
            </w:r>
            <w:r>
              <w:rPr>
                <w:rFonts w:hint="eastAsia" w:ascii="宋体" w:hAnsi="宋体" w:eastAsia="宋体" w:cs="宋体"/>
                <w:b/>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8" w:type="dxa"/>
            <w:vMerge w:val="restart"/>
            <w:vAlign w:val="center"/>
          </w:tcPr>
          <w:p>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技术方案</w:t>
            </w:r>
          </w:p>
        </w:tc>
        <w:tc>
          <w:tcPr>
            <w:tcW w:w="662" w:type="dxa"/>
            <w:vAlign w:val="center"/>
          </w:tcPr>
          <w:p>
            <w:pPr>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15</w:t>
            </w:r>
          </w:p>
        </w:tc>
        <w:tc>
          <w:tcPr>
            <w:tcW w:w="7608" w:type="dxa"/>
            <w:vAlign w:val="center"/>
          </w:tcPr>
          <w:p>
            <w:pPr>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主观分</w:t>
            </w:r>
            <w:r>
              <w:rPr>
                <w:rFonts w:hint="eastAsia" w:ascii="宋体" w:hAnsi="宋体" w:eastAsia="宋体" w:cs="宋体"/>
                <w:b/>
                <w:bCs/>
                <w:sz w:val="24"/>
                <w:szCs w:val="24"/>
                <w:highlight w:val="none"/>
                <w:lang w:eastAsia="zh-CN"/>
              </w:rPr>
              <w:t>】</w:t>
            </w:r>
            <w:r>
              <w:rPr>
                <w:rFonts w:hint="eastAsia" w:ascii="宋体" w:hAnsi="宋体" w:eastAsia="宋体" w:cs="宋体"/>
                <w:b w:val="0"/>
                <w:bCs w:val="0"/>
                <w:sz w:val="24"/>
                <w:szCs w:val="24"/>
                <w:highlight w:val="none"/>
                <w:lang w:val="en-US" w:eastAsia="zh-CN"/>
              </w:rPr>
              <w:t>根据产品制造商公开发布的印刷资料（官网材料、彩页、Datasheet）或由有关政府部门或检测机构合法出具的文件或报告、产品应用案例、软件功能界面截图、配置清单等对产品结构、功能、技术路线、配置等综合评定</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1.结构</w:t>
            </w:r>
            <w:r>
              <w:rPr>
                <w:rFonts w:hint="eastAsia" w:ascii="宋体" w:hAnsi="宋体" w:eastAsia="宋体" w:cs="宋体"/>
                <w:b w:val="0"/>
                <w:bCs w:val="0"/>
                <w:sz w:val="24"/>
                <w:szCs w:val="24"/>
                <w:highlight w:val="none"/>
                <w:lang w:val="en-US" w:eastAsia="zh-CN"/>
              </w:rPr>
              <w:t>（内部、外部）</w:t>
            </w:r>
            <w:r>
              <w:rPr>
                <w:rFonts w:hint="eastAsia" w:ascii="宋体" w:hAnsi="宋体" w:eastAsia="宋体" w:cs="宋体"/>
                <w:sz w:val="24"/>
                <w:szCs w:val="24"/>
                <w:highlight w:val="none"/>
              </w:rPr>
              <w:t>专业性、先进性、成熟性：</w:t>
            </w:r>
            <w:r>
              <w:rPr>
                <w:rFonts w:hint="eastAsia" w:ascii="宋体" w:hAnsi="宋体" w:eastAsia="宋体" w:cs="宋体"/>
                <w:sz w:val="24"/>
                <w:szCs w:val="24"/>
                <w:highlight w:val="none"/>
                <w:lang w:eastAsia="zh-CN"/>
              </w:rPr>
              <w:t>最高</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分</w:t>
            </w:r>
          </w:p>
          <w:p>
            <w:p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w:t>
            </w:r>
            <w:r>
              <w:rPr>
                <w:rFonts w:hint="eastAsia" w:ascii="宋体" w:hAnsi="宋体" w:eastAsia="宋体" w:cs="宋体"/>
                <w:b w:val="0"/>
                <w:bCs w:val="0"/>
                <w:sz w:val="24"/>
                <w:szCs w:val="24"/>
                <w:highlight w:val="none"/>
                <w:lang w:val="en-US" w:eastAsia="zh-CN"/>
              </w:rPr>
              <w:t>功能（硬件、软件）</w:t>
            </w:r>
            <w:r>
              <w:rPr>
                <w:rFonts w:hint="eastAsia" w:ascii="宋体" w:hAnsi="宋体" w:eastAsia="宋体" w:cs="宋体"/>
                <w:sz w:val="24"/>
                <w:szCs w:val="24"/>
                <w:highlight w:val="none"/>
              </w:rPr>
              <w:t>全面性、先进性：</w:t>
            </w:r>
            <w:r>
              <w:rPr>
                <w:rFonts w:hint="eastAsia" w:ascii="宋体" w:hAnsi="宋体" w:eastAsia="宋体" w:cs="宋体"/>
                <w:sz w:val="24"/>
                <w:szCs w:val="24"/>
                <w:highlight w:val="none"/>
                <w:lang w:eastAsia="zh-CN"/>
              </w:rPr>
              <w:t>最高</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分</w:t>
            </w:r>
          </w:p>
          <w:p>
            <w:pPr>
              <w:rPr>
                <w:rFonts w:hint="eastAsia" w:ascii="宋体" w:hAnsi="宋体" w:eastAsia="宋体" w:cs="宋体"/>
                <w:b/>
                <w:bCs/>
                <w:sz w:val="24"/>
                <w:szCs w:val="24"/>
                <w:highlight w:val="none"/>
                <w:lang w:eastAsia="zh-CN"/>
              </w:rPr>
            </w:pPr>
            <w:r>
              <w:rPr>
                <w:rFonts w:hint="eastAsia" w:ascii="宋体" w:hAnsi="宋体" w:eastAsia="宋体" w:cs="宋体"/>
                <w:sz w:val="24"/>
                <w:szCs w:val="24"/>
                <w:highlight w:val="none"/>
              </w:rPr>
              <w:t>3.</w:t>
            </w:r>
            <w:r>
              <w:rPr>
                <w:rFonts w:hint="eastAsia" w:ascii="宋体" w:hAnsi="宋体" w:eastAsia="宋体" w:cs="宋体"/>
                <w:b w:val="0"/>
                <w:bCs w:val="0"/>
                <w:sz w:val="24"/>
                <w:szCs w:val="24"/>
                <w:highlight w:val="none"/>
                <w:lang w:val="en-US" w:eastAsia="zh-CN"/>
              </w:rPr>
              <w:t>技术路线（原理、核心、逻辑）</w:t>
            </w:r>
            <w:r>
              <w:rPr>
                <w:rFonts w:hint="eastAsia" w:ascii="宋体" w:hAnsi="宋体" w:eastAsia="宋体" w:cs="宋体"/>
                <w:sz w:val="24"/>
                <w:szCs w:val="24"/>
                <w:highlight w:val="none"/>
              </w:rPr>
              <w:t>专业性、先进性、成熟性：</w:t>
            </w:r>
            <w:r>
              <w:rPr>
                <w:rFonts w:hint="eastAsia" w:ascii="宋体" w:hAnsi="宋体" w:eastAsia="宋体" w:cs="宋体"/>
                <w:sz w:val="24"/>
                <w:szCs w:val="24"/>
                <w:highlight w:val="none"/>
                <w:lang w:eastAsia="zh-CN"/>
              </w:rPr>
              <w:t>最高</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分</w:t>
            </w:r>
          </w:p>
          <w:p>
            <w:pPr>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val="en-US" w:eastAsia="zh-CN"/>
              </w:rPr>
              <w:t>4.配置</w:t>
            </w:r>
            <w:r>
              <w:rPr>
                <w:rFonts w:hint="eastAsia" w:ascii="宋体" w:hAnsi="宋体" w:eastAsia="宋体" w:cs="宋体"/>
                <w:b w:val="0"/>
                <w:bCs w:val="0"/>
                <w:sz w:val="24"/>
                <w:szCs w:val="24"/>
                <w:highlight w:val="none"/>
              </w:rPr>
              <w:t>全面</w:t>
            </w:r>
            <w:r>
              <w:rPr>
                <w:rFonts w:hint="eastAsia" w:ascii="宋体" w:hAnsi="宋体" w:eastAsia="宋体" w:cs="宋体"/>
                <w:b w:val="0"/>
                <w:bCs w:val="0"/>
                <w:sz w:val="24"/>
                <w:szCs w:val="24"/>
                <w:highlight w:val="none"/>
                <w:lang w:val="en-US" w:eastAsia="zh-CN"/>
              </w:rPr>
              <w:t>性</w:t>
            </w:r>
            <w:r>
              <w:rPr>
                <w:rFonts w:hint="eastAsia" w:ascii="宋体" w:hAnsi="宋体" w:eastAsia="宋体" w:cs="宋体"/>
                <w:b w:val="0"/>
                <w:bCs w:val="0"/>
                <w:sz w:val="24"/>
                <w:szCs w:val="24"/>
                <w:highlight w:val="none"/>
              </w:rPr>
              <w:t>、先进</w:t>
            </w:r>
            <w:r>
              <w:rPr>
                <w:rFonts w:hint="eastAsia" w:ascii="宋体" w:hAnsi="宋体" w:eastAsia="宋体" w:cs="宋体"/>
                <w:b w:val="0"/>
                <w:bCs w:val="0"/>
                <w:sz w:val="24"/>
                <w:szCs w:val="24"/>
                <w:highlight w:val="none"/>
                <w:lang w:val="en-US" w:eastAsia="zh-CN"/>
              </w:rPr>
              <w:t>性</w:t>
            </w:r>
            <w:r>
              <w:rPr>
                <w:rFonts w:hint="eastAsia" w:ascii="宋体" w:hAnsi="宋体" w:eastAsia="宋体" w:cs="宋体"/>
                <w:b w:val="0"/>
                <w:bCs w:val="0"/>
                <w:sz w:val="24"/>
                <w:szCs w:val="24"/>
                <w:highlight w:val="none"/>
              </w:rPr>
              <w:t>、科研适用程度</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最高3分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8" w:type="dxa"/>
            <w:vMerge w:val="continue"/>
            <w:vAlign w:val="center"/>
          </w:tcPr>
          <w:p>
            <w:pPr>
              <w:jc w:val="center"/>
              <w:rPr>
                <w:rFonts w:hint="eastAsia" w:ascii="宋体" w:hAnsi="宋体" w:eastAsia="宋体" w:cs="宋体"/>
                <w:b/>
                <w:bCs/>
                <w:sz w:val="24"/>
                <w:szCs w:val="24"/>
                <w:highlight w:val="none"/>
                <w:lang w:val="en-US" w:eastAsia="zh-CN"/>
              </w:rPr>
            </w:pPr>
          </w:p>
        </w:tc>
        <w:tc>
          <w:tcPr>
            <w:tcW w:w="662" w:type="dxa"/>
            <w:vAlign w:val="center"/>
          </w:tcPr>
          <w:p>
            <w:pPr>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w:t>
            </w:r>
          </w:p>
        </w:tc>
        <w:tc>
          <w:tcPr>
            <w:tcW w:w="7608" w:type="dxa"/>
            <w:vAlign w:val="center"/>
          </w:tcPr>
          <w:p>
            <w:pPr>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主观分</w:t>
            </w:r>
            <w:r>
              <w:rPr>
                <w:rFonts w:hint="eastAsia" w:ascii="宋体" w:hAnsi="宋体" w:eastAsia="宋体" w:cs="宋体"/>
                <w:b/>
                <w:bCs/>
                <w:sz w:val="24"/>
                <w:szCs w:val="24"/>
                <w:highlight w:val="none"/>
                <w:lang w:eastAsia="zh-CN"/>
              </w:rPr>
              <w:t>】</w:t>
            </w:r>
            <w:r>
              <w:rPr>
                <w:rFonts w:hint="eastAsia" w:ascii="宋体" w:hAnsi="宋体" w:eastAsia="宋体" w:cs="宋体"/>
                <w:sz w:val="24"/>
                <w:szCs w:val="24"/>
                <w:highlight w:val="none"/>
              </w:rPr>
              <w:t>安装、调试方法或方案科学性、可行性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8" w:type="dxa"/>
            <w:vMerge w:val="continue"/>
            <w:vAlign w:val="center"/>
          </w:tcPr>
          <w:p>
            <w:pPr>
              <w:jc w:val="center"/>
              <w:rPr>
                <w:rFonts w:hint="eastAsia" w:ascii="宋体" w:hAnsi="宋体" w:eastAsia="宋体" w:cs="宋体"/>
                <w:b/>
                <w:bCs/>
                <w:sz w:val="24"/>
                <w:szCs w:val="24"/>
                <w:highlight w:val="none"/>
              </w:rPr>
            </w:pPr>
          </w:p>
        </w:tc>
        <w:tc>
          <w:tcPr>
            <w:tcW w:w="662" w:type="dxa"/>
            <w:vAlign w:val="center"/>
          </w:tcPr>
          <w:p>
            <w:pPr>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w:t>
            </w:r>
          </w:p>
        </w:tc>
        <w:tc>
          <w:tcPr>
            <w:tcW w:w="7608" w:type="dxa"/>
            <w:vAlign w:val="center"/>
          </w:tcPr>
          <w:p>
            <w:pPr>
              <w:rPr>
                <w:rFonts w:hint="eastAsia" w:ascii="宋体" w:hAnsi="宋体" w:eastAsia="宋体" w:cs="宋体"/>
                <w:b/>
                <w:bCs/>
                <w:sz w:val="24"/>
                <w:szCs w:val="24"/>
                <w:highlight w:val="none"/>
              </w:rPr>
            </w:pPr>
            <w:r>
              <w:rPr>
                <w:rFonts w:hint="eastAsia" w:ascii="宋体" w:hAnsi="宋体" w:eastAsia="宋体" w:cs="宋体"/>
                <w:b/>
                <w:bCs/>
                <w:sz w:val="24"/>
                <w:szCs w:val="24"/>
              </w:rPr>
              <w:t>【主观分】</w:t>
            </w:r>
            <w:r>
              <w:rPr>
                <w:rFonts w:hint="eastAsia" w:ascii="宋体" w:hAnsi="宋体" w:eastAsia="宋体" w:cs="宋体"/>
                <w:sz w:val="24"/>
                <w:szCs w:val="24"/>
              </w:rPr>
              <w:t>日常运行、保养方法或方案全面性、专业性、可行性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8" w:type="dxa"/>
            <w:vAlign w:val="center"/>
          </w:tcPr>
          <w:p>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技术培训</w:t>
            </w:r>
          </w:p>
        </w:tc>
        <w:tc>
          <w:tcPr>
            <w:tcW w:w="662" w:type="dxa"/>
            <w:vAlign w:val="center"/>
          </w:tcPr>
          <w:p>
            <w:pPr>
              <w:jc w:val="center"/>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3</w:t>
            </w:r>
          </w:p>
        </w:tc>
        <w:tc>
          <w:tcPr>
            <w:tcW w:w="7608" w:type="dxa"/>
            <w:vAlign w:val="center"/>
          </w:tcPr>
          <w:p>
            <w:pPr>
              <w:rPr>
                <w:rFonts w:hint="eastAsia" w:ascii="宋体" w:hAnsi="宋体" w:eastAsia="宋体" w:cs="宋体"/>
                <w:sz w:val="24"/>
                <w:szCs w:val="24"/>
                <w:highlight w:val="none"/>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主观分</w:t>
            </w:r>
            <w:r>
              <w:rPr>
                <w:rFonts w:hint="eastAsia" w:ascii="宋体" w:hAnsi="宋体" w:eastAsia="宋体" w:cs="宋体"/>
                <w:b/>
                <w:bCs/>
                <w:sz w:val="24"/>
                <w:szCs w:val="24"/>
                <w:highlight w:val="none"/>
                <w:lang w:eastAsia="zh-CN"/>
              </w:rPr>
              <w:t>】</w:t>
            </w:r>
            <w:r>
              <w:rPr>
                <w:rFonts w:hint="eastAsia" w:ascii="宋体" w:hAnsi="宋体" w:eastAsia="宋体" w:cs="宋体"/>
                <w:sz w:val="24"/>
                <w:szCs w:val="24"/>
                <w:highlight w:val="none"/>
              </w:rPr>
              <w:t>培训计划全面性、针对性，包括培训流程、培训方式、培训对象、培训内容、培训日程等。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8" w:type="dxa"/>
            <w:vMerge w:val="restart"/>
            <w:vAlign w:val="center"/>
          </w:tcPr>
          <w:p>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售后服务</w:t>
            </w:r>
          </w:p>
        </w:tc>
        <w:tc>
          <w:tcPr>
            <w:tcW w:w="662" w:type="dxa"/>
            <w:vAlign w:val="center"/>
          </w:tcPr>
          <w:p>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3</w:t>
            </w:r>
          </w:p>
        </w:tc>
        <w:tc>
          <w:tcPr>
            <w:tcW w:w="7608" w:type="dxa"/>
            <w:vAlign w:val="center"/>
          </w:tcPr>
          <w:p>
            <w:pPr>
              <w:rPr>
                <w:rFonts w:hint="eastAsia" w:ascii="宋体" w:hAnsi="宋体" w:eastAsia="宋体" w:cs="宋体"/>
                <w:sz w:val="24"/>
                <w:szCs w:val="24"/>
                <w:highlight w:val="none"/>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主观分</w:t>
            </w:r>
            <w:r>
              <w:rPr>
                <w:rFonts w:hint="eastAsia" w:ascii="宋体" w:hAnsi="宋体" w:eastAsia="宋体" w:cs="宋体"/>
                <w:b/>
                <w:bCs/>
                <w:sz w:val="24"/>
                <w:szCs w:val="24"/>
                <w:highlight w:val="none"/>
                <w:lang w:eastAsia="zh-CN"/>
              </w:rPr>
              <w:t>】</w:t>
            </w:r>
            <w:r>
              <w:rPr>
                <w:rFonts w:hint="eastAsia" w:ascii="宋体" w:hAnsi="宋体" w:eastAsia="宋体" w:cs="宋体"/>
                <w:sz w:val="24"/>
                <w:szCs w:val="24"/>
                <w:highlight w:val="none"/>
              </w:rPr>
              <w:t>售后服务方案全面性、针对性，包括服务内容、服务承诺、响应时间、服务方式、人员配备、应急服务等。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8" w:type="dxa"/>
            <w:vMerge w:val="continue"/>
            <w:vAlign w:val="center"/>
          </w:tcPr>
          <w:p>
            <w:pPr>
              <w:jc w:val="center"/>
              <w:rPr>
                <w:rFonts w:hint="eastAsia" w:ascii="宋体" w:hAnsi="宋体" w:eastAsia="宋体" w:cs="宋体"/>
                <w:b/>
                <w:bCs/>
                <w:sz w:val="24"/>
                <w:szCs w:val="24"/>
                <w:highlight w:val="none"/>
              </w:rPr>
            </w:pPr>
          </w:p>
        </w:tc>
        <w:tc>
          <w:tcPr>
            <w:tcW w:w="662" w:type="dxa"/>
            <w:vAlign w:val="center"/>
          </w:tcPr>
          <w:p>
            <w:pPr>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w:t>
            </w:r>
          </w:p>
        </w:tc>
        <w:tc>
          <w:tcPr>
            <w:tcW w:w="7608" w:type="dxa"/>
            <w:vAlign w:val="center"/>
          </w:tcPr>
          <w:p>
            <w:pPr>
              <w:jc w:val="both"/>
              <w:rPr>
                <w:rFonts w:hint="eastAsia" w:ascii="宋体" w:hAnsi="宋体" w:eastAsia="宋体" w:cs="宋体"/>
                <w:sz w:val="24"/>
                <w:szCs w:val="24"/>
                <w:highlight w:val="none"/>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主观分</w:t>
            </w:r>
            <w:r>
              <w:rPr>
                <w:rFonts w:hint="eastAsia" w:ascii="宋体" w:hAnsi="宋体" w:eastAsia="宋体" w:cs="宋体"/>
                <w:b/>
                <w:bCs/>
                <w:sz w:val="24"/>
                <w:szCs w:val="24"/>
                <w:highlight w:val="none"/>
                <w:lang w:eastAsia="zh-CN"/>
              </w:rPr>
              <w:t>】</w:t>
            </w:r>
            <w:r>
              <w:rPr>
                <w:rFonts w:hint="eastAsia" w:ascii="宋体" w:hAnsi="宋体" w:eastAsia="宋体" w:cs="宋体"/>
                <w:b w:val="0"/>
                <w:bCs w:val="0"/>
                <w:sz w:val="24"/>
                <w:szCs w:val="24"/>
                <w:highlight w:val="none"/>
                <w:lang w:val="en-US" w:eastAsia="zh-CN"/>
              </w:rPr>
              <w:t>配件、附件、备品备件准备和保障措施充分性及购买折扣力度</w:t>
            </w:r>
          </w:p>
        </w:tc>
      </w:tr>
    </w:tbl>
    <w:p>
      <w:pPr>
        <w:pStyle w:val="5"/>
        <w:rPr>
          <w:rFonts w:hint="eastAsia"/>
        </w:rPr>
      </w:pPr>
    </w:p>
    <w:p>
      <w:pPr>
        <w:adjustRightInd w:val="0"/>
        <w:snapToGrid w:val="0"/>
        <w:spacing w:line="360" w:lineRule="auto"/>
        <w:rPr>
          <w:rFonts w:ascii="宋体" w:hAnsi="宋体"/>
          <w:color w:val="auto"/>
          <w:sz w:val="24"/>
          <w:szCs w:val="24"/>
          <w:highlight w:val="none"/>
        </w:rPr>
      </w:pPr>
    </w:p>
    <w:p>
      <w:pPr>
        <w:adjustRightInd w:val="0"/>
        <w:snapToGrid w:val="0"/>
        <w:spacing w:line="360" w:lineRule="auto"/>
        <w:rPr>
          <w:rFonts w:ascii="宋体" w:hAnsi="宋体"/>
          <w:b/>
          <w:color w:val="auto"/>
          <w:sz w:val="24"/>
          <w:szCs w:val="24"/>
          <w:highlight w:val="none"/>
        </w:rPr>
      </w:pPr>
      <w:r>
        <w:rPr>
          <w:rFonts w:hint="eastAsia" w:ascii="宋体" w:hAnsi="宋体"/>
          <w:b/>
          <w:color w:val="auto"/>
          <w:sz w:val="24"/>
          <w:szCs w:val="24"/>
          <w:highlight w:val="none"/>
        </w:rPr>
        <w:t>2、商务评审（总分</w:t>
      </w:r>
      <w:r>
        <w:rPr>
          <w:rFonts w:hint="eastAsia" w:ascii="宋体" w:hAnsi="宋体"/>
          <w:b/>
          <w:color w:val="auto"/>
          <w:sz w:val="24"/>
          <w:szCs w:val="24"/>
          <w:highlight w:val="none"/>
          <w:lang w:val="en-US" w:eastAsia="zh-CN"/>
        </w:rPr>
        <w:t>30</w:t>
      </w:r>
      <w:r>
        <w:rPr>
          <w:rFonts w:hint="eastAsia" w:ascii="宋体" w:hAnsi="宋体"/>
          <w:b/>
          <w:color w:val="auto"/>
          <w:sz w:val="24"/>
          <w:szCs w:val="24"/>
          <w:highlight w:val="none"/>
        </w:rPr>
        <w:t>分）</w:t>
      </w:r>
    </w:p>
    <w:p>
      <w:pPr>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评标基准价以满足招标文件要求且投标价格最低的投标报价为评标基准价，其商务报价分为XX分</w:t>
      </w:r>
      <w:r>
        <w:rPr>
          <w:rFonts w:hint="eastAsia" w:ascii="宋体" w:hAnsi="宋体"/>
          <w:color w:val="auto"/>
          <w:sz w:val="24"/>
          <w:szCs w:val="24"/>
          <w:highlight w:val="none"/>
        </w:rPr>
        <w:t>。</w:t>
      </w:r>
    </w:p>
    <w:p>
      <w:pPr>
        <w:adjustRightInd w:val="0"/>
        <w:snapToGrid w:val="0"/>
        <w:spacing w:line="360" w:lineRule="auto"/>
        <w:ind w:firstLine="482" w:firstLineChars="200"/>
        <w:jc w:val="center"/>
        <w:rPr>
          <w:rFonts w:ascii="宋体" w:hAnsi="宋体"/>
          <w:b/>
          <w:color w:val="auto"/>
          <w:sz w:val="24"/>
          <w:szCs w:val="24"/>
          <w:highlight w:val="none"/>
        </w:rPr>
      </w:pPr>
      <w:r>
        <w:rPr>
          <w:rFonts w:ascii="宋体" w:hAnsi="宋体"/>
          <w:b/>
          <w:color w:val="auto"/>
          <w:sz w:val="24"/>
          <w:szCs w:val="24"/>
          <w:highlight w:val="none"/>
        </w:rPr>
        <w:t>商务得分=（评标基准价/投标报价）×</w:t>
      </w:r>
      <w:r>
        <w:rPr>
          <w:rFonts w:hint="eastAsia" w:ascii="宋体" w:hAnsi="宋体"/>
          <w:b/>
          <w:color w:val="auto"/>
          <w:sz w:val="24"/>
          <w:szCs w:val="24"/>
          <w:highlight w:val="none"/>
          <w:lang w:val="en-US" w:eastAsia="zh-CN"/>
        </w:rPr>
        <w:t>30</w:t>
      </w:r>
      <w:r>
        <w:rPr>
          <w:rFonts w:ascii="宋体" w:hAnsi="宋体"/>
          <w:b/>
          <w:color w:val="auto"/>
          <w:sz w:val="24"/>
          <w:szCs w:val="24"/>
          <w:highlight w:val="none"/>
        </w:rPr>
        <w:t>%×100，保留小数2位</w:t>
      </w:r>
    </w:p>
    <w:p>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由商务评标专家对投标文件进行商务评审。商务评标专家应对商务报价的范围、单价等进行全面审阅和对比分析，找出报价差异的原因及存在的问题。商务报价评审应以报价口径范围一致的评标价为依据。评标价应在最终报价的基础上，按照招标文件约定的因素和方法进行计算。凡属招标文件的原因造成报价口径范围不一致的，应予以调整，但因投标人自身失误造成多算、少算、漏算的，不得调整。</w:t>
      </w: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3、投标人的综合得分为以上两部分评分的总和。</w:t>
      </w:r>
    </w:p>
    <w:p>
      <w:pPr>
        <w:adjustRightInd w:val="0"/>
        <w:snapToGrid w:val="0"/>
        <w:spacing w:line="360" w:lineRule="auto"/>
        <w:rPr>
          <w:rFonts w:ascii="宋体" w:hAnsi="宋体" w:cs="Courier New"/>
          <w:b/>
          <w:bCs/>
          <w:color w:val="auto"/>
          <w:sz w:val="24"/>
          <w:szCs w:val="24"/>
          <w:highlight w:val="none"/>
        </w:rPr>
      </w:pPr>
      <w:r>
        <w:rPr>
          <w:rFonts w:hint="eastAsia" w:ascii="宋体" w:hAnsi="宋体" w:cs="Courier New"/>
          <w:b/>
          <w:bCs/>
          <w:color w:val="auto"/>
          <w:sz w:val="24"/>
          <w:szCs w:val="24"/>
          <w:highlight w:val="none"/>
        </w:rPr>
        <w:t xml:space="preserve">二、评标报告 </w:t>
      </w:r>
    </w:p>
    <w:p>
      <w:pPr>
        <w:adjustRightInd w:val="0"/>
        <w:snapToGrid w:val="0"/>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评标委员会应根据评标情况和结果，向招标领导小组提交评标报告。评标报告应由评标委员会起草，按少数服从多数的原则通过。评标委员会全体成员应在评标报告上签字认可，评标专家如有保留意见可以在评标报告中阐明。</w:t>
      </w:r>
    </w:p>
    <w:p>
      <w:pPr>
        <w:adjustRightInd w:val="0"/>
        <w:snapToGrid w:val="0"/>
        <w:spacing w:line="360" w:lineRule="auto"/>
        <w:ind w:firstLine="435"/>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rPr>
        <w:t>评标委员会应在评标报告中，由得分从高到低推荐前二名为中标候选人。得分相同时，投标价低者优先。若第一中标候选人在中标后30天内拒绝与采购人签订合同的，采购人可以与符合标的的第二中标候选人签约采购货物；若第一中标候选人签订合同后未按合同及采购人要求进行产品设计制作的，采购人有权与其解除合同并与符合标的的第二中标候选人签订采购合同</w:t>
      </w:r>
      <w:r>
        <w:rPr>
          <w:rFonts w:hint="eastAsia" w:ascii="宋体" w:hAnsi="宋体"/>
          <w:color w:val="auto"/>
          <w:sz w:val="24"/>
          <w:szCs w:val="24"/>
          <w:highlight w:val="none"/>
          <w:lang w:eastAsia="zh-CN"/>
        </w:rPr>
        <w:t>。</w:t>
      </w:r>
    </w:p>
    <w:p>
      <w:pPr>
        <w:pStyle w:val="2"/>
        <w:rPr>
          <w:color w:val="auto"/>
          <w:highlight w:val="none"/>
        </w:rPr>
      </w:pPr>
    </w:p>
    <w:p>
      <w:pPr>
        <w:spacing w:line="360" w:lineRule="auto"/>
        <w:jc w:val="both"/>
        <w:rPr>
          <w:rFonts w:hint="eastAsia" w:ascii="宋体" w:hAnsi="宋体"/>
          <w:b/>
          <w:color w:val="auto"/>
          <w:sz w:val="32"/>
          <w:szCs w:val="32"/>
          <w:highlight w:val="none"/>
        </w:rPr>
      </w:pPr>
    </w:p>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第五章</w:t>
      </w:r>
      <w:r>
        <w:rPr>
          <w:rFonts w:ascii="宋体" w:hAnsi="宋体"/>
          <w:b/>
          <w:color w:val="auto"/>
          <w:sz w:val="32"/>
          <w:szCs w:val="32"/>
          <w:highlight w:val="none"/>
        </w:rPr>
        <w:t xml:space="preserve">  </w:t>
      </w:r>
      <w:r>
        <w:rPr>
          <w:rFonts w:hint="eastAsia" w:ascii="宋体" w:hAnsi="宋体"/>
          <w:b/>
          <w:color w:val="auto"/>
          <w:sz w:val="32"/>
          <w:szCs w:val="32"/>
          <w:highlight w:val="none"/>
        </w:rPr>
        <w:t>投标相关文件格式</w:t>
      </w:r>
    </w:p>
    <w:p>
      <w:pPr>
        <w:widowControl/>
        <w:tabs>
          <w:tab w:val="left" w:pos="0"/>
        </w:tabs>
        <w:snapToGrid w:val="0"/>
        <w:spacing w:line="360" w:lineRule="auto"/>
        <w:jc w:val="left"/>
        <w:rPr>
          <w:rFonts w:ascii="宋体" w:hAnsi="宋体"/>
          <w:b/>
          <w:bCs/>
          <w:color w:val="auto"/>
          <w:kern w:val="0"/>
          <w:sz w:val="32"/>
          <w:szCs w:val="32"/>
          <w:highlight w:val="none"/>
        </w:rPr>
      </w:pPr>
    </w:p>
    <w:p>
      <w:pPr>
        <w:widowControl/>
        <w:spacing w:before="260" w:after="260" w:line="270" w:lineRule="atLeast"/>
        <w:ind w:left="-141" w:leftChars="-67"/>
        <w:jc w:val="left"/>
        <w:rPr>
          <w:rFonts w:ascii="宋体" w:hAnsi="宋体"/>
          <w:b/>
          <w:bCs/>
          <w:color w:val="auto"/>
          <w:kern w:val="0"/>
          <w:szCs w:val="21"/>
          <w:highlight w:val="none"/>
        </w:rPr>
      </w:pPr>
      <w:bookmarkStart w:id="1" w:name="_Toc350938485"/>
      <w:r>
        <w:rPr>
          <w:rFonts w:ascii="宋体" w:hAnsi="宋体"/>
          <w:color w:val="auto"/>
          <w:kern w:val="0"/>
          <w:highlight w:val="none"/>
        </w:rPr>
        <mc:AlternateContent>
          <mc:Choice Requires="wps">
            <w:drawing>
              <wp:anchor distT="0" distB="0" distL="114300" distR="114300" simplePos="0" relativeHeight="251659264" behindDoc="0" locked="0" layoutInCell="1" allowOverlap="1">
                <wp:simplePos x="0" y="0"/>
                <wp:positionH relativeFrom="column">
                  <wp:posOffset>4867275</wp:posOffset>
                </wp:positionH>
                <wp:positionV relativeFrom="paragraph">
                  <wp:posOffset>10795</wp:posOffset>
                </wp:positionV>
                <wp:extent cx="1028700" cy="495300"/>
                <wp:effectExtent l="4445" t="4445" r="14605" b="14605"/>
                <wp:wrapNone/>
                <wp:docPr id="1" name="Text Box 2"/>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atLeast"/>
                              <w:rPr>
                                <w:rFonts w:ascii="Verdana" w:hAnsi="Verdana"/>
                                <w:b/>
                                <w:sz w:val="28"/>
                                <w:szCs w:val="28"/>
                              </w:rPr>
                            </w:pPr>
                            <w:r>
                              <w:rPr>
                                <w:rFonts w:hint="eastAsia"/>
                                <w:b/>
                                <w:sz w:val="28"/>
                                <w:szCs w:val="28"/>
                              </w:rPr>
                              <w:t>正（副）本</w:t>
                            </w:r>
                          </w:p>
                        </w:txbxContent>
                      </wps:txbx>
                      <wps:bodyPr upright="1"/>
                    </wps:wsp>
                  </a:graphicData>
                </a:graphic>
              </wp:anchor>
            </w:drawing>
          </mc:Choice>
          <mc:Fallback>
            <w:pict>
              <v:shape id="Text Box 2" o:spid="_x0000_s1026" o:spt="202" type="#_x0000_t202" style="position:absolute;left:0pt;margin-left:383.25pt;margin-top:0.85pt;height:39pt;width:81pt;z-index:251659264;mso-width-relative:page;mso-height-relative:page;" fillcolor="#FFFFFF" filled="t" stroked="t" coordsize="21600,21600" o:gfxdata="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yRfATVAAAACAEAAA8AAAAAAAAAAQAgAAAAIgAAAGRycy9kb3ducmV2LnhtbFBL&#10;AQIUABQAAAAIAIdO4kDhu8TL+QEAADUEAAAOAAAAAAAAAAEAIAAAACQBAABkcnMvZTJvRG9jLnht&#10;bFBLBQYAAAAABgAGAFkBAACPBQAAAAA=&#10;">
                <v:fill on="t" focussize="0,0"/>
                <v:stroke color="#000000" joinstyle="miter"/>
                <v:imagedata o:title=""/>
                <o:lock v:ext="edit" aspectratio="f"/>
                <v:textbox>
                  <w:txbxContent>
                    <w:p>
                      <w:pPr>
                        <w:spacing w:line="480" w:lineRule="atLeast"/>
                        <w:rPr>
                          <w:rFonts w:ascii="Verdana" w:hAnsi="Verdana"/>
                          <w:b/>
                          <w:sz w:val="28"/>
                          <w:szCs w:val="28"/>
                        </w:rPr>
                      </w:pPr>
                      <w:r>
                        <w:rPr>
                          <w:rFonts w:hint="eastAsia"/>
                          <w:b/>
                          <w:sz w:val="28"/>
                          <w:szCs w:val="28"/>
                        </w:rPr>
                        <w:t>正（副）本</w:t>
                      </w:r>
                    </w:p>
                  </w:txbxContent>
                </v:textbox>
              </v:shape>
            </w:pict>
          </mc:Fallback>
        </mc:AlternateContent>
      </w:r>
      <w:r>
        <w:rPr>
          <w:rFonts w:ascii="宋体" w:hAnsi="宋体"/>
          <w:b/>
          <w:bCs/>
          <w:color w:val="auto"/>
          <w:kern w:val="0"/>
          <w:sz w:val="36"/>
          <w:szCs w:val="36"/>
          <w:highlight w:val="none"/>
        </w:rPr>
        <w:t>附件</w:t>
      </w:r>
      <w:r>
        <w:rPr>
          <w:rFonts w:hint="eastAsia" w:ascii="宋体" w:hAnsi="宋体"/>
          <w:b/>
          <w:bCs/>
          <w:color w:val="auto"/>
          <w:kern w:val="0"/>
          <w:sz w:val="36"/>
          <w:szCs w:val="36"/>
          <w:highlight w:val="none"/>
        </w:rPr>
        <w:t>一</w:t>
      </w:r>
      <w:r>
        <w:rPr>
          <w:rFonts w:ascii="宋体" w:hAnsi="宋体"/>
          <w:b/>
          <w:bCs/>
          <w:color w:val="auto"/>
          <w:kern w:val="0"/>
          <w:sz w:val="36"/>
          <w:szCs w:val="36"/>
          <w:highlight w:val="none"/>
        </w:rPr>
        <w:t xml:space="preserve">                 封面格式1</w:t>
      </w:r>
      <w:bookmarkEnd w:id="1"/>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450"/>
          <w:tab w:val="left" w:pos="8280"/>
        </w:tabs>
        <w:spacing w:line="360" w:lineRule="auto"/>
        <w:ind w:left="-141" w:leftChars="-67" w:firstLine="885" w:firstLineChars="245"/>
        <w:jc w:val="left"/>
        <w:rPr>
          <w:rFonts w:ascii="宋体" w:hAnsi="宋体"/>
          <w:b/>
          <w:color w:val="auto"/>
          <w:kern w:val="0"/>
          <w:sz w:val="44"/>
          <w:szCs w:val="44"/>
          <w:highlight w:val="none"/>
        </w:rPr>
      </w:pPr>
      <w:r>
        <w:rPr>
          <w:rFonts w:ascii="宋体" w:hAnsi="宋体"/>
          <w:b/>
          <w:color w:val="auto"/>
          <w:kern w:val="0"/>
          <w:sz w:val="36"/>
          <w:szCs w:val="36"/>
          <w:highlight w:val="none"/>
          <w:u w:val="single"/>
        </w:rPr>
        <w:t xml:space="preserve">                                    </w:t>
      </w:r>
      <w:r>
        <w:rPr>
          <w:rFonts w:ascii="宋体" w:hAnsi="宋体"/>
          <w:b/>
          <w:color w:val="auto"/>
          <w:kern w:val="0"/>
          <w:sz w:val="44"/>
          <w:szCs w:val="44"/>
          <w:highlight w:val="none"/>
        </w:rPr>
        <w:t>项目</w:t>
      </w: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r>
        <w:rPr>
          <w:rFonts w:ascii="宋体" w:hAnsi="宋体"/>
          <w:b/>
          <w:color w:val="auto"/>
          <w:kern w:val="0"/>
          <w:sz w:val="44"/>
          <w:szCs w:val="44"/>
          <w:highlight w:val="none"/>
        </w:rPr>
        <w:t>投标文件</w:t>
      </w:r>
    </w:p>
    <w:p>
      <w:pPr>
        <w:widowControl/>
        <w:tabs>
          <w:tab w:val="left" w:pos="8280"/>
        </w:tabs>
        <w:spacing w:line="360" w:lineRule="auto"/>
        <w:ind w:left="-141" w:leftChars="-67" w:firstLine="480"/>
        <w:jc w:val="center"/>
        <w:rPr>
          <w:rFonts w:ascii="宋体" w:hAnsi="宋体"/>
          <w:b/>
          <w:color w:val="auto"/>
          <w:kern w:val="0"/>
          <w:sz w:val="32"/>
          <w:szCs w:val="32"/>
          <w:highlight w:val="none"/>
        </w:rPr>
      </w:pPr>
      <w:r>
        <w:rPr>
          <w:rFonts w:ascii="宋体" w:hAnsi="宋体"/>
          <w:b/>
          <w:color w:val="auto"/>
          <w:kern w:val="0"/>
          <w:sz w:val="32"/>
          <w:szCs w:val="32"/>
          <w:highlight w:val="none"/>
        </w:rPr>
        <w:t>（技术文件）</w:t>
      </w:r>
    </w:p>
    <w:p>
      <w:pPr>
        <w:widowControl/>
        <w:tabs>
          <w:tab w:val="left" w:pos="275"/>
          <w:tab w:val="left" w:pos="8280"/>
        </w:tabs>
        <w:spacing w:line="360" w:lineRule="auto"/>
        <w:ind w:left="-141" w:leftChars="-67" w:firstLine="480"/>
        <w:jc w:val="left"/>
        <w:rPr>
          <w:rFonts w:ascii="宋体" w:hAnsi="宋体"/>
          <w:b/>
          <w:color w:val="auto"/>
          <w:kern w:val="0"/>
          <w:sz w:val="36"/>
          <w:szCs w:val="36"/>
          <w:highlight w:val="none"/>
        </w:rPr>
      </w:pPr>
      <w:r>
        <w:rPr>
          <w:rFonts w:ascii="宋体" w:hAnsi="宋体"/>
          <w:b/>
          <w:color w:val="auto"/>
          <w:kern w:val="0"/>
          <w:sz w:val="36"/>
          <w:szCs w:val="36"/>
          <w:highlight w:val="none"/>
        </w:rPr>
        <w:tab/>
      </w:r>
    </w:p>
    <w:p>
      <w:pPr>
        <w:widowControl/>
        <w:tabs>
          <w:tab w:val="left" w:pos="275"/>
          <w:tab w:val="left" w:pos="8280"/>
        </w:tabs>
        <w:spacing w:line="360" w:lineRule="auto"/>
        <w:ind w:left="-141" w:leftChars="-67"/>
        <w:jc w:val="left"/>
        <w:rPr>
          <w:rFonts w:ascii="宋体" w:hAnsi="宋体"/>
          <w:b/>
          <w:color w:val="auto"/>
          <w:kern w:val="0"/>
          <w:sz w:val="32"/>
          <w:szCs w:val="32"/>
          <w:highlight w:val="none"/>
        </w:rPr>
      </w:pPr>
    </w:p>
    <w:p>
      <w:pPr>
        <w:widowControl/>
        <w:tabs>
          <w:tab w:val="left" w:pos="27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采购项目编号：</w:t>
      </w:r>
      <w:r>
        <w:rPr>
          <w:rFonts w:ascii="宋体" w:hAnsi="宋体"/>
          <w:b/>
          <w:color w:val="auto"/>
          <w:kern w:val="0"/>
          <w:sz w:val="36"/>
          <w:szCs w:val="36"/>
          <w:highlight w:val="none"/>
          <w:u w:val="single"/>
        </w:rPr>
        <w:t xml:space="preserve">                                 </w:t>
      </w:r>
    </w:p>
    <w:p>
      <w:pPr>
        <w:widowControl/>
        <w:tabs>
          <w:tab w:val="left" w:pos="76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投标人（公章）：</w:t>
      </w:r>
      <w:r>
        <w:rPr>
          <w:rFonts w:ascii="宋体" w:hAnsi="宋体"/>
          <w:b/>
          <w:color w:val="auto"/>
          <w:kern w:val="0"/>
          <w:sz w:val="36"/>
          <w:szCs w:val="36"/>
          <w:highlight w:val="none"/>
          <w:u w:val="single"/>
        </w:rPr>
        <w:t xml:space="preserve">                                </w:t>
      </w:r>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350"/>
          <w:tab w:val="left" w:pos="8280"/>
        </w:tabs>
        <w:spacing w:line="360" w:lineRule="auto"/>
        <w:ind w:left="-141" w:leftChars="-67" w:firstLine="315" w:firstLineChars="98"/>
        <w:jc w:val="left"/>
        <w:rPr>
          <w:rFonts w:ascii="宋体" w:hAnsi="宋体"/>
          <w:b/>
          <w:color w:val="auto"/>
          <w:kern w:val="0"/>
          <w:sz w:val="32"/>
          <w:szCs w:val="32"/>
          <w:highlight w:val="none"/>
        </w:rPr>
      </w:pPr>
      <w:r>
        <w:rPr>
          <w:rFonts w:ascii="宋体" w:hAnsi="宋体"/>
          <w:b/>
          <w:color w:val="auto"/>
          <w:kern w:val="0"/>
          <w:sz w:val="32"/>
          <w:szCs w:val="32"/>
          <w:highlight w:val="none"/>
        </w:rPr>
        <w:t>投标人法定代表人</w:t>
      </w:r>
    </w:p>
    <w:p>
      <w:pPr>
        <w:widowControl/>
        <w:tabs>
          <w:tab w:val="left" w:pos="840"/>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或其委托人（签字）：</w:t>
      </w:r>
      <w:r>
        <w:rPr>
          <w:rFonts w:ascii="宋体" w:hAnsi="宋体"/>
          <w:b/>
          <w:color w:val="auto"/>
          <w:kern w:val="0"/>
          <w:sz w:val="36"/>
          <w:szCs w:val="36"/>
          <w:highlight w:val="none"/>
          <w:u w:val="single"/>
        </w:rPr>
        <w:t xml:space="preserve">                            </w:t>
      </w:r>
    </w:p>
    <w:p>
      <w:pPr>
        <w:widowControl/>
        <w:tabs>
          <w:tab w:val="left" w:pos="8280"/>
        </w:tabs>
        <w:spacing w:line="360" w:lineRule="auto"/>
        <w:ind w:left="-141" w:leftChars="-67"/>
        <w:rPr>
          <w:rFonts w:ascii="宋体" w:hAnsi="宋体"/>
          <w:b/>
          <w:color w:val="auto"/>
          <w:kern w:val="0"/>
          <w:sz w:val="32"/>
          <w:szCs w:val="32"/>
          <w:highlight w:val="none"/>
        </w:rPr>
      </w:pPr>
    </w:p>
    <w:p>
      <w:pPr>
        <w:widowControl/>
        <w:tabs>
          <w:tab w:val="left" w:pos="350"/>
          <w:tab w:val="left" w:pos="8280"/>
        </w:tabs>
        <w:spacing w:line="360" w:lineRule="auto"/>
        <w:ind w:left="-141" w:leftChars="-67" w:firstLine="480"/>
        <w:jc w:val="left"/>
        <w:rPr>
          <w:rFonts w:ascii="宋体" w:hAnsi="宋体"/>
          <w:b/>
          <w:color w:val="auto"/>
          <w:kern w:val="0"/>
          <w:sz w:val="32"/>
          <w:szCs w:val="32"/>
          <w:highlight w:val="none"/>
        </w:rPr>
      </w:pPr>
      <w:r>
        <w:rPr>
          <w:rFonts w:ascii="宋体" w:hAnsi="宋体"/>
          <w:b/>
          <w:color w:val="auto"/>
          <w:kern w:val="0"/>
          <w:sz w:val="36"/>
          <w:szCs w:val="36"/>
          <w:highlight w:val="none"/>
        </w:rPr>
        <w:t xml:space="preserve">                   </w:t>
      </w:r>
      <w:r>
        <w:rPr>
          <w:rFonts w:ascii="宋体" w:hAnsi="宋体"/>
          <w:b/>
          <w:color w:val="auto"/>
          <w:kern w:val="0"/>
          <w:sz w:val="32"/>
          <w:szCs w:val="32"/>
          <w:highlight w:val="none"/>
        </w:rPr>
        <w:t>年</w:t>
      </w:r>
      <w:r>
        <w:rPr>
          <w:rFonts w:ascii="宋体" w:hAnsi="宋体"/>
          <w:b/>
          <w:color w:val="auto"/>
          <w:kern w:val="0"/>
          <w:sz w:val="36"/>
          <w:szCs w:val="36"/>
          <w:highlight w:val="none"/>
        </w:rPr>
        <w:t xml:space="preserve">     </w:t>
      </w:r>
      <w:r>
        <w:rPr>
          <w:rFonts w:ascii="宋体" w:hAnsi="宋体"/>
          <w:b/>
          <w:color w:val="auto"/>
          <w:kern w:val="0"/>
          <w:sz w:val="32"/>
          <w:szCs w:val="32"/>
          <w:highlight w:val="none"/>
        </w:rPr>
        <w:t>月</w:t>
      </w:r>
      <w:r>
        <w:rPr>
          <w:rFonts w:ascii="宋体" w:hAnsi="宋体"/>
          <w:b/>
          <w:color w:val="auto"/>
          <w:kern w:val="0"/>
          <w:sz w:val="36"/>
          <w:szCs w:val="36"/>
          <w:highlight w:val="none"/>
        </w:rPr>
        <w:t xml:space="preserve">     </w:t>
      </w:r>
      <w:r>
        <w:rPr>
          <w:rFonts w:ascii="宋体" w:hAnsi="宋体"/>
          <w:b/>
          <w:color w:val="auto"/>
          <w:kern w:val="0"/>
          <w:sz w:val="32"/>
          <w:szCs w:val="32"/>
          <w:highlight w:val="none"/>
        </w:rPr>
        <w:t>日</w:t>
      </w:r>
    </w:p>
    <w:p>
      <w:pPr>
        <w:widowControl/>
        <w:spacing w:before="150" w:after="150" w:line="480" w:lineRule="atLeast"/>
        <w:ind w:right="300"/>
        <w:jc w:val="left"/>
        <w:rPr>
          <w:rFonts w:ascii="宋体" w:hAnsi="宋体"/>
          <w:b/>
          <w:bCs/>
          <w:color w:val="auto"/>
          <w:kern w:val="0"/>
          <w:sz w:val="32"/>
          <w:szCs w:val="32"/>
          <w:highlight w:val="none"/>
        </w:rPr>
      </w:pPr>
    </w:p>
    <w:p>
      <w:pPr>
        <w:widowControl/>
        <w:spacing w:before="150" w:after="150" w:line="480" w:lineRule="atLeast"/>
        <w:ind w:right="300"/>
        <w:jc w:val="left"/>
        <w:rPr>
          <w:rFonts w:ascii="宋体" w:hAnsi="宋体"/>
          <w:b/>
          <w:bCs/>
          <w:color w:val="auto"/>
          <w:kern w:val="0"/>
          <w:sz w:val="32"/>
          <w:szCs w:val="32"/>
          <w:highlight w:val="none"/>
        </w:rPr>
      </w:pPr>
    </w:p>
    <w:p>
      <w:pPr>
        <w:widowControl/>
        <w:spacing w:before="260" w:after="260" w:line="270" w:lineRule="atLeast"/>
        <w:ind w:left="-141" w:leftChars="-67"/>
        <w:jc w:val="left"/>
        <w:rPr>
          <w:rFonts w:ascii="宋体" w:hAnsi="宋体"/>
          <w:b/>
          <w:bCs/>
          <w:color w:val="auto"/>
          <w:kern w:val="0"/>
          <w:sz w:val="36"/>
          <w:szCs w:val="36"/>
          <w:highlight w:val="none"/>
        </w:rPr>
      </w:pPr>
      <w:bookmarkStart w:id="2" w:name="_Toc350938486"/>
    </w:p>
    <w:p>
      <w:pPr>
        <w:widowControl/>
        <w:spacing w:before="260" w:after="260" w:line="270" w:lineRule="atLeast"/>
        <w:ind w:left="-141" w:leftChars="-67"/>
        <w:jc w:val="left"/>
        <w:rPr>
          <w:rFonts w:ascii="宋体" w:hAnsi="宋体"/>
          <w:b/>
          <w:bCs/>
          <w:color w:val="auto"/>
          <w:kern w:val="0"/>
          <w:sz w:val="36"/>
          <w:szCs w:val="36"/>
          <w:highlight w:val="none"/>
        </w:rPr>
      </w:pPr>
    </w:p>
    <w:p>
      <w:pPr>
        <w:widowControl/>
        <w:spacing w:before="260" w:after="260" w:line="270" w:lineRule="atLeast"/>
        <w:ind w:left="-141" w:leftChars="-67"/>
        <w:jc w:val="left"/>
        <w:rPr>
          <w:rFonts w:ascii="宋体" w:hAnsi="宋体"/>
          <w:b/>
          <w:bCs/>
          <w:color w:val="auto"/>
          <w:kern w:val="0"/>
          <w:sz w:val="36"/>
          <w:szCs w:val="36"/>
          <w:highlight w:val="none"/>
        </w:rPr>
      </w:pPr>
      <w:r>
        <w:rPr>
          <w:rFonts w:ascii="宋体" w:hAnsi="宋体"/>
          <w:color w:val="auto"/>
          <w:kern w:val="0"/>
          <w:highlight w:val="none"/>
        </w:rPr>
        <mc:AlternateContent>
          <mc:Choice Requires="wps">
            <w:drawing>
              <wp:anchor distT="0" distB="0" distL="114300" distR="114300" simplePos="0" relativeHeight="251660288" behindDoc="0" locked="0" layoutInCell="1" allowOverlap="1">
                <wp:simplePos x="0" y="0"/>
                <wp:positionH relativeFrom="column">
                  <wp:posOffset>4848225</wp:posOffset>
                </wp:positionH>
                <wp:positionV relativeFrom="paragraph">
                  <wp:posOffset>29210</wp:posOffset>
                </wp:positionV>
                <wp:extent cx="1028700" cy="495300"/>
                <wp:effectExtent l="4445" t="4445" r="14605" b="14605"/>
                <wp:wrapNone/>
                <wp:docPr id="2" name="Text Box 3"/>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atLeast"/>
                              <w:rPr>
                                <w:rFonts w:ascii="Verdana" w:hAnsi="Verdana"/>
                                <w:b/>
                                <w:sz w:val="28"/>
                                <w:szCs w:val="28"/>
                              </w:rPr>
                            </w:pPr>
                            <w:r>
                              <w:rPr>
                                <w:rFonts w:hint="eastAsia"/>
                                <w:b/>
                                <w:sz w:val="28"/>
                                <w:szCs w:val="28"/>
                              </w:rPr>
                              <w:t>正（副）本</w:t>
                            </w:r>
                          </w:p>
                        </w:txbxContent>
                      </wps:txbx>
                      <wps:bodyPr upright="1"/>
                    </wps:wsp>
                  </a:graphicData>
                </a:graphic>
              </wp:anchor>
            </w:drawing>
          </mc:Choice>
          <mc:Fallback>
            <w:pict>
              <v:shape id="Text Box 3" o:spid="_x0000_s1026" o:spt="202" type="#_x0000_t202" style="position:absolute;left:0pt;margin-left:381.75pt;margin-top:2.3pt;height:39pt;width:81pt;z-index:251660288;mso-width-relative:page;mso-height-relative:page;" fillcolor="#FFFFFF" filled="t" stroked="t" coordsize="21600,21600" o:gfxdata="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yob17XAAAACAEAAA8AAAAAAAAAAQAgAAAAIgAAAGRycy9kb3ducmV2Lnht&#10;bFBLAQIUABQAAAAIAIdO4kAAKu/e+gEAADUEAAAOAAAAAAAAAAEAIAAAACYBAABkcnMvZTJvRG9j&#10;LnhtbFBLBQYAAAAABgAGAFkBAACSBQAAAAA=&#10;">
                <v:fill on="t" focussize="0,0"/>
                <v:stroke color="#000000" joinstyle="miter"/>
                <v:imagedata o:title=""/>
                <o:lock v:ext="edit" aspectratio="f"/>
                <v:textbox>
                  <w:txbxContent>
                    <w:p>
                      <w:pPr>
                        <w:spacing w:line="480" w:lineRule="atLeast"/>
                        <w:rPr>
                          <w:rFonts w:ascii="Verdana" w:hAnsi="Verdana"/>
                          <w:b/>
                          <w:sz w:val="28"/>
                          <w:szCs w:val="28"/>
                        </w:rPr>
                      </w:pPr>
                      <w:r>
                        <w:rPr>
                          <w:rFonts w:hint="eastAsia"/>
                          <w:b/>
                          <w:sz w:val="28"/>
                          <w:szCs w:val="28"/>
                        </w:rPr>
                        <w:t>正（副）本</w:t>
                      </w:r>
                    </w:p>
                  </w:txbxContent>
                </v:textbox>
              </v:shape>
            </w:pict>
          </mc:Fallback>
        </mc:AlternateContent>
      </w:r>
    </w:p>
    <w:p>
      <w:pPr>
        <w:widowControl/>
        <w:spacing w:before="260" w:after="260" w:line="270" w:lineRule="atLeast"/>
        <w:ind w:left="-141" w:leftChars="-67"/>
        <w:jc w:val="left"/>
        <w:rPr>
          <w:rFonts w:ascii="宋体" w:hAnsi="宋体"/>
          <w:b/>
          <w:bCs/>
          <w:color w:val="auto"/>
          <w:kern w:val="0"/>
          <w:szCs w:val="21"/>
          <w:highlight w:val="none"/>
        </w:rPr>
      </w:pPr>
      <w:r>
        <w:rPr>
          <w:rFonts w:ascii="宋体" w:hAnsi="宋体"/>
          <w:b/>
          <w:bCs/>
          <w:color w:val="auto"/>
          <w:kern w:val="0"/>
          <w:sz w:val="36"/>
          <w:szCs w:val="36"/>
          <w:highlight w:val="none"/>
        </w:rPr>
        <w:t>附件</w:t>
      </w:r>
      <w:r>
        <w:rPr>
          <w:rFonts w:hint="eastAsia" w:ascii="宋体" w:hAnsi="宋体"/>
          <w:b/>
          <w:bCs/>
          <w:color w:val="auto"/>
          <w:kern w:val="0"/>
          <w:sz w:val="36"/>
          <w:szCs w:val="36"/>
          <w:highlight w:val="none"/>
        </w:rPr>
        <w:t>二</w:t>
      </w:r>
      <w:r>
        <w:rPr>
          <w:rFonts w:ascii="宋体" w:hAnsi="宋体"/>
          <w:b/>
          <w:bCs/>
          <w:color w:val="auto"/>
          <w:kern w:val="0"/>
          <w:sz w:val="36"/>
          <w:szCs w:val="36"/>
          <w:highlight w:val="none"/>
        </w:rPr>
        <w:t xml:space="preserve">                  封面格式2</w:t>
      </w:r>
      <w:bookmarkEnd w:id="2"/>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450"/>
          <w:tab w:val="left" w:pos="8280"/>
        </w:tabs>
        <w:spacing w:line="360" w:lineRule="auto"/>
        <w:ind w:left="-141" w:leftChars="-67" w:firstLine="531" w:firstLineChars="147"/>
        <w:jc w:val="left"/>
        <w:rPr>
          <w:rFonts w:ascii="宋体" w:hAnsi="宋体"/>
          <w:b/>
          <w:color w:val="auto"/>
          <w:kern w:val="0"/>
          <w:sz w:val="44"/>
          <w:szCs w:val="44"/>
          <w:highlight w:val="none"/>
        </w:rPr>
      </w:pPr>
      <w:r>
        <w:rPr>
          <w:rFonts w:ascii="宋体" w:hAnsi="宋体"/>
          <w:b/>
          <w:color w:val="auto"/>
          <w:kern w:val="0"/>
          <w:sz w:val="36"/>
          <w:szCs w:val="36"/>
          <w:highlight w:val="none"/>
          <w:u w:val="single"/>
        </w:rPr>
        <w:t xml:space="preserve">                                        </w:t>
      </w:r>
      <w:r>
        <w:rPr>
          <w:rFonts w:ascii="宋体" w:hAnsi="宋体"/>
          <w:b/>
          <w:color w:val="auto"/>
          <w:kern w:val="0"/>
          <w:sz w:val="44"/>
          <w:szCs w:val="44"/>
          <w:highlight w:val="none"/>
        </w:rPr>
        <w:t>项目</w:t>
      </w: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r>
        <w:rPr>
          <w:rFonts w:ascii="宋体" w:hAnsi="宋体"/>
          <w:b/>
          <w:color w:val="auto"/>
          <w:kern w:val="0"/>
          <w:sz w:val="44"/>
          <w:szCs w:val="44"/>
          <w:highlight w:val="none"/>
        </w:rPr>
        <w:t>投标文件</w:t>
      </w:r>
    </w:p>
    <w:p>
      <w:pPr>
        <w:widowControl/>
        <w:tabs>
          <w:tab w:val="left" w:pos="8280"/>
        </w:tabs>
        <w:spacing w:line="360" w:lineRule="auto"/>
        <w:ind w:left="-141" w:leftChars="-67" w:firstLine="480"/>
        <w:jc w:val="center"/>
        <w:rPr>
          <w:rFonts w:ascii="宋体" w:hAnsi="宋体"/>
          <w:b/>
          <w:color w:val="auto"/>
          <w:kern w:val="0"/>
          <w:sz w:val="32"/>
          <w:szCs w:val="32"/>
          <w:highlight w:val="none"/>
        </w:rPr>
      </w:pPr>
      <w:r>
        <w:rPr>
          <w:rFonts w:ascii="宋体" w:hAnsi="宋体"/>
          <w:b/>
          <w:color w:val="auto"/>
          <w:kern w:val="0"/>
          <w:sz w:val="32"/>
          <w:szCs w:val="32"/>
          <w:highlight w:val="none"/>
        </w:rPr>
        <w:t>（商务文件）</w:t>
      </w:r>
    </w:p>
    <w:p>
      <w:pPr>
        <w:widowControl/>
        <w:tabs>
          <w:tab w:val="left" w:pos="275"/>
          <w:tab w:val="left" w:pos="8280"/>
        </w:tabs>
        <w:spacing w:line="360" w:lineRule="auto"/>
        <w:ind w:left="-141" w:leftChars="-67" w:firstLine="480"/>
        <w:jc w:val="left"/>
        <w:rPr>
          <w:rFonts w:ascii="宋体" w:hAnsi="宋体"/>
          <w:b/>
          <w:color w:val="auto"/>
          <w:kern w:val="0"/>
          <w:sz w:val="36"/>
          <w:szCs w:val="36"/>
          <w:highlight w:val="none"/>
        </w:rPr>
      </w:pPr>
      <w:r>
        <w:rPr>
          <w:rFonts w:ascii="宋体" w:hAnsi="宋体"/>
          <w:b/>
          <w:color w:val="auto"/>
          <w:kern w:val="0"/>
          <w:sz w:val="36"/>
          <w:szCs w:val="36"/>
          <w:highlight w:val="none"/>
        </w:rPr>
        <w:tab/>
      </w:r>
    </w:p>
    <w:p>
      <w:pPr>
        <w:widowControl/>
        <w:tabs>
          <w:tab w:val="left" w:pos="275"/>
          <w:tab w:val="left" w:pos="8280"/>
        </w:tabs>
        <w:spacing w:line="360" w:lineRule="auto"/>
        <w:ind w:left="-141" w:leftChars="-67"/>
        <w:jc w:val="left"/>
        <w:rPr>
          <w:rFonts w:ascii="宋体" w:hAnsi="宋体"/>
          <w:b/>
          <w:color w:val="auto"/>
          <w:kern w:val="0"/>
          <w:sz w:val="32"/>
          <w:szCs w:val="32"/>
          <w:highlight w:val="none"/>
        </w:rPr>
      </w:pPr>
    </w:p>
    <w:p>
      <w:pPr>
        <w:widowControl/>
        <w:tabs>
          <w:tab w:val="left" w:pos="27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采购项目编号：</w:t>
      </w:r>
      <w:r>
        <w:rPr>
          <w:rFonts w:ascii="宋体" w:hAnsi="宋体"/>
          <w:b/>
          <w:color w:val="auto"/>
          <w:kern w:val="0"/>
          <w:sz w:val="36"/>
          <w:szCs w:val="36"/>
          <w:highlight w:val="none"/>
          <w:u w:val="single"/>
        </w:rPr>
        <w:t xml:space="preserve">                                 </w:t>
      </w:r>
    </w:p>
    <w:p>
      <w:pPr>
        <w:widowControl/>
        <w:tabs>
          <w:tab w:val="left" w:pos="76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投标人（公章）：</w:t>
      </w:r>
      <w:r>
        <w:rPr>
          <w:rFonts w:ascii="宋体" w:hAnsi="宋体"/>
          <w:b/>
          <w:color w:val="auto"/>
          <w:kern w:val="0"/>
          <w:sz w:val="36"/>
          <w:szCs w:val="36"/>
          <w:highlight w:val="none"/>
          <w:u w:val="single"/>
        </w:rPr>
        <w:t xml:space="preserve">                                </w:t>
      </w:r>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350"/>
          <w:tab w:val="left" w:pos="8280"/>
        </w:tabs>
        <w:spacing w:line="360" w:lineRule="auto"/>
        <w:ind w:left="-141" w:leftChars="-67" w:firstLine="315" w:firstLineChars="98"/>
        <w:jc w:val="left"/>
        <w:rPr>
          <w:rFonts w:ascii="宋体" w:hAnsi="宋体"/>
          <w:b/>
          <w:color w:val="auto"/>
          <w:kern w:val="0"/>
          <w:sz w:val="32"/>
          <w:szCs w:val="32"/>
          <w:highlight w:val="none"/>
        </w:rPr>
      </w:pPr>
      <w:r>
        <w:rPr>
          <w:rFonts w:ascii="宋体" w:hAnsi="宋体"/>
          <w:b/>
          <w:color w:val="auto"/>
          <w:kern w:val="0"/>
          <w:sz w:val="32"/>
          <w:szCs w:val="32"/>
          <w:highlight w:val="none"/>
        </w:rPr>
        <w:t>投标人法定代表人</w:t>
      </w:r>
    </w:p>
    <w:p>
      <w:pPr>
        <w:widowControl/>
        <w:tabs>
          <w:tab w:val="left" w:pos="840"/>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或其委托人（签字）：</w:t>
      </w:r>
      <w:r>
        <w:rPr>
          <w:rFonts w:ascii="宋体" w:hAnsi="宋体"/>
          <w:b/>
          <w:color w:val="auto"/>
          <w:kern w:val="0"/>
          <w:sz w:val="36"/>
          <w:szCs w:val="36"/>
          <w:highlight w:val="none"/>
          <w:u w:val="single"/>
        </w:rPr>
        <w:t xml:space="preserve">                            </w:t>
      </w:r>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350"/>
          <w:tab w:val="left" w:pos="8280"/>
        </w:tabs>
        <w:spacing w:line="360" w:lineRule="auto"/>
        <w:ind w:left="-141" w:leftChars="-67" w:firstLine="480"/>
        <w:jc w:val="left"/>
        <w:rPr>
          <w:rFonts w:ascii="宋体" w:hAnsi="宋体"/>
          <w:b/>
          <w:color w:val="auto"/>
          <w:kern w:val="0"/>
          <w:sz w:val="32"/>
          <w:szCs w:val="32"/>
          <w:highlight w:val="none"/>
        </w:rPr>
      </w:pPr>
      <w:r>
        <w:rPr>
          <w:rFonts w:ascii="宋体" w:hAnsi="宋体"/>
          <w:b/>
          <w:color w:val="auto"/>
          <w:kern w:val="0"/>
          <w:sz w:val="36"/>
          <w:szCs w:val="36"/>
          <w:highlight w:val="none"/>
        </w:rPr>
        <w:t xml:space="preserve">                   </w:t>
      </w:r>
      <w:r>
        <w:rPr>
          <w:rFonts w:ascii="宋体" w:hAnsi="宋体"/>
          <w:b/>
          <w:color w:val="auto"/>
          <w:kern w:val="0"/>
          <w:sz w:val="32"/>
          <w:szCs w:val="32"/>
          <w:highlight w:val="none"/>
        </w:rPr>
        <w:t>年</w:t>
      </w:r>
      <w:r>
        <w:rPr>
          <w:rFonts w:ascii="宋体" w:hAnsi="宋体"/>
          <w:b/>
          <w:color w:val="auto"/>
          <w:kern w:val="0"/>
          <w:sz w:val="36"/>
          <w:szCs w:val="36"/>
          <w:highlight w:val="none"/>
        </w:rPr>
        <w:t xml:space="preserve">     </w:t>
      </w:r>
      <w:r>
        <w:rPr>
          <w:rFonts w:ascii="宋体" w:hAnsi="宋体"/>
          <w:b/>
          <w:color w:val="auto"/>
          <w:kern w:val="0"/>
          <w:sz w:val="32"/>
          <w:szCs w:val="32"/>
          <w:highlight w:val="none"/>
        </w:rPr>
        <w:t>月</w:t>
      </w:r>
      <w:r>
        <w:rPr>
          <w:rFonts w:ascii="宋体" w:hAnsi="宋体"/>
          <w:b/>
          <w:color w:val="auto"/>
          <w:kern w:val="0"/>
          <w:sz w:val="36"/>
          <w:szCs w:val="36"/>
          <w:highlight w:val="none"/>
        </w:rPr>
        <w:t xml:space="preserve">     </w:t>
      </w:r>
      <w:r>
        <w:rPr>
          <w:rFonts w:ascii="宋体" w:hAnsi="宋体"/>
          <w:b/>
          <w:color w:val="auto"/>
          <w:kern w:val="0"/>
          <w:sz w:val="32"/>
          <w:szCs w:val="32"/>
          <w:highlight w:val="none"/>
        </w:rPr>
        <w:t>日</w:t>
      </w: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spacing w:line="360" w:lineRule="auto"/>
        <w:rPr>
          <w:rFonts w:ascii="宋体" w:hAnsi="宋体"/>
          <w:b/>
          <w:color w:val="auto"/>
          <w:sz w:val="32"/>
          <w:szCs w:val="32"/>
          <w:highlight w:val="none"/>
        </w:rPr>
      </w:pPr>
    </w:p>
    <w:p>
      <w:pPr>
        <w:widowControl/>
        <w:spacing w:line="420" w:lineRule="atLeast"/>
        <w:rPr>
          <w:rFonts w:ascii="宋体" w:hAnsi="宋体" w:cs="宋体"/>
          <w:color w:val="auto"/>
          <w:kern w:val="0"/>
          <w:sz w:val="28"/>
          <w:szCs w:val="28"/>
          <w:highlight w:val="none"/>
        </w:rPr>
      </w:pPr>
      <w:r>
        <w:rPr>
          <w:rFonts w:hint="eastAsia" w:ascii="宋体" w:hAnsi="宋体" w:cs="宋体"/>
          <w:color w:val="auto"/>
          <w:kern w:val="0"/>
          <w:sz w:val="28"/>
          <w:szCs w:val="28"/>
          <w:highlight w:val="none"/>
        </w:rPr>
        <w:t>附件三：                 投标函（格式）</w:t>
      </w:r>
    </w:p>
    <w:p>
      <w:pPr>
        <w:pStyle w:val="6"/>
        <w:spacing w:line="400" w:lineRule="exact"/>
        <w:rPr>
          <w:rFonts w:hAnsi="宋体" w:cs="宋体"/>
          <w:color w:val="auto"/>
          <w:kern w:val="0"/>
          <w:sz w:val="24"/>
          <w:szCs w:val="24"/>
          <w:highlight w:val="none"/>
        </w:rPr>
      </w:pPr>
    </w:p>
    <w:p>
      <w:pPr>
        <w:pStyle w:val="6"/>
        <w:spacing w:line="400" w:lineRule="exact"/>
        <w:rPr>
          <w:rFonts w:hAnsi="宋体" w:cs="宋体"/>
          <w:color w:val="auto"/>
          <w:kern w:val="0"/>
          <w:sz w:val="24"/>
          <w:szCs w:val="24"/>
          <w:highlight w:val="none"/>
        </w:rPr>
      </w:pPr>
      <w:r>
        <w:rPr>
          <w:rFonts w:hint="eastAsia" w:hAnsi="宋体" w:cs="宋体"/>
          <w:color w:val="auto"/>
          <w:kern w:val="0"/>
          <w:sz w:val="24"/>
          <w:szCs w:val="24"/>
          <w:highlight w:val="none"/>
        </w:rPr>
        <w:t xml:space="preserve">致：                  </w:t>
      </w:r>
    </w:p>
    <w:p>
      <w:pPr>
        <w:pStyle w:val="6"/>
        <w:spacing w:line="400" w:lineRule="exact"/>
        <w:rPr>
          <w:rFonts w:hAnsi="宋体" w:cs="宋体"/>
          <w:color w:val="auto"/>
          <w:kern w:val="0"/>
          <w:sz w:val="24"/>
          <w:szCs w:val="24"/>
          <w:highlight w:val="none"/>
        </w:rPr>
      </w:pPr>
      <w:r>
        <w:rPr>
          <w:rFonts w:hint="eastAsia" w:hAnsi="宋体" w:cs="宋体"/>
          <w:color w:val="auto"/>
          <w:kern w:val="0"/>
          <w:sz w:val="24"/>
          <w:szCs w:val="24"/>
          <w:highlight w:val="none"/>
        </w:rPr>
        <w:t xml:space="preserve">     _________________________（投标人全称）授权_________________（全名、职务）为全权代表参加贵方组织的_________________________项目（招标项目名称、招标编号）       标段的招标、投标等有关活动，为此提交下述文件：</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1、技术标，正本一份，副本  </w:t>
      </w:r>
      <w:r>
        <w:rPr>
          <w:rFonts w:hint="eastAsia" w:ascii="宋体" w:hAnsi="宋体" w:cs="宋体"/>
          <w:color w:val="auto"/>
          <w:kern w:val="0"/>
          <w:sz w:val="24"/>
          <w:szCs w:val="24"/>
          <w:highlight w:val="none"/>
          <w:lang w:val="en-US" w:eastAsia="zh-CN"/>
        </w:rPr>
        <w:t>二</w:t>
      </w:r>
      <w:r>
        <w:rPr>
          <w:rFonts w:hint="eastAsia" w:ascii="宋体" w:hAnsi="宋体" w:cs="宋体"/>
          <w:color w:val="auto"/>
          <w:kern w:val="0"/>
          <w:sz w:val="24"/>
          <w:szCs w:val="24"/>
          <w:highlight w:val="none"/>
        </w:rPr>
        <w:t xml:space="preserve">  份；</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2、商务标，正本一份，副本  </w:t>
      </w:r>
      <w:r>
        <w:rPr>
          <w:rFonts w:hint="eastAsia" w:ascii="宋体" w:hAnsi="宋体" w:cs="宋体"/>
          <w:color w:val="auto"/>
          <w:kern w:val="0"/>
          <w:sz w:val="24"/>
          <w:szCs w:val="24"/>
          <w:highlight w:val="none"/>
          <w:lang w:val="en-US" w:eastAsia="zh-CN"/>
        </w:rPr>
        <w:t>二</w:t>
      </w:r>
      <w:r>
        <w:rPr>
          <w:rFonts w:hint="eastAsia" w:ascii="宋体" w:hAnsi="宋体" w:cs="宋体"/>
          <w:color w:val="auto"/>
          <w:kern w:val="0"/>
          <w:sz w:val="24"/>
          <w:szCs w:val="24"/>
          <w:highlight w:val="none"/>
        </w:rPr>
        <w:t xml:space="preserve">  份；</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3、其他：</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4、据此函，签字代表宣布同意如下：</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1）所附投标报价表中规定的应提供和支付的设备和服务投标总价为（人民币） </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rPr>
        <w:t xml:space="preserve">， 即 </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rPr>
        <w:t>（大写）。（企业成本价为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元）</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2）投标人已详细审查全部招标文件，我们完全理解并同意放弃对这方面有不明及误解的权利。</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3）投标人将按招标文件规定履行合同责任和义务。</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4）其投标自开标之日起有效期____个日历天。</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5）如果在规定的开标时间后，投标人不得在投标有效期内撤回投标。</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6）投标人同意提供按照贵方可能要求的与其投标有关的一切数据或资料，理解贵方不一定要接受最低价的投标或收到的任何投标。</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7）投标文件中未明确的东西，一律按招标文件规定执行。</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8）与本投标有关的一切正式往来通讯请寄：</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地址：______________________             邮编：______________________  </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电话：______________________            传真：______________________ </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投标人名称：_____________ （公章）      全权代表签字： ____________</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投标人代表职务： ______________________</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投标日期： _______年____月____日      </w:t>
      </w:r>
    </w:p>
    <w:p>
      <w:pPr>
        <w:widowControl/>
        <w:spacing w:line="420" w:lineRule="atLeast"/>
        <w:ind w:firstLine="480"/>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rPr>
          <w:rFonts w:hint="eastAsia" w:ascii="宋体" w:hAnsi="宋体" w:cs="宋体"/>
          <w:color w:val="auto"/>
          <w:kern w:val="0"/>
          <w:sz w:val="28"/>
          <w:szCs w:val="28"/>
          <w:highlight w:val="none"/>
          <w:lang w:val="en-US" w:eastAsia="zh-CN"/>
        </w:rPr>
      </w:pPr>
    </w:p>
    <w:p>
      <w:pPr>
        <w:rPr>
          <w:rFonts w:hint="eastAsia" w:ascii="宋体" w:hAnsi="宋体" w:cs="宋体"/>
          <w:b/>
          <w:bCs/>
          <w:color w:val="auto"/>
          <w:kern w:val="0"/>
          <w:sz w:val="28"/>
          <w:szCs w:val="28"/>
          <w:highlight w:val="none"/>
        </w:rPr>
      </w:pPr>
      <w:r>
        <w:rPr>
          <w:rFonts w:hint="eastAsia" w:ascii="宋体" w:hAnsi="宋体" w:cs="宋体"/>
          <w:color w:val="auto"/>
          <w:kern w:val="0"/>
          <w:sz w:val="28"/>
          <w:szCs w:val="28"/>
          <w:highlight w:val="none"/>
          <w:lang w:val="en-US" w:eastAsia="zh-CN"/>
        </w:rPr>
        <w:t>附件四</w:t>
      </w:r>
      <w:r>
        <w:rPr>
          <w:rFonts w:hint="eastAsia" w:ascii="宋体" w:hAnsi="宋体" w:cs="宋体"/>
          <w:color w:val="auto"/>
          <w:kern w:val="0"/>
          <w:sz w:val="28"/>
          <w:szCs w:val="28"/>
          <w:highlight w:val="none"/>
        </w:rPr>
        <w:t xml:space="preserve"> </w:t>
      </w:r>
      <w:r>
        <w:rPr>
          <w:rFonts w:hint="eastAsia" w:ascii="宋体" w:hAnsi="宋体" w:cs="宋体"/>
          <w:b/>
          <w:bCs/>
          <w:color w:val="auto"/>
          <w:kern w:val="0"/>
          <w:sz w:val="28"/>
          <w:szCs w:val="28"/>
          <w:highlight w:val="none"/>
        </w:rPr>
        <w:t xml:space="preserve">        </w:t>
      </w:r>
    </w:p>
    <w:p>
      <w:pPr>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投标人法定代表人授权书（格式）</w:t>
      </w:r>
    </w:p>
    <w:p>
      <w:pPr>
        <w:spacing w:line="480" w:lineRule="auto"/>
        <w:rPr>
          <w:rFonts w:ascii="宋体" w:hAnsi="宋体"/>
          <w:b/>
          <w:color w:val="auto"/>
          <w:sz w:val="48"/>
          <w:highlight w:val="none"/>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项目名称：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日    期：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致：（采购人名称）                </w:t>
      </w: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u w:val="single"/>
          <w:lang w:val="zh-CN"/>
        </w:rPr>
      </w:pPr>
      <w:r>
        <w:rPr>
          <w:rFonts w:hint="eastAsia" w:ascii="宋体" w:hAnsi="宋体" w:cs="宋体"/>
          <w:color w:val="auto"/>
          <w:kern w:val="0"/>
          <w:sz w:val="24"/>
          <w:szCs w:val="24"/>
          <w:highlight w:val="none"/>
          <w:lang w:val="zh-CN"/>
        </w:rPr>
        <w:t>注册于</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（注册地址）的</w:t>
      </w:r>
      <w:r>
        <w:rPr>
          <w:rFonts w:hint="eastAsia" w:ascii="宋体" w:hAnsi="宋体" w:cs="宋体"/>
          <w:color w:val="auto"/>
          <w:kern w:val="0"/>
          <w:sz w:val="24"/>
          <w:szCs w:val="24"/>
          <w:highlight w:val="none"/>
          <w:u w:val="single"/>
          <w:lang w:val="zh-CN"/>
        </w:rPr>
        <w:t xml:space="preserve">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（投标人名称），系中华人民共和国合法企业；本人</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（授权人姓名）系该公司的法定代表人。现特授权本单位的（被授权人姓名）</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（身份证号码）</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为我公司合法代理人，全权代表我公司办理就</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项目的投标、谈判、签约等具体工作，并签署全部有关的文件、协议及合同。</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我公司对被授权人的签名负全部责任。</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在撤销授权的书面通知以前，本授权书一直有效。被授权人签署的所有文件（在授权书有效期内签署的）不因授权的撤销而失效。被授权人无转委托。特此声明。</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被授权人身份证复印件：</w:t>
      </w: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投标人公章：</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授权人签名：                       职        务：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被授权人签名：                     </w:t>
      </w: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注：投标人法定代表人参加投标的，提供法定代表人证明书和身份证明即可。</w:t>
      </w:r>
    </w:p>
    <w:p>
      <w:pPr>
        <w:spacing w:line="400" w:lineRule="exact"/>
        <w:rPr>
          <w:rFonts w:ascii="宋体" w:hAnsi="宋体" w:cs="宋体"/>
          <w:color w:val="auto"/>
          <w:kern w:val="0"/>
          <w:sz w:val="24"/>
          <w:szCs w:val="24"/>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snapToGrid w:val="0"/>
        <w:spacing w:before="50" w:after="50"/>
        <w:rPr>
          <w:rFonts w:ascii="宋体" w:hAnsi="宋体"/>
          <w:b/>
          <w:color w:val="auto"/>
          <w:sz w:val="24"/>
          <w:szCs w:val="24"/>
          <w:highlight w:val="none"/>
        </w:rPr>
      </w:pPr>
      <w:r>
        <w:rPr>
          <w:rFonts w:hint="eastAsia" w:ascii="宋体" w:hAnsi="宋体"/>
          <w:b/>
          <w:color w:val="auto"/>
          <w:sz w:val="24"/>
          <w:szCs w:val="24"/>
          <w:highlight w:val="none"/>
        </w:rPr>
        <w:t>附件五</w:t>
      </w:r>
      <w:r>
        <w:rPr>
          <w:rFonts w:hint="eastAsia" w:ascii="宋体" w:hAnsi="宋体"/>
          <w:b/>
          <w:color w:val="auto"/>
          <w:sz w:val="24"/>
          <w:szCs w:val="24"/>
          <w:highlight w:val="none"/>
          <w:lang w:val="en-US" w:eastAsia="zh-CN"/>
        </w:rPr>
        <w:t xml:space="preserve"> </w:t>
      </w:r>
      <w:r>
        <w:rPr>
          <w:rFonts w:hint="eastAsia" w:ascii="宋体" w:hAnsi="宋体"/>
          <w:b/>
          <w:color w:val="auto"/>
          <w:sz w:val="24"/>
          <w:szCs w:val="24"/>
          <w:highlight w:val="none"/>
        </w:rPr>
        <w:t>报价一览表</w:t>
      </w:r>
    </w:p>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报价一览表</w:t>
      </w:r>
    </w:p>
    <w:p>
      <w:pPr>
        <w:snapToGrid w:val="0"/>
        <w:spacing w:before="50" w:after="50"/>
        <w:rPr>
          <w:rFonts w:ascii="宋体" w:hAnsi="宋体"/>
          <w:color w:val="auto"/>
          <w:sz w:val="24"/>
          <w:szCs w:val="24"/>
          <w:highlight w:val="none"/>
        </w:rPr>
      </w:pPr>
      <w:r>
        <w:rPr>
          <w:rFonts w:hint="eastAsia" w:ascii="宋体" w:hAnsi="宋体"/>
          <w:color w:val="auto"/>
          <w:sz w:val="24"/>
          <w:szCs w:val="24"/>
          <w:highlight w:val="none"/>
        </w:rPr>
        <w:t>招标编号：</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投标人名称：</w:t>
      </w:r>
      <w:r>
        <w:rPr>
          <w:rFonts w:ascii="宋体" w:hAnsi="宋体"/>
          <w:color w:val="auto"/>
          <w:sz w:val="24"/>
          <w:szCs w:val="24"/>
          <w:highlight w:val="none"/>
          <w:u w:val="single"/>
        </w:rPr>
        <w:t xml:space="preserve">                    </w:t>
      </w:r>
      <w:r>
        <w:rPr>
          <w:rFonts w:hint="eastAsia" w:ascii="宋体" w:hAnsi="宋体"/>
          <w:color w:val="auto"/>
          <w:sz w:val="24"/>
          <w:szCs w:val="24"/>
          <w:highlight w:val="none"/>
        </w:rPr>
        <w:t>单位：元</w:t>
      </w:r>
      <w:r>
        <w:rPr>
          <w:rFonts w:ascii="宋体" w:hAnsi="宋体"/>
          <w:color w:val="auto"/>
          <w:sz w:val="24"/>
          <w:szCs w:val="24"/>
          <w:highlight w:val="none"/>
        </w:rPr>
        <w:t xml:space="preserve">                        </w:t>
      </w:r>
    </w:p>
    <w:tbl>
      <w:tblPr>
        <w:tblStyle w:val="15"/>
        <w:tblW w:w="94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1320"/>
        <w:gridCol w:w="915"/>
        <w:gridCol w:w="930"/>
        <w:gridCol w:w="1380"/>
        <w:gridCol w:w="1380"/>
        <w:gridCol w:w="1380"/>
        <w:gridCol w:w="13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b/>
                <w:color w:val="auto"/>
                <w:sz w:val="24"/>
                <w:szCs w:val="24"/>
                <w:highlight w:val="none"/>
                <w:lang w:eastAsia="zh-CN"/>
              </w:rPr>
            </w:pPr>
            <w:r>
              <w:rPr>
                <w:rFonts w:hint="eastAsia" w:ascii="宋体" w:hAnsi="宋体"/>
                <w:b/>
                <w:color w:val="auto"/>
                <w:sz w:val="24"/>
                <w:szCs w:val="24"/>
                <w:highlight w:val="none"/>
                <w:lang w:val="en-US" w:eastAsia="zh-CN"/>
              </w:rPr>
              <w:t>序号</w:t>
            </w:r>
          </w:p>
        </w:tc>
        <w:tc>
          <w:tcPr>
            <w:tcW w:w="13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default" w:ascii="宋体" w:hAnsi="宋体" w:eastAsia="宋体"/>
                <w:b/>
                <w:color w:val="auto"/>
                <w:sz w:val="24"/>
                <w:szCs w:val="24"/>
                <w:highlight w:val="none"/>
                <w:lang w:val="en-US" w:eastAsia="zh-CN"/>
              </w:rPr>
            </w:pPr>
            <w:r>
              <w:rPr>
                <w:rFonts w:hint="eastAsia" w:ascii="宋体" w:hAnsi="宋体"/>
                <w:b/>
                <w:color w:val="auto"/>
                <w:sz w:val="24"/>
                <w:szCs w:val="24"/>
                <w:highlight w:val="none"/>
                <w:lang w:val="en-US" w:eastAsia="zh-CN"/>
              </w:rPr>
              <w:t>货物名称</w:t>
            </w:r>
          </w:p>
        </w:tc>
        <w:tc>
          <w:tcPr>
            <w:tcW w:w="915"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数量</w:t>
            </w:r>
          </w:p>
        </w:tc>
        <w:tc>
          <w:tcPr>
            <w:tcW w:w="93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单位</w:t>
            </w:r>
          </w:p>
        </w:tc>
        <w:tc>
          <w:tcPr>
            <w:tcW w:w="13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b/>
                <w:color w:val="auto"/>
                <w:sz w:val="24"/>
                <w:szCs w:val="24"/>
                <w:highlight w:val="none"/>
                <w:lang w:eastAsia="zh-CN"/>
              </w:rPr>
            </w:pPr>
            <w:r>
              <w:rPr>
                <w:rFonts w:hint="eastAsia" w:ascii="宋体" w:hAnsi="宋体"/>
                <w:b/>
                <w:color w:val="auto"/>
                <w:sz w:val="24"/>
                <w:szCs w:val="24"/>
                <w:highlight w:val="none"/>
                <w:lang w:val="en-US" w:eastAsia="zh-CN"/>
              </w:rPr>
              <w:t>品牌</w:t>
            </w:r>
          </w:p>
        </w:tc>
        <w:tc>
          <w:tcPr>
            <w:tcW w:w="13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b/>
                <w:color w:val="auto"/>
                <w:sz w:val="24"/>
                <w:szCs w:val="24"/>
                <w:highlight w:val="none"/>
                <w:lang w:val="en-US" w:eastAsia="zh-CN"/>
              </w:rPr>
            </w:pPr>
            <w:r>
              <w:rPr>
                <w:rFonts w:hint="eastAsia" w:ascii="宋体" w:hAnsi="宋体"/>
                <w:b/>
                <w:color w:val="auto"/>
                <w:sz w:val="24"/>
                <w:szCs w:val="24"/>
                <w:highlight w:val="none"/>
                <w:lang w:val="en-US" w:eastAsia="zh-CN"/>
              </w:rPr>
              <w:t>型号</w:t>
            </w:r>
          </w:p>
        </w:tc>
        <w:tc>
          <w:tcPr>
            <w:tcW w:w="13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default" w:ascii="宋体" w:hAnsi="宋体" w:eastAsia="宋体"/>
                <w:b/>
                <w:color w:val="auto"/>
                <w:sz w:val="24"/>
                <w:szCs w:val="24"/>
                <w:highlight w:val="none"/>
                <w:lang w:val="en-US" w:eastAsia="zh-CN"/>
              </w:rPr>
            </w:pPr>
            <w:r>
              <w:rPr>
                <w:rFonts w:hint="eastAsia" w:ascii="宋体" w:hAnsi="宋体"/>
                <w:b/>
                <w:color w:val="auto"/>
                <w:sz w:val="24"/>
                <w:szCs w:val="24"/>
                <w:highlight w:val="none"/>
                <w:lang w:val="en-US" w:eastAsia="zh-CN"/>
              </w:rPr>
              <w:t>单价/元</w:t>
            </w:r>
          </w:p>
        </w:tc>
        <w:tc>
          <w:tcPr>
            <w:tcW w:w="13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default" w:ascii="宋体" w:hAnsi="宋体" w:eastAsia="宋体"/>
                <w:b/>
                <w:color w:val="auto"/>
                <w:sz w:val="24"/>
                <w:szCs w:val="24"/>
                <w:highlight w:val="none"/>
                <w:lang w:val="en-US" w:eastAsia="zh-CN"/>
              </w:rPr>
            </w:pPr>
            <w:r>
              <w:rPr>
                <w:rFonts w:hint="eastAsia" w:ascii="宋体" w:hAnsi="宋体"/>
                <w:b/>
                <w:color w:val="auto"/>
                <w:sz w:val="24"/>
                <w:szCs w:val="24"/>
                <w:highlight w:val="none"/>
                <w:lang w:val="en-US" w:eastAsia="zh-CN"/>
              </w:rPr>
              <w:t>总价/元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color w:val="auto"/>
                <w:sz w:val="24"/>
                <w:szCs w:val="24"/>
                <w:highlight w:val="none"/>
              </w:rPr>
            </w:pPr>
          </w:p>
        </w:tc>
        <w:tc>
          <w:tcPr>
            <w:tcW w:w="13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default" w:ascii="宋体" w:hAnsi="宋体" w:eastAsia="宋体"/>
                <w:color w:val="auto"/>
                <w:sz w:val="24"/>
                <w:szCs w:val="24"/>
                <w:highlight w:val="none"/>
                <w:lang w:val="en-US" w:eastAsia="zh-CN"/>
              </w:rPr>
            </w:pPr>
          </w:p>
        </w:tc>
        <w:tc>
          <w:tcPr>
            <w:tcW w:w="915"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olor w:val="auto"/>
                <w:sz w:val="24"/>
                <w:szCs w:val="24"/>
                <w:highlight w:val="none"/>
                <w:lang w:eastAsia="zh-CN"/>
              </w:rPr>
            </w:pPr>
          </w:p>
        </w:tc>
        <w:tc>
          <w:tcPr>
            <w:tcW w:w="13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9405" w:type="dxa"/>
            <w:gridSpan w:val="8"/>
            <w:tcBorders>
              <w:top w:val="single" w:color="auto" w:sz="4" w:space="0"/>
              <w:left w:val="single" w:color="auto" w:sz="4" w:space="0"/>
              <w:bottom w:val="single" w:color="auto" w:sz="4" w:space="0"/>
              <w:right w:val="single" w:color="auto" w:sz="4" w:space="0"/>
            </w:tcBorders>
          </w:tcPr>
          <w:p>
            <w:pPr>
              <w:snapToGrid w:val="0"/>
              <w:spacing w:before="50" w:after="50"/>
              <w:rPr>
                <w:rFonts w:ascii="宋体" w:hAnsi="宋体"/>
                <w:color w:val="auto"/>
                <w:sz w:val="24"/>
                <w:szCs w:val="24"/>
                <w:highlight w:val="none"/>
              </w:rPr>
            </w:pPr>
          </w:p>
          <w:p>
            <w:pPr>
              <w:snapToGrid w:val="0"/>
              <w:spacing w:before="50" w:after="50"/>
              <w:ind w:firstLine="1440" w:firstLineChars="600"/>
              <w:rPr>
                <w:rFonts w:ascii="宋体" w:hAnsi="宋体"/>
                <w:color w:val="auto"/>
                <w:sz w:val="24"/>
                <w:szCs w:val="24"/>
                <w:highlight w:val="none"/>
              </w:rPr>
            </w:pPr>
            <w:r>
              <w:rPr>
                <w:rFonts w:hint="eastAsia" w:ascii="宋体" w:hAnsi="宋体"/>
                <w:color w:val="auto"/>
                <w:sz w:val="24"/>
                <w:szCs w:val="24"/>
                <w:highlight w:val="none"/>
              </w:rPr>
              <w:t>合计金额大写：              ￥</w:t>
            </w:r>
            <w:r>
              <w:rPr>
                <w:rFonts w:ascii="宋体" w:hAnsi="宋体"/>
                <w:color w:val="auto"/>
                <w:sz w:val="24"/>
                <w:szCs w:val="24"/>
                <w:highlight w:val="none"/>
                <w:u w:val="single"/>
              </w:rPr>
              <w:t xml:space="preserve">            </w:t>
            </w:r>
          </w:p>
          <w:p>
            <w:pPr>
              <w:snapToGrid w:val="0"/>
              <w:spacing w:before="50" w:after="50"/>
              <w:rPr>
                <w:rFonts w:ascii="宋体" w:hAnsi="宋体"/>
                <w:color w:val="auto"/>
                <w:sz w:val="24"/>
                <w:szCs w:val="24"/>
                <w:highlight w:val="none"/>
              </w:rPr>
            </w:pP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p>
        </w:tc>
      </w:tr>
    </w:tbl>
    <w:p>
      <w:pPr>
        <w:snapToGrid w:val="0"/>
        <w:spacing w:before="50" w:after="50" w:line="420" w:lineRule="exact"/>
        <w:jc w:val="left"/>
        <w:rPr>
          <w:rFonts w:ascii="宋体" w:hAnsi="宋体"/>
          <w:color w:val="auto"/>
          <w:sz w:val="24"/>
          <w:szCs w:val="24"/>
          <w:highlight w:val="none"/>
        </w:rPr>
      </w:pPr>
      <w:r>
        <w:rPr>
          <w:rFonts w:hint="eastAsia" w:ascii="宋体" w:hAnsi="宋体"/>
          <w:color w:val="auto"/>
          <w:sz w:val="24"/>
          <w:szCs w:val="24"/>
          <w:highlight w:val="none"/>
        </w:rPr>
        <w:t>注</w:t>
      </w:r>
      <w:r>
        <w:rPr>
          <w:rFonts w:ascii="宋体" w:hAnsi="宋体"/>
          <w:color w:val="auto"/>
          <w:sz w:val="24"/>
          <w:szCs w:val="24"/>
          <w:highlight w:val="none"/>
        </w:rPr>
        <w:t>: 1</w:t>
      </w:r>
      <w:r>
        <w:rPr>
          <w:rFonts w:hint="eastAsia" w:ascii="宋体" w:hAnsi="宋体"/>
          <w:color w:val="auto"/>
          <w:sz w:val="24"/>
          <w:szCs w:val="24"/>
          <w:highlight w:val="none"/>
        </w:rPr>
        <w:t>、报价一经涂改，应在涂改处加盖单位公章或者由法定代表人或授权委托人签字或盖章，否则其投标作无效标处理。</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、凡需用专用耗材的专用设备类采购项目，应按招标文件规定的耗材量或按耗材的常规试用量提供报价。</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、投标费用包括项目实施所需的设计费、人工费、包装费、服务费、运输费、安装调试费、购买及制作标书费、税费及其他一切费用。</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、以上报价应与“投标设备报价明细表”中的“投标总价”相一致。</w:t>
      </w: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r>
        <w:rPr>
          <w:rFonts w:hint="eastAsia" w:ascii="宋体" w:hAnsi="宋体"/>
          <w:color w:val="auto"/>
          <w:sz w:val="24"/>
          <w:szCs w:val="24"/>
          <w:highlight w:val="none"/>
        </w:rPr>
        <w:t>法定代表人或授权代表（签字或盖章）：</w:t>
      </w:r>
      <w:r>
        <w:rPr>
          <w:rFonts w:ascii="宋体" w:hAnsi="宋体"/>
          <w:color w:val="auto"/>
          <w:sz w:val="24"/>
          <w:szCs w:val="24"/>
          <w:highlight w:val="none"/>
        </w:rPr>
        <w:t xml:space="preserve">                    </w:t>
      </w: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r>
        <w:rPr>
          <w:rFonts w:hint="eastAsia" w:ascii="宋体" w:hAnsi="宋体"/>
          <w:color w:val="auto"/>
          <w:sz w:val="24"/>
          <w:szCs w:val="24"/>
          <w:highlight w:val="none"/>
        </w:rPr>
        <w:t>投标人名称（盖章）：</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日期：</w:t>
      </w:r>
      <w:r>
        <w:rPr>
          <w:rFonts w:ascii="宋体" w:hAnsi="宋体"/>
          <w:color w:val="auto"/>
          <w:sz w:val="24"/>
          <w:szCs w:val="24"/>
          <w:highlight w:val="none"/>
        </w:rPr>
        <w:t xml:space="preserve">    </w:t>
      </w:r>
      <w:r>
        <w:rPr>
          <w:rFonts w:hint="eastAsia" w:ascii="宋体" w:hAnsi="宋体"/>
          <w:color w:val="auto"/>
          <w:sz w:val="24"/>
          <w:szCs w:val="24"/>
          <w:highlight w:val="none"/>
        </w:rPr>
        <w:t>年</w:t>
      </w:r>
      <w:r>
        <w:rPr>
          <w:rFonts w:ascii="宋体" w:hAnsi="宋体"/>
          <w:color w:val="auto"/>
          <w:sz w:val="24"/>
          <w:szCs w:val="24"/>
          <w:highlight w:val="none"/>
        </w:rPr>
        <w:t xml:space="preserve">   </w:t>
      </w:r>
      <w:r>
        <w:rPr>
          <w:rFonts w:hint="eastAsia" w:ascii="宋体" w:hAnsi="宋体"/>
          <w:color w:val="auto"/>
          <w:sz w:val="24"/>
          <w:szCs w:val="24"/>
          <w:highlight w:val="none"/>
        </w:rPr>
        <w:t>月</w:t>
      </w:r>
      <w:r>
        <w:rPr>
          <w:rFonts w:ascii="宋体" w:hAnsi="宋体"/>
          <w:color w:val="auto"/>
          <w:sz w:val="24"/>
          <w:szCs w:val="24"/>
          <w:highlight w:val="none"/>
        </w:rPr>
        <w:t xml:space="preserve">   </w:t>
      </w:r>
      <w:r>
        <w:rPr>
          <w:rFonts w:hint="eastAsia" w:ascii="宋体" w:hAnsi="宋体"/>
          <w:color w:val="auto"/>
          <w:sz w:val="24"/>
          <w:szCs w:val="24"/>
          <w:highlight w:val="none"/>
        </w:rPr>
        <w:t>日</w:t>
      </w:r>
    </w:p>
    <w:p>
      <w:pPr>
        <w:pStyle w:val="6"/>
        <w:snapToGrid w:val="0"/>
        <w:spacing w:before="295" w:after="295"/>
        <w:rPr>
          <w:rFonts w:hAnsi="宋体"/>
          <w:b/>
          <w:color w:val="auto"/>
          <w:highlight w:val="none"/>
        </w:rPr>
      </w:pPr>
    </w:p>
    <w:p>
      <w:pPr>
        <w:pStyle w:val="6"/>
        <w:snapToGrid w:val="0"/>
        <w:spacing w:before="295" w:after="295"/>
        <w:rPr>
          <w:rFonts w:hAnsi="宋体"/>
          <w:b/>
          <w:color w:val="auto"/>
          <w:highlight w:val="none"/>
        </w:rPr>
      </w:pPr>
    </w:p>
    <w:p>
      <w:pPr>
        <w:pStyle w:val="6"/>
        <w:snapToGrid w:val="0"/>
        <w:spacing w:before="295" w:after="295"/>
        <w:rPr>
          <w:rFonts w:hAnsi="宋体"/>
          <w:b/>
          <w:color w:val="auto"/>
          <w:highlight w:val="none"/>
        </w:rPr>
      </w:pPr>
    </w:p>
    <w:p>
      <w:pPr>
        <w:pStyle w:val="6"/>
        <w:snapToGrid w:val="0"/>
        <w:spacing w:before="295" w:after="295"/>
        <w:rPr>
          <w:rFonts w:hAnsi="宋体"/>
          <w:b/>
          <w:color w:val="auto"/>
          <w:highlight w:val="none"/>
        </w:rPr>
      </w:pPr>
    </w:p>
    <w:p>
      <w:pPr>
        <w:pStyle w:val="6"/>
        <w:snapToGrid w:val="0"/>
        <w:spacing w:before="295" w:after="295"/>
        <w:rPr>
          <w:rFonts w:hAnsi="宋体"/>
          <w:b/>
          <w:color w:val="auto"/>
          <w:highlight w:val="none"/>
        </w:rPr>
      </w:pPr>
    </w:p>
    <w:p>
      <w:pPr>
        <w:pStyle w:val="6"/>
        <w:snapToGrid w:val="0"/>
        <w:spacing w:before="295" w:after="295"/>
        <w:rPr>
          <w:rFonts w:hAnsi="宋体"/>
          <w:b/>
          <w:color w:val="auto"/>
          <w:highlight w:val="none"/>
        </w:rPr>
      </w:pPr>
    </w:p>
    <w:p>
      <w:pPr>
        <w:pStyle w:val="6"/>
        <w:snapToGrid w:val="0"/>
        <w:spacing w:before="295" w:after="295"/>
        <w:rPr>
          <w:rFonts w:hAnsi="宋体"/>
          <w:b/>
          <w:color w:val="auto"/>
          <w:highlight w:val="none"/>
        </w:rPr>
      </w:pPr>
    </w:p>
    <w:p>
      <w:pPr>
        <w:pStyle w:val="6"/>
        <w:snapToGrid w:val="0"/>
        <w:spacing w:before="295" w:after="295"/>
        <w:rPr>
          <w:rFonts w:hAnsi="宋体"/>
          <w:b/>
          <w:color w:val="auto"/>
          <w:highlight w:val="none"/>
        </w:rPr>
      </w:pPr>
    </w:p>
    <w:p>
      <w:pPr>
        <w:pStyle w:val="6"/>
        <w:snapToGrid w:val="0"/>
        <w:spacing w:before="295" w:after="295"/>
        <w:rPr>
          <w:rFonts w:hAnsi="宋体"/>
          <w:b/>
          <w:color w:val="auto"/>
          <w:sz w:val="24"/>
          <w:szCs w:val="24"/>
          <w:highlight w:val="none"/>
        </w:rPr>
      </w:pPr>
      <w:r>
        <w:rPr>
          <w:rFonts w:hint="eastAsia" w:hAnsi="宋体"/>
          <w:b/>
          <w:color w:val="auto"/>
          <w:sz w:val="24"/>
          <w:szCs w:val="24"/>
          <w:highlight w:val="none"/>
        </w:rPr>
        <w:t xml:space="preserve">附件六 </w:t>
      </w:r>
      <w:r>
        <w:rPr>
          <w:rFonts w:hAnsi="宋体"/>
          <w:b/>
          <w:color w:val="auto"/>
          <w:sz w:val="24"/>
          <w:szCs w:val="24"/>
          <w:highlight w:val="none"/>
        </w:rPr>
        <w:t xml:space="preserve">投标报价明细表格式：       </w:t>
      </w:r>
    </w:p>
    <w:p>
      <w:pPr>
        <w:pStyle w:val="6"/>
        <w:snapToGrid w:val="0"/>
        <w:spacing w:before="295" w:after="295"/>
        <w:jc w:val="center"/>
        <w:rPr>
          <w:rFonts w:hAnsi="宋体"/>
          <w:color w:val="auto"/>
          <w:sz w:val="24"/>
          <w:szCs w:val="24"/>
          <w:highlight w:val="none"/>
        </w:rPr>
      </w:pPr>
      <w:r>
        <w:rPr>
          <w:rFonts w:hAnsi="宋体"/>
          <w:color w:val="auto"/>
          <w:sz w:val="24"/>
          <w:szCs w:val="24"/>
          <w:highlight w:val="none"/>
        </w:rPr>
        <w:t>投标报价明细表</w:t>
      </w:r>
    </w:p>
    <w:p>
      <w:pPr>
        <w:pStyle w:val="6"/>
        <w:snapToGrid w:val="0"/>
        <w:spacing w:before="295" w:after="295"/>
        <w:rPr>
          <w:rFonts w:hAnsi="宋体"/>
          <w:color w:val="auto"/>
          <w:sz w:val="24"/>
          <w:szCs w:val="24"/>
          <w:highlight w:val="none"/>
        </w:rPr>
      </w:pPr>
      <w:r>
        <w:rPr>
          <w:rFonts w:hAnsi="宋体"/>
          <w:color w:val="auto"/>
          <w:sz w:val="24"/>
          <w:szCs w:val="24"/>
          <w:highlight w:val="none"/>
        </w:rPr>
        <w:t>标项：</w:t>
      </w:r>
      <w:r>
        <w:rPr>
          <w:rFonts w:hAnsi="宋体"/>
          <w:color w:val="auto"/>
          <w:sz w:val="24"/>
          <w:szCs w:val="24"/>
          <w:highlight w:val="none"/>
          <w:u w:val="single"/>
        </w:rPr>
        <w:t xml:space="preserve">              </w:t>
      </w:r>
      <w:r>
        <w:rPr>
          <w:rFonts w:hAnsi="宋体"/>
          <w:color w:val="auto"/>
          <w:sz w:val="24"/>
          <w:szCs w:val="24"/>
          <w:highlight w:val="none"/>
        </w:rPr>
        <w:t xml:space="preserve">                   金额单位：人民币（元）</w:t>
      </w:r>
    </w:p>
    <w:tbl>
      <w:tblPr>
        <w:tblStyle w:val="15"/>
        <w:tblW w:w="90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620"/>
        <w:gridCol w:w="1080"/>
        <w:gridCol w:w="1440"/>
        <w:gridCol w:w="1620"/>
        <w:gridCol w:w="1260"/>
        <w:gridCol w:w="1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zCs w:val="21"/>
                <w:highlight w:val="none"/>
              </w:rPr>
              <w:t>序号</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zCs w:val="21"/>
                <w:highlight w:val="none"/>
              </w:rPr>
              <w:t>名称</w:t>
            </w:r>
          </w:p>
        </w:tc>
        <w:tc>
          <w:tcPr>
            <w:tcW w:w="1080" w:type="dxa"/>
            <w:tcBorders>
              <w:top w:val="single" w:color="auto" w:sz="4" w:space="0"/>
              <w:left w:val="single" w:color="auto" w:sz="4" w:space="0"/>
              <w:bottom w:val="single" w:color="auto" w:sz="4" w:space="0"/>
              <w:right w:val="single" w:color="auto" w:sz="4" w:space="0"/>
            </w:tcBorders>
            <w:vAlign w:val="center"/>
          </w:tcPr>
          <w:p>
            <w:pPr>
              <w:pStyle w:val="103"/>
              <w:snapToGrid w:val="0"/>
              <w:spacing w:before="50" w:after="50" w:line="240" w:lineRule="auto"/>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品牌</w:t>
            </w:r>
          </w:p>
        </w:tc>
        <w:tc>
          <w:tcPr>
            <w:tcW w:w="14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hint="eastAsia" w:ascii="宋体" w:hAnsi="宋体" w:eastAsia="宋体"/>
                <w:color w:val="auto"/>
                <w:spacing w:val="20"/>
                <w:szCs w:val="21"/>
                <w:highlight w:val="none"/>
                <w:lang w:eastAsia="zh-CN"/>
              </w:rPr>
            </w:pPr>
            <w:r>
              <w:rPr>
                <w:rFonts w:hint="eastAsia" w:ascii="宋体" w:hAnsi="宋体"/>
                <w:color w:val="auto"/>
                <w:szCs w:val="21"/>
                <w:highlight w:val="none"/>
                <w:lang w:val="en-US" w:eastAsia="zh-CN"/>
              </w:rPr>
              <w:t>型号</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zCs w:val="21"/>
                <w:highlight w:val="none"/>
              </w:rPr>
              <w:t>单位及数量</w:t>
            </w:r>
          </w:p>
        </w:tc>
        <w:tc>
          <w:tcPr>
            <w:tcW w:w="126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zCs w:val="21"/>
                <w:highlight w:val="none"/>
              </w:rPr>
              <w:t>单价</w:t>
            </w:r>
          </w:p>
        </w:tc>
        <w:tc>
          <w:tcPr>
            <w:tcW w:w="14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zCs w:val="21"/>
                <w:highlight w:val="none"/>
              </w:rPr>
              <w:t>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r>
              <w:rPr>
                <w:rFonts w:ascii="宋体" w:hAnsi="宋体"/>
                <w:color w:val="auto"/>
                <w:spacing w:val="20"/>
                <w:szCs w:val="21"/>
                <w:highlight w:val="none"/>
              </w:rPr>
              <w:t>……</w:t>
            </w: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60" w:type="dxa"/>
            <w:gridSpan w:val="6"/>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投 标 总</w:t>
            </w:r>
            <w:r>
              <w:rPr>
                <w:rFonts w:ascii="宋体" w:hAnsi="宋体"/>
                <w:color w:val="auto"/>
                <w:spacing w:val="20"/>
                <w:szCs w:val="21"/>
                <w:highlight w:val="none"/>
              </w:rPr>
              <w:t xml:space="preserve">  </w:t>
            </w:r>
            <w:r>
              <w:rPr>
                <w:rFonts w:hint="eastAsia" w:ascii="宋体" w:hAnsi="宋体"/>
                <w:color w:val="auto"/>
                <w:spacing w:val="20"/>
                <w:szCs w:val="21"/>
                <w:highlight w:val="none"/>
              </w:rPr>
              <w:t>价</w:t>
            </w: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bl>
    <w:p>
      <w:pPr>
        <w:tabs>
          <w:tab w:val="left" w:pos="1418"/>
        </w:tabs>
        <w:snapToGrid w:val="0"/>
        <w:spacing w:before="50" w:after="50"/>
        <w:ind w:left="1418" w:hanging="567"/>
        <w:jc w:val="center"/>
        <w:rPr>
          <w:rFonts w:ascii="宋体" w:hAnsi="宋体"/>
          <w:color w:val="auto"/>
          <w:spacing w:val="20"/>
          <w:sz w:val="24"/>
          <w:szCs w:val="24"/>
          <w:highlight w:val="none"/>
          <w:u w:val="single"/>
        </w:rPr>
      </w:pPr>
    </w:p>
    <w:p>
      <w:pPr>
        <w:snapToGrid w:val="0"/>
        <w:spacing w:before="50" w:after="50"/>
        <w:rPr>
          <w:rFonts w:ascii="宋体" w:hAnsi="宋体"/>
          <w:color w:val="auto"/>
          <w:spacing w:val="20"/>
          <w:sz w:val="24"/>
          <w:szCs w:val="24"/>
          <w:highlight w:val="none"/>
          <w:u w:val="single"/>
        </w:rPr>
      </w:pPr>
      <w:r>
        <w:rPr>
          <w:rFonts w:hint="eastAsia" w:ascii="宋体" w:hAnsi="宋体"/>
          <w:color w:val="auto"/>
          <w:spacing w:val="20"/>
          <w:sz w:val="24"/>
          <w:szCs w:val="24"/>
          <w:highlight w:val="none"/>
        </w:rPr>
        <w:t>授权代表签名：</w:t>
      </w:r>
      <w:r>
        <w:rPr>
          <w:rFonts w:ascii="宋体" w:hAnsi="宋体"/>
          <w:color w:val="auto"/>
          <w:spacing w:val="20"/>
          <w:sz w:val="24"/>
          <w:szCs w:val="24"/>
          <w:highlight w:val="none"/>
          <w:u w:val="single"/>
        </w:rPr>
        <w:t xml:space="preserve">     </w:t>
      </w:r>
      <w:r>
        <w:rPr>
          <w:rFonts w:hint="eastAsia" w:ascii="宋体" w:hAnsi="宋体"/>
          <w:color w:val="auto"/>
          <w:spacing w:val="20"/>
          <w:sz w:val="24"/>
          <w:szCs w:val="24"/>
          <w:highlight w:val="none"/>
          <w:u w:val="single"/>
        </w:rPr>
        <w:t xml:space="preserve">   </w:t>
      </w:r>
      <w:r>
        <w:rPr>
          <w:rFonts w:ascii="宋体" w:hAnsi="宋体"/>
          <w:color w:val="auto"/>
          <w:spacing w:val="20"/>
          <w:sz w:val="24"/>
          <w:szCs w:val="24"/>
          <w:highlight w:val="none"/>
          <w:u w:val="single"/>
        </w:rPr>
        <w:t xml:space="preserve">     </w:t>
      </w:r>
    </w:p>
    <w:p>
      <w:pPr>
        <w:snapToGrid w:val="0"/>
        <w:spacing w:before="50" w:after="50"/>
        <w:rPr>
          <w:rFonts w:ascii="宋体" w:hAnsi="宋体"/>
          <w:color w:val="auto"/>
          <w:spacing w:val="20"/>
          <w:sz w:val="24"/>
          <w:szCs w:val="24"/>
          <w:highlight w:val="none"/>
        </w:rPr>
      </w:pPr>
    </w:p>
    <w:p>
      <w:pPr>
        <w:snapToGrid w:val="0"/>
        <w:spacing w:before="50" w:after="50"/>
        <w:rPr>
          <w:rFonts w:ascii="宋体" w:hAnsi="宋体"/>
          <w:color w:val="auto"/>
          <w:spacing w:val="20"/>
          <w:sz w:val="24"/>
          <w:szCs w:val="24"/>
          <w:highlight w:val="none"/>
        </w:rPr>
      </w:pPr>
    </w:p>
    <w:p>
      <w:pPr>
        <w:snapToGrid w:val="0"/>
        <w:spacing w:before="50" w:after="50"/>
        <w:rPr>
          <w:rFonts w:ascii="宋体" w:hAnsi="宋体"/>
          <w:color w:val="auto"/>
          <w:spacing w:val="20"/>
          <w:sz w:val="24"/>
          <w:szCs w:val="24"/>
          <w:highlight w:val="none"/>
          <w:u w:val="single"/>
        </w:rPr>
      </w:pPr>
      <w:r>
        <w:rPr>
          <w:rFonts w:hint="eastAsia" w:ascii="宋体" w:hAnsi="宋体"/>
          <w:color w:val="auto"/>
          <w:spacing w:val="20"/>
          <w:sz w:val="24"/>
          <w:szCs w:val="24"/>
          <w:highlight w:val="none"/>
        </w:rPr>
        <w:t>投标人盖章：</w:t>
      </w:r>
      <w:r>
        <w:rPr>
          <w:rFonts w:ascii="宋体" w:hAnsi="宋体"/>
          <w:color w:val="auto"/>
          <w:spacing w:val="20"/>
          <w:sz w:val="24"/>
          <w:szCs w:val="24"/>
          <w:highlight w:val="none"/>
          <w:u w:val="single"/>
        </w:rPr>
        <w:t xml:space="preserve">               </w:t>
      </w:r>
      <w:r>
        <w:rPr>
          <w:rFonts w:ascii="宋体" w:hAnsi="宋体"/>
          <w:color w:val="auto"/>
          <w:spacing w:val="20"/>
          <w:sz w:val="24"/>
          <w:szCs w:val="24"/>
          <w:highlight w:val="none"/>
        </w:rPr>
        <w:t xml:space="preserve">           </w:t>
      </w:r>
      <w:r>
        <w:rPr>
          <w:rFonts w:hint="eastAsia" w:ascii="宋体" w:hAnsi="宋体"/>
          <w:color w:val="auto"/>
          <w:spacing w:val="20"/>
          <w:sz w:val="24"/>
          <w:szCs w:val="24"/>
          <w:highlight w:val="none"/>
        </w:rPr>
        <w:t>日</w:t>
      </w:r>
      <w:r>
        <w:rPr>
          <w:rFonts w:ascii="宋体" w:hAnsi="宋体"/>
          <w:color w:val="auto"/>
          <w:spacing w:val="20"/>
          <w:sz w:val="24"/>
          <w:szCs w:val="24"/>
          <w:highlight w:val="none"/>
        </w:rPr>
        <w:t xml:space="preserve">  </w:t>
      </w:r>
      <w:r>
        <w:rPr>
          <w:rFonts w:hint="eastAsia" w:ascii="宋体" w:hAnsi="宋体"/>
          <w:color w:val="auto"/>
          <w:spacing w:val="20"/>
          <w:sz w:val="24"/>
          <w:szCs w:val="24"/>
          <w:highlight w:val="none"/>
        </w:rPr>
        <w:t>期：</w:t>
      </w:r>
      <w:r>
        <w:rPr>
          <w:rFonts w:ascii="宋体" w:hAnsi="宋体"/>
          <w:color w:val="auto"/>
          <w:spacing w:val="20"/>
          <w:sz w:val="24"/>
          <w:szCs w:val="24"/>
          <w:highlight w:val="none"/>
          <w:u w:val="single"/>
        </w:rPr>
        <w:t xml:space="preserve">         </w:t>
      </w:r>
    </w:p>
    <w:p>
      <w:pPr>
        <w:pStyle w:val="6"/>
        <w:snapToGrid w:val="0"/>
        <w:spacing w:before="295" w:after="295"/>
        <w:ind w:firstLine="480" w:firstLineChars="200"/>
        <w:rPr>
          <w:rFonts w:hAnsi="宋体"/>
          <w:color w:val="auto"/>
          <w:sz w:val="24"/>
          <w:szCs w:val="24"/>
          <w:highlight w:val="none"/>
        </w:rPr>
      </w:pP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、以上报价包括项目实施所需的设计费、人工费、包装费、服务费、运输费、安装调试费、税费及其他一切费用。投标人也可以使用自行制作设计的投标报价明细表。</w:t>
      </w:r>
    </w:p>
    <w:p>
      <w:pPr>
        <w:snapToGrid w:val="0"/>
        <w:spacing w:before="50" w:after="50" w:line="4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2、以上单价必须是最终报价，与投标总价相对应，不允许在总价基础上再报优惠价。</w:t>
      </w:r>
    </w:p>
    <w:p>
      <w:pPr>
        <w:rPr>
          <w:rFonts w:ascii="宋体" w:hAnsi="宋体"/>
          <w:color w:val="auto"/>
          <w:highlight w:val="none"/>
        </w:rPr>
      </w:pPr>
    </w:p>
    <w:p>
      <w:pPr>
        <w:rPr>
          <w:rFonts w:ascii="宋体" w:hAnsi="宋体"/>
          <w:color w:val="auto"/>
          <w:highlight w:val="none"/>
        </w:rPr>
      </w:pPr>
    </w:p>
    <w:p>
      <w:pPr>
        <w:widowControl/>
        <w:jc w:val="left"/>
        <w:rPr>
          <w:rFonts w:ascii="宋体" w:hAnsi="宋体"/>
          <w:color w:val="auto"/>
          <w:highlight w:val="none"/>
        </w:rPr>
      </w:pPr>
      <w:r>
        <w:rPr>
          <w:rFonts w:ascii="宋体" w:hAnsi="宋体"/>
          <w:color w:val="auto"/>
          <w:highlight w:val="none"/>
        </w:rPr>
        <w:br w:type="page"/>
      </w:r>
    </w:p>
    <w:p>
      <w:pPr>
        <w:spacing w:line="360" w:lineRule="auto"/>
        <w:rPr>
          <w:rFonts w:ascii="宋体" w:hAnsi="宋体"/>
          <w:color w:val="auto"/>
          <w:sz w:val="24"/>
          <w:szCs w:val="24"/>
          <w:highlight w:val="none"/>
        </w:rPr>
      </w:pPr>
      <w:r>
        <w:rPr>
          <w:rFonts w:hint="eastAsia" w:ascii="宋体" w:hAnsi="宋体"/>
          <w:color w:val="auto"/>
          <w:sz w:val="24"/>
          <w:szCs w:val="24"/>
          <w:highlight w:val="none"/>
        </w:rPr>
        <w:t>附件七 技术规格偏离表格式</w:t>
      </w:r>
    </w:p>
    <w:p>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技术规格偏离表</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项目名称：</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招标编号：</w:t>
      </w:r>
      <w:r>
        <w:rPr>
          <w:rFonts w:ascii="宋体" w:hAnsi="宋体"/>
          <w:color w:val="auto"/>
          <w:sz w:val="24"/>
          <w:szCs w:val="24"/>
          <w:highlight w:val="none"/>
          <w:u w:val="single"/>
        </w:rPr>
        <w:t xml:space="preserve">         </w:t>
      </w:r>
    </w:p>
    <w:tbl>
      <w:tblPr>
        <w:tblStyle w:val="15"/>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250"/>
        <w:gridCol w:w="1440"/>
        <w:gridCol w:w="1980"/>
        <w:gridCol w:w="882"/>
        <w:gridCol w:w="163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225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招标文件条目号</w:t>
            </w:r>
          </w:p>
        </w:tc>
        <w:tc>
          <w:tcPr>
            <w:tcW w:w="144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招标要求</w:t>
            </w:r>
          </w:p>
        </w:tc>
        <w:tc>
          <w:tcPr>
            <w:tcW w:w="198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投标响应情况</w:t>
            </w:r>
          </w:p>
        </w:tc>
        <w:tc>
          <w:tcPr>
            <w:tcW w:w="882"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偏离</w:t>
            </w:r>
          </w:p>
        </w:tc>
        <w:tc>
          <w:tcPr>
            <w:tcW w:w="1638"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bl>
    <w:p>
      <w:pPr>
        <w:spacing w:line="360" w:lineRule="auto"/>
        <w:rPr>
          <w:rFonts w:ascii="宋体" w:hAnsi="宋体"/>
          <w:b/>
          <w:color w:val="auto"/>
          <w:sz w:val="24"/>
          <w:szCs w:val="24"/>
          <w:highlight w:val="none"/>
        </w:rPr>
      </w:pPr>
      <w:r>
        <w:rPr>
          <w:rFonts w:hint="eastAsia" w:ascii="宋体" w:hAnsi="宋体"/>
          <w:b/>
          <w:color w:val="auto"/>
          <w:sz w:val="24"/>
          <w:szCs w:val="24"/>
          <w:highlight w:val="none"/>
        </w:rPr>
        <w:t>备注：本表不填写或未填写的内容，视作完全响应招标文件的要求。</w:t>
      </w:r>
    </w:p>
    <w:p>
      <w:pPr>
        <w:adjustRightInd w:val="0"/>
        <w:snapToGrid w:val="0"/>
        <w:spacing w:line="360" w:lineRule="auto"/>
        <w:rPr>
          <w:rFonts w:ascii="宋体" w:hAnsi="宋体"/>
          <w:color w:val="auto"/>
          <w:sz w:val="24"/>
          <w:szCs w:val="24"/>
          <w:highlight w:val="none"/>
        </w:rPr>
      </w:pP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投标人：（盖章）       </w:t>
      </w: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法定代表人或授权代表人：（签字或盖章）</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日期：</w:t>
      </w:r>
    </w:p>
    <w:p>
      <w:pPr>
        <w:spacing w:line="360" w:lineRule="auto"/>
        <w:rPr>
          <w:rFonts w:ascii="宋体" w:hAnsi="宋体"/>
          <w:color w:val="auto"/>
          <w:sz w:val="24"/>
          <w:szCs w:val="24"/>
          <w:highlight w:val="none"/>
        </w:rPr>
      </w:pPr>
    </w:p>
    <w:p>
      <w:pPr>
        <w:spacing w:line="360" w:lineRule="auto"/>
        <w:rPr>
          <w:rFonts w:ascii="宋体" w:hAnsi="宋体"/>
          <w:color w:val="auto"/>
          <w:sz w:val="24"/>
          <w:szCs w:val="24"/>
          <w:highlight w:val="none"/>
        </w:rPr>
      </w:pPr>
      <w:r>
        <w:rPr>
          <w:rFonts w:ascii="宋体" w:hAnsi="宋体"/>
          <w:color w:val="auto"/>
          <w:sz w:val="24"/>
          <w:highlight w:val="none"/>
        </w:rPr>
        <w:br w:type="page"/>
      </w:r>
      <w:r>
        <w:rPr>
          <w:rFonts w:hint="eastAsia" w:ascii="宋体" w:hAnsi="宋体"/>
          <w:color w:val="auto"/>
          <w:sz w:val="24"/>
          <w:szCs w:val="24"/>
          <w:highlight w:val="none"/>
        </w:rPr>
        <w:t>附件八 商务条款偏离表</w:t>
      </w:r>
    </w:p>
    <w:p>
      <w:pPr>
        <w:spacing w:line="360" w:lineRule="auto"/>
        <w:rPr>
          <w:rFonts w:ascii="宋体" w:hAnsi="宋体"/>
          <w:b/>
          <w:color w:val="auto"/>
          <w:sz w:val="24"/>
          <w:szCs w:val="24"/>
          <w:highlight w:val="none"/>
        </w:rPr>
      </w:pPr>
    </w:p>
    <w:p>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商务条款偏离表</w:t>
      </w:r>
    </w:p>
    <w:p>
      <w:pPr>
        <w:spacing w:line="360" w:lineRule="auto"/>
        <w:rPr>
          <w:rFonts w:ascii="宋体" w:hAnsi="宋体"/>
          <w:color w:val="auto"/>
          <w:sz w:val="24"/>
          <w:szCs w:val="24"/>
          <w:highlight w:val="none"/>
        </w:rPr>
      </w:pPr>
    </w:p>
    <w:p>
      <w:pPr>
        <w:spacing w:line="360" w:lineRule="auto"/>
        <w:rPr>
          <w:rFonts w:ascii="宋体" w:hAnsi="宋体"/>
          <w:color w:val="auto"/>
          <w:sz w:val="24"/>
          <w:szCs w:val="24"/>
          <w:highlight w:val="none"/>
        </w:rPr>
      </w:pPr>
      <w:r>
        <w:rPr>
          <w:rFonts w:hint="eastAsia" w:ascii="宋体" w:hAnsi="宋体"/>
          <w:color w:val="auto"/>
          <w:sz w:val="24"/>
          <w:szCs w:val="24"/>
          <w:highlight w:val="none"/>
        </w:rPr>
        <w:t>项目名称：</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招标编号：</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p>
    <w:tbl>
      <w:tblPr>
        <w:tblStyle w:val="15"/>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250"/>
        <w:gridCol w:w="2160"/>
        <w:gridCol w:w="2730"/>
        <w:gridCol w:w="94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225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招标文件条目号</w:t>
            </w:r>
          </w:p>
        </w:tc>
        <w:tc>
          <w:tcPr>
            <w:tcW w:w="216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招标文件的商务条款</w:t>
            </w:r>
          </w:p>
        </w:tc>
        <w:tc>
          <w:tcPr>
            <w:tcW w:w="273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投标文件的商务条款</w:t>
            </w:r>
          </w:p>
        </w:tc>
        <w:tc>
          <w:tcPr>
            <w:tcW w:w="945"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bl>
    <w:p>
      <w:pPr>
        <w:spacing w:line="360" w:lineRule="auto"/>
        <w:rPr>
          <w:rFonts w:ascii="宋体" w:hAnsi="宋体"/>
          <w:b/>
          <w:color w:val="auto"/>
          <w:sz w:val="24"/>
          <w:szCs w:val="24"/>
          <w:highlight w:val="none"/>
        </w:rPr>
      </w:pPr>
      <w:r>
        <w:rPr>
          <w:rFonts w:hint="eastAsia" w:ascii="宋体" w:hAnsi="宋体"/>
          <w:b/>
          <w:color w:val="auto"/>
          <w:sz w:val="24"/>
          <w:szCs w:val="24"/>
          <w:highlight w:val="none"/>
        </w:rPr>
        <w:t>备注：本表不填写或未填写的内容，视作完全响应招标文件的要求。</w:t>
      </w:r>
    </w:p>
    <w:p>
      <w:pPr>
        <w:spacing w:line="360" w:lineRule="auto"/>
        <w:rPr>
          <w:rFonts w:ascii="宋体" w:hAnsi="宋体"/>
          <w:color w:val="auto"/>
          <w:sz w:val="24"/>
          <w:szCs w:val="24"/>
          <w:highlight w:val="none"/>
        </w:rPr>
      </w:pP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投标人：（盖章）       </w:t>
      </w: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法定代表人或授权代表人：（签字或盖章）</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日期：</w:t>
      </w:r>
    </w:p>
    <w:p>
      <w:pPr>
        <w:spacing w:line="360" w:lineRule="auto"/>
        <w:rPr>
          <w:rFonts w:ascii="宋体" w:hAnsi="宋体"/>
          <w:color w:val="auto"/>
          <w:sz w:val="24"/>
          <w:highlight w:val="none"/>
        </w:rPr>
      </w:pPr>
    </w:p>
    <w:p>
      <w:pPr>
        <w:pStyle w:val="2"/>
        <w:rPr>
          <w:rFonts w:ascii="宋体" w:hAnsi="宋体"/>
          <w:color w:val="auto"/>
          <w:sz w:val="24"/>
          <w:highlight w:val="none"/>
        </w:rPr>
      </w:pPr>
    </w:p>
    <w:p>
      <w:pPr>
        <w:rPr>
          <w:rFonts w:ascii="宋体" w:hAnsi="宋体"/>
          <w:color w:val="auto"/>
          <w:sz w:val="24"/>
          <w:highlight w:val="none"/>
        </w:rPr>
      </w:pPr>
    </w:p>
    <w:p>
      <w:pPr>
        <w:pStyle w:val="2"/>
        <w:rPr>
          <w:rFonts w:ascii="宋体" w:hAnsi="宋体"/>
          <w:color w:val="auto"/>
          <w:sz w:val="24"/>
          <w:highlight w:val="none"/>
        </w:rPr>
      </w:pPr>
    </w:p>
    <w:p>
      <w:pPr>
        <w:rPr>
          <w:rFonts w:ascii="宋体" w:hAnsi="宋体"/>
          <w:color w:val="auto"/>
          <w:sz w:val="24"/>
          <w:highlight w:val="none"/>
        </w:rPr>
      </w:pPr>
    </w:p>
    <w:p>
      <w:pPr>
        <w:pStyle w:val="2"/>
        <w:rPr>
          <w:rFonts w:ascii="宋体" w:hAnsi="宋体"/>
          <w:color w:val="auto"/>
          <w:sz w:val="24"/>
          <w:highlight w:val="none"/>
        </w:rPr>
      </w:pPr>
    </w:p>
    <w:p>
      <w:pPr>
        <w:rPr>
          <w:rFonts w:hint="eastAsia" w:ascii="宋体" w:hAnsi="宋体"/>
          <w:color w:val="auto"/>
          <w:sz w:val="24"/>
          <w:highlight w:val="none"/>
          <w:lang w:val="en-US" w:eastAsia="zh-CN"/>
        </w:rPr>
      </w:pPr>
      <w:r>
        <w:rPr>
          <w:rFonts w:hint="eastAsia" w:ascii="宋体" w:hAnsi="宋体"/>
          <w:color w:val="auto"/>
          <w:sz w:val="24"/>
          <w:highlight w:val="none"/>
          <w:lang w:val="en-US" w:eastAsia="zh-CN"/>
        </w:rPr>
        <w:t>附件九 售后服务方案</w:t>
      </w:r>
    </w:p>
    <w:p>
      <w:pPr>
        <w:pStyle w:val="2"/>
        <w:rPr>
          <w:rFonts w:hint="eastAsia"/>
          <w:lang w:val="en-US" w:eastAsia="zh-CN"/>
        </w:rPr>
      </w:pPr>
    </w:p>
    <w:p>
      <w:pPr>
        <w:spacing w:line="480" w:lineRule="auto"/>
        <w:ind w:firstLine="531" w:firstLineChars="147"/>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售后服务方案</w:t>
      </w:r>
    </w:p>
    <w:p>
      <w:pPr>
        <w:rPr>
          <w:rFonts w:hint="eastAsia" w:ascii="宋体" w:hAnsi="宋体" w:eastAsia="宋体" w:cs="宋体"/>
          <w:b/>
          <w:bCs/>
          <w:sz w:val="24"/>
          <w:highlight w:val="none"/>
        </w:rPr>
      </w:pPr>
    </w:p>
    <w:p>
      <w:pPr>
        <w:spacing w:line="480" w:lineRule="auto"/>
        <w:rPr>
          <w:rFonts w:hint="eastAsia" w:ascii="宋体" w:hAnsi="宋体" w:eastAsia="宋体" w:cs="宋体"/>
          <w:sz w:val="24"/>
          <w:highlight w:val="none"/>
        </w:rPr>
      </w:pPr>
    </w:p>
    <w:p>
      <w:pPr>
        <w:pStyle w:val="111"/>
        <w:rPr>
          <w:rFonts w:hint="eastAsia" w:ascii="宋体" w:hAnsi="宋体" w:eastAsia="宋体" w:cs="宋体"/>
          <w:sz w:val="24"/>
          <w:highlight w:val="none"/>
        </w:rPr>
      </w:pPr>
    </w:p>
    <w:p>
      <w:pPr>
        <w:pStyle w:val="111"/>
        <w:rPr>
          <w:rFonts w:hint="eastAsia" w:ascii="宋体" w:hAnsi="宋体" w:eastAsia="宋体" w:cs="宋体"/>
          <w:sz w:val="24"/>
          <w:highlight w:val="none"/>
        </w:rPr>
      </w:pPr>
    </w:p>
    <w:p>
      <w:pPr>
        <w:pStyle w:val="111"/>
        <w:rPr>
          <w:rFonts w:hint="eastAsia" w:ascii="宋体" w:hAnsi="宋体" w:eastAsia="宋体" w:cs="宋体"/>
          <w:sz w:val="24"/>
          <w:highlight w:val="none"/>
        </w:rPr>
      </w:pPr>
    </w:p>
    <w:p>
      <w:pPr>
        <w:pStyle w:val="111"/>
        <w:rPr>
          <w:rFonts w:hint="eastAsia" w:ascii="宋体" w:hAnsi="宋体" w:eastAsia="宋体" w:cs="宋体"/>
          <w:sz w:val="24"/>
          <w:highlight w:val="none"/>
        </w:rPr>
      </w:pPr>
    </w:p>
    <w:p>
      <w:pPr>
        <w:pStyle w:val="111"/>
        <w:rPr>
          <w:rFonts w:hint="eastAsia" w:ascii="宋体" w:hAnsi="宋体" w:eastAsia="宋体" w:cs="宋体"/>
          <w:sz w:val="24"/>
          <w:highlight w:val="none"/>
        </w:rPr>
      </w:pPr>
    </w:p>
    <w:p>
      <w:pPr>
        <w:pStyle w:val="111"/>
        <w:rPr>
          <w:rFonts w:hint="eastAsia" w:ascii="宋体" w:hAnsi="宋体" w:eastAsia="宋体" w:cs="宋体"/>
          <w:sz w:val="24"/>
          <w:highlight w:val="none"/>
        </w:rPr>
      </w:pPr>
    </w:p>
    <w:p>
      <w:pPr>
        <w:pStyle w:val="111"/>
        <w:rPr>
          <w:rFonts w:hint="eastAsia" w:ascii="宋体" w:hAnsi="宋体" w:eastAsia="宋体" w:cs="宋体"/>
          <w:sz w:val="24"/>
          <w:highlight w:val="none"/>
        </w:rPr>
      </w:pPr>
    </w:p>
    <w:p>
      <w:pPr>
        <w:pStyle w:val="111"/>
        <w:rPr>
          <w:rFonts w:hint="eastAsia" w:ascii="宋体" w:hAnsi="宋体" w:eastAsia="宋体" w:cs="宋体"/>
          <w:sz w:val="24"/>
          <w:highlight w:val="none"/>
        </w:rPr>
      </w:pPr>
    </w:p>
    <w:p>
      <w:pPr>
        <w:pStyle w:val="111"/>
        <w:rPr>
          <w:rFonts w:hint="eastAsia" w:ascii="宋体" w:hAnsi="宋体" w:eastAsia="宋体" w:cs="宋体"/>
          <w:sz w:val="24"/>
          <w:highlight w:val="none"/>
        </w:rPr>
      </w:pPr>
    </w:p>
    <w:p>
      <w:pPr>
        <w:pStyle w:val="111"/>
        <w:rPr>
          <w:rFonts w:hint="eastAsia" w:ascii="宋体" w:hAnsi="宋体" w:eastAsia="宋体" w:cs="宋体"/>
          <w:sz w:val="24"/>
          <w:highlight w:val="none"/>
        </w:rPr>
      </w:pPr>
    </w:p>
    <w:p>
      <w:pPr>
        <w:pStyle w:val="111"/>
        <w:rPr>
          <w:rFonts w:hint="eastAsia" w:ascii="宋体" w:hAnsi="宋体" w:eastAsia="宋体" w:cs="宋体"/>
          <w:sz w:val="24"/>
          <w:highlight w:val="none"/>
        </w:rPr>
      </w:pPr>
    </w:p>
    <w:p>
      <w:pPr>
        <w:pStyle w:val="111"/>
        <w:rPr>
          <w:rFonts w:hint="eastAsia" w:ascii="宋体" w:hAnsi="宋体" w:eastAsia="宋体" w:cs="宋体"/>
          <w:sz w:val="24"/>
          <w:highlight w:val="none"/>
        </w:rPr>
      </w:pPr>
    </w:p>
    <w:p>
      <w:pPr>
        <w:pStyle w:val="111"/>
        <w:rPr>
          <w:rFonts w:hint="eastAsia" w:ascii="宋体" w:hAnsi="宋体" w:eastAsia="宋体" w:cs="宋体"/>
          <w:sz w:val="24"/>
          <w:highlight w:val="none"/>
        </w:rPr>
      </w:pPr>
    </w:p>
    <w:p>
      <w:pPr>
        <w:pStyle w:val="111"/>
        <w:rPr>
          <w:rFonts w:hint="eastAsia" w:ascii="宋体" w:hAnsi="宋体" w:eastAsia="宋体" w:cs="宋体"/>
          <w:sz w:val="24"/>
          <w:highlight w:val="none"/>
        </w:rPr>
      </w:pPr>
    </w:p>
    <w:p>
      <w:pPr>
        <w:pStyle w:val="111"/>
        <w:rPr>
          <w:rFonts w:hint="eastAsia" w:ascii="宋体" w:hAnsi="宋体" w:eastAsia="宋体" w:cs="宋体"/>
          <w:sz w:val="24"/>
          <w:highlight w:val="none"/>
        </w:rPr>
      </w:pPr>
    </w:p>
    <w:p>
      <w:pPr>
        <w:pStyle w:val="111"/>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p>
      <w:pPr>
        <w:keepNext w:val="0"/>
        <w:keepLines w:val="0"/>
        <w:pageBreakBefore w:val="0"/>
        <w:kinsoku/>
        <w:wordWrap/>
        <w:overflowPunct/>
        <w:topLinePunct w:val="0"/>
        <w:autoSpaceDE/>
        <w:autoSpaceDN/>
        <w:bidi w:val="0"/>
        <w:adjustRightInd/>
        <w:snapToGrid/>
        <w:spacing w:line="360" w:lineRule="auto"/>
        <w:ind w:firstLine="4920" w:firstLineChars="20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w:t>
      </w:r>
      <w:r>
        <w:rPr>
          <w:rFonts w:hint="eastAsia" w:ascii="宋体" w:hAnsi="宋体" w:eastAsia="宋体" w:cs="宋体"/>
          <w:bCs/>
          <w:sz w:val="24"/>
          <w:szCs w:val="24"/>
          <w:highlight w:val="none"/>
          <w:lang w:eastAsia="zh-CN"/>
        </w:rPr>
        <w:t>电子签章</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pPr>
        <w:keepNext w:val="0"/>
        <w:keepLines w:val="0"/>
        <w:pageBreakBefore w:val="0"/>
        <w:kinsoku/>
        <w:wordWrap/>
        <w:overflowPunct/>
        <w:topLinePunct w:val="0"/>
        <w:autoSpaceDE/>
        <w:autoSpaceDN/>
        <w:bidi w:val="0"/>
        <w:adjustRightInd/>
        <w:snapToGrid/>
        <w:spacing w:line="360" w:lineRule="auto"/>
        <w:ind w:firstLine="6240" w:firstLineChars="26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xml:space="preserve">                 </w:t>
      </w:r>
    </w:p>
    <w:p>
      <w:pPr>
        <w:pStyle w:val="2"/>
        <w:rPr>
          <w:rFonts w:hint="default"/>
          <w:lang w:val="en-US" w:eastAsia="zh-CN"/>
        </w:rPr>
      </w:pPr>
    </w:p>
    <w:sectPr>
      <w:headerReference r:id="rId3" w:type="default"/>
      <w:footerReference r:id="rId4" w:type="default"/>
      <w:type w:val="continuous"/>
      <w:pgSz w:w="11906" w:h="16838"/>
      <w:pgMar w:top="1134" w:right="1247" w:bottom="1134" w:left="1247" w:header="567"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CgHHSqzgEAAJcDAAAOAAAAAAAAAAEAIAAAAB8BAABkcnMv&#10;ZTJvRG9jLnhtbFBLBQYAAAAABgAGAFkBAABf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6" w:space="0"/>
      </w:pBdr>
      <w:ind w:right="1422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D56FA0"/>
    <w:multiLevelType w:val="multilevel"/>
    <w:tmpl w:val="26D56FA0"/>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7B3B521E"/>
    <w:multiLevelType w:val="multilevel"/>
    <w:tmpl w:val="7B3B521E"/>
    <w:lvl w:ilvl="0" w:tentative="0">
      <w:start w:val="1"/>
      <w:numFmt w:val="japaneseCounting"/>
      <w:lvlText w:val="%1、"/>
      <w:lvlJc w:val="left"/>
      <w:pPr>
        <w:tabs>
          <w:tab w:val="left" w:pos="480"/>
        </w:tabs>
        <w:ind w:left="480" w:hanging="480"/>
      </w:pPr>
      <w:rPr>
        <w:rFonts w:hint="default"/>
      </w:rPr>
    </w:lvl>
    <w:lvl w:ilvl="1" w:tentative="0">
      <w:start w:val="2"/>
      <w:numFmt w:val="japaneseCounting"/>
      <w:lvlText w:val="第%2章、"/>
      <w:lvlJc w:val="left"/>
      <w:pPr>
        <w:tabs>
          <w:tab w:val="left" w:pos="1440"/>
        </w:tabs>
        <w:ind w:left="1440" w:hanging="1080"/>
      </w:pPr>
      <w:rPr>
        <w:rFonts w:hint="default"/>
        <w:b/>
        <w:color w:val="00000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iZmRmZTJlMDBmMjBjZjIxMjgyMzEyNmVmZjIyYjcifQ=="/>
  </w:docVars>
  <w:rsids>
    <w:rsidRoot w:val="00504228"/>
    <w:rsid w:val="00000FDD"/>
    <w:rsid w:val="0000408C"/>
    <w:rsid w:val="0001099C"/>
    <w:rsid w:val="0001345D"/>
    <w:rsid w:val="00013B60"/>
    <w:rsid w:val="000222D3"/>
    <w:rsid w:val="000235EF"/>
    <w:rsid w:val="00026CC8"/>
    <w:rsid w:val="00026F26"/>
    <w:rsid w:val="00031A31"/>
    <w:rsid w:val="00033FBA"/>
    <w:rsid w:val="00034DB8"/>
    <w:rsid w:val="000432ED"/>
    <w:rsid w:val="00044D2E"/>
    <w:rsid w:val="00046B10"/>
    <w:rsid w:val="00047C73"/>
    <w:rsid w:val="0005057F"/>
    <w:rsid w:val="000554BD"/>
    <w:rsid w:val="00055A5A"/>
    <w:rsid w:val="00055AE2"/>
    <w:rsid w:val="000575BE"/>
    <w:rsid w:val="00060069"/>
    <w:rsid w:val="00060B14"/>
    <w:rsid w:val="00062226"/>
    <w:rsid w:val="0006631C"/>
    <w:rsid w:val="00073453"/>
    <w:rsid w:val="0007417A"/>
    <w:rsid w:val="00074508"/>
    <w:rsid w:val="000747B8"/>
    <w:rsid w:val="000753F6"/>
    <w:rsid w:val="0007758F"/>
    <w:rsid w:val="0008259D"/>
    <w:rsid w:val="00083D64"/>
    <w:rsid w:val="00084610"/>
    <w:rsid w:val="00086CAA"/>
    <w:rsid w:val="000874D1"/>
    <w:rsid w:val="00090006"/>
    <w:rsid w:val="00091549"/>
    <w:rsid w:val="00094DEE"/>
    <w:rsid w:val="00096771"/>
    <w:rsid w:val="000A3965"/>
    <w:rsid w:val="000A62C2"/>
    <w:rsid w:val="000B0F2D"/>
    <w:rsid w:val="000B1B46"/>
    <w:rsid w:val="000B2173"/>
    <w:rsid w:val="000B55A0"/>
    <w:rsid w:val="000B6FF1"/>
    <w:rsid w:val="000C072A"/>
    <w:rsid w:val="000C328E"/>
    <w:rsid w:val="000C485C"/>
    <w:rsid w:val="000C61AC"/>
    <w:rsid w:val="000D1BCC"/>
    <w:rsid w:val="000D35AF"/>
    <w:rsid w:val="000D4989"/>
    <w:rsid w:val="000D6013"/>
    <w:rsid w:val="000D6E5D"/>
    <w:rsid w:val="000D71C1"/>
    <w:rsid w:val="000E349E"/>
    <w:rsid w:val="000E35D7"/>
    <w:rsid w:val="000E378F"/>
    <w:rsid w:val="000E5EA2"/>
    <w:rsid w:val="000E6EFC"/>
    <w:rsid w:val="000E6F4C"/>
    <w:rsid w:val="000F61AB"/>
    <w:rsid w:val="00100F1D"/>
    <w:rsid w:val="001050F9"/>
    <w:rsid w:val="00105FD5"/>
    <w:rsid w:val="00110D6E"/>
    <w:rsid w:val="001155BB"/>
    <w:rsid w:val="00115999"/>
    <w:rsid w:val="00123DF6"/>
    <w:rsid w:val="001300B2"/>
    <w:rsid w:val="0013066C"/>
    <w:rsid w:val="00132894"/>
    <w:rsid w:val="001335EB"/>
    <w:rsid w:val="00134F43"/>
    <w:rsid w:val="001358C6"/>
    <w:rsid w:val="0013797F"/>
    <w:rsid w:val="001427E4"/>
    <w:rsid w:val="00143659"/>
    <w:rsid w:val="00145F4C"/>
    <w:rsid w:val="001466F3"/>
    <w:rsid w:val="00147AAE"/>
    <w:rsid w:val="00147E50"/>
    <w:rsid w:val="001515EC"/>
    <w:rsid w:val="00152C64"/>
    <w:rsid w:val="00153BD1"/>
    <w:rsid w:val="00155C75"/>
    <w:rsid w:val="00156066"/>
    <w:rsid w:val="0015651D"/>
    <w:rsid w:val="00157C48"/>
    <w:rsid w:val="0016269C"/>
    <w:rsid w:val="001627FD"/>
    <w:rsid w:val="00163FB1"/>
    <w:rsid w:val="001666E7"/>
    <w:rsid w:val="00166916"/>
    <w:rsid w:val="0016758D"/>
    <w:rsid w:val="001704FB"/>
    <w:rsid w:val="00170BFA"/>
    <w:rsid w:val="001733B2"/>
    <w:rsid w:val="00176C0F"/>
    <w:rsid w:val="00185186"/>
    <w:rsid w:val="00185B10"/>
    <w:rsid w:val="0018617C"/>
    <w:rsid w:val="00190BB5"/>
    <w:rsid w:val="00191923"/>
    <w:rsid w:val="00192353"/>
    <w:rsid w:val="00192396"/>
    <w:rsid w:val="00192A91"/>
    <w:rsid w:val="0019795E"/>
    <w:rsid w:val="001A1019"/>
    <w:rsid w:val="001A15A9"/>
    <w:rsid w:val="001A537E"/>
    <w:rsid w:val="001A7C12"/>
    <w:rsid w:val="001B431F"/>
    <w:rsid w:val="001C2847"/>
    <w:rsid w:val="001C2D1F"/>
    <w:rsid w:val="001C36D7"/>
    <w:rsid w:val="001C4AF2"/>
    <w:rsid w:val="001C6075"/>
    <w:rsid w:val="001D4394"/>
    <w:rsid w:val="001D444B"/>
    <w:rsid w:val="001E12C5"/>
    <w:rsid w:val="001E73B5"/>
    <w:rsid w:val="001E79B1"/>
    <w:rsid w:val="001F23A9"/>
    <w:rsid w:val="001F3150"/>
    <w:rsid w:val="001F3405"/>
    <w:rsid w:val="001F3ED1"/>
    <w:rsid w:val="001F4220"/>
    <w:rsid w:val="00200C45"/>
    <w:rsid w:val="00201814"/>
    <w:rsid w:val="00201ABA"/>
    <w:rsid w:val="002044E0"/>
    <w:rsid w:val="0020489C"/>
    <w:rsid w:val="002052AA"/>
    <w:rsid w:val="002067D1"/>
    <w:rsid w:val="00207192"/>
    <w:rsid w:val="00210F39"/>
    <w:rsid w:val="002115F0"/>
    <w:rsid w:val="00213238"/>
    <w:rsid w:val="002146EC"/>
    <w:rsid w:val="0021496F"/>
    <w:rsid w:val="00216784"/>
    <w:rsid w:val="002207F6"/>
    <w:rsid w:val="00222010"/>
    <w:rsid w:val="0022475D"/>
    <w:rsid w:val="0023068F"/>
    <w:rsid w:val="00230B0C"/>
    <w:rsid w:val="00240EF9"/>
    <w:rsid w:val="00245765"/>
    <w:rsid w:val="00251CF5"/>
    <w:rsid w:val="002524A5"/>
    <w:rsid w:val="00252A0B"/>
    <w:rsid w:val="002537B6"/>
    <w:rsid w:val="002558C7"/>
    <w:rsid w:val="00257400"/>
    <w:rsid w:val="00273967"/>
    <w:rsid w:val="00275CCF"/>
    <w:rsid w:val="002766EE"/>
    <w:rsid w:val="00276C18"/>
    <w:rsid w:val="00276D54"/>
    <w:rsid w:val="00277FFC"/>
    <w:rsid w:val="002848A8"/>
    <w:rsid w:val="00284B87"/>
    <w:rsid w:val="00285220"/>
    <w:rsid w:val="00287C7F"/>
    <w:rsid w:val="002924F6"/>
    <w:rsid w:val="00294FBF"/>
    <w:rsid w:val="002964EF"/>
    <w:rsid w:val="002A187D"/>
    <w:rsid w:val="002A1BD1"/>
    <w:rsid w:val="002A3D24"/>
    <w:rsid w:val="002B148A"/>
    <w:rsid w:val="002B1703"/>
    <w:rsid w:val="002B346E"/>
    <w:rsid w:val="002B3775"/>
    <w:rsid w:val="002C1C3A"/>
    <w:rsid w:val="002C1C47"/>
    <w:rsid w:val="002C685F"/>
    <w:rsid w:val="002D1BD3"/>
    <w:rsid w:val="002D410B"/>
    <w:rsid w:val="002D7D0F"/>
    <w:rsid w:val="002E09A9"/>
    <w:rsid w:val="002E1D91"/>
    <w:rsid w:val="002E20E2"/>
    <w:rsid w:val="002E3D60"/>
    <w:rsid w:val="002E3EE7"/>
    <w:rsid w:val="002E40D2"/>
    <w:rsid w:val="002F0C11"/>
    <w:rsid w:val="002F1230"/>
    <w:rsid w:val="002F1DB1"/>
    <w:rsid w:val="002F24AB"/>
    <w:rsid w:val="002F4AA0"/>
    <w:rsid w:val="002F6841"/>
    <w:rsid w:val="002F6B3B"/>
    <w:rsid w:val="00304404"/>
    <w:rsid w:val="00304437"/>
    <w:rsid w:val="00310D45"/>
    <w:rsid w:val="00311D90"/>
    <w:rsid w:val="003125DF"/>
    <w:rsid w:val="00313385"/>
    <w:rsid w:val="00316D6B"/>
    <w:rsid w:val="00320504"/>
    <w:rsid w:val="0032742D"/>
    <w:rsid w:val="0032780F"/>
    <w:rsid w:val="00330147"/>
    <w:rsid w:val="00330342"/>
    <w:rsid w:val="00331A41"/>
    <w:rsid w:val="00332609"/>
    <w:rsid w:val="00333F65"/>
    <w:rsid w:val="003340C2"/>
    <w:rsid w:val="00334E07"/>
    <w:rsid w:val="003359CD"/>
    <w:rsid w:val="00335DCA"/>
    <w:rsid w:val="0035177E"/>
    <w:rsid w:val="00351BC9"/>
    <w:rsid w:val="00354843"/>
    <w:rsid w:val="00356118"/>
    <w:rsid w:val="0035692B"/>
    <w:rsid w:val="003574F8"/>
    <w:rsid w:val="00357B37"/>
    <w:rsid w:val="00357F5D"/>
    <w:rsid w:val="003627C2"/>
    <w:rsid w:val="003635EC"/>
    <w:rsid w:val="00377EFB"/>
    <w:rsid w:val="00384E7A"/>
    <w:rsid w:val="00385A71"/>
    <w:rsid w:val="0039133C"/>
    <w:rsid w:val="003A1521"/>
    <w:rsid w:val="003A6892"/>
    <w:rsid w:val="003A6A22"/>
    <w:rsid w:val="003B50A9"/>
    <w:rsid w:val="003B55CF"/>
    <w:rsid w:val="003B7BC0"/>
    <w:rsid w:val="003E0286"/>
    <w:rsid w:val="003E0FD0"/>
    <w:rsid w:val="003E1C1C"/>
    <w:rsid w:val="003E2448"/>
    <w:rsid w:val="003E26C9"/>
    <w:rsid w:val="003E384F"/>
    <w:rsid w:val="003E4F22"/>
    <w:rsid w:val="003F22BA"/>
    <w:rsid w:val="003F7158"/>
    <w:rsid w:val="00400758"/>
    <w:rsid w:val="004063FB"/>
    <w:rsid w:val="004079EE"/>
    <w:rsid w:val="00410784"/>
    <w:rsid w:val="0041214E"/>
    <w:rsid w:val="0041315B"/>
    <w:rsid w:val="00415002"/>
    <w:rsid w:val="0041550C"/>
    <w:rsid w:val="00417676"/>
    <w:rsid w:val="0043027E"/>
    <w:rsid w:val="004334C4"/>
    <w:rsid w:val="00433586"/>
    <w:rsid w:val="00433D27"/>
    <w:rsid w:val="00435007"/>
    <w:rsid w:val="00436559"/>
    <w:rsid w:val="00441645"/>
    <w:rsid w:val="00447370"/>
    <w:rsid w:val="0044784C"/>
    <w:rsid w:val="00451E75"/>
    <w:rsid w:val="00453042"/>
    <w:rsid w:val="004541A9"/>
    <w:rsid w:val="00454A97"/>
    <w:rsid w:val="00456492"/>
    <w:rsid w:val="00462FFD"/>
    <w:rsid w:val="0046340E"/>
    <w:rsid w:val="004645AE"/>
    <w:rsid w:val="004677DE"/>
    <w:rsid w:val="00483C7A"/>
    <w:rsid w:val="00486CA3"/>
    <w:rsid w:val="00490F3C"/>
    <w:rsid w:val="00491A6D"/>
    <w:rsid w:val="0049677F"/>
    <w:rsid w:val="004A3424"/>
    <w:rsid w:val="004A36F6"/>
    <w:rsid w:val="004A7539"/>
    <w:rsid w:val="004B0F09"/>
    <w:rsid w:val="004B181D"/>
    <w:rsid w:val="004B1AD1"/>
    <w:rsid w:val="004B2500"/>
    <w:rsid w:val="004B2F32"/>
    <w:rsid w:val="004B56F1"/>
    <w:rsid w:val="004C1FA1"/>
    <w:rsid w:val="004C335E"/>
    <w:rsid w:val="004C5738"/>
    <w:rsid w:val="004C6AD2"/>
    <w:rsid w:val="004C7DA9"/>
    <w:rsid w:val="004D0B4F"/>
    <w:rsid w:val="004D3015"/>
    <w:rsid w:val="004D3F16"/>
    <w:rsid w:val="004D4FAA"/>
    <w:rsid w:val="004D7E75"/>
    <w:rsid w:val="004E3FAE"/>
    <w:rsid w:val="004E507B"/>
    <w:rsid w:val="004E7BD5"/>
    <w:rsid w:val="004E7CFB"/>
    <w:rsid w:val="004F008F"/>
    <w:rsid w:val="004F1F83"/>
    <w:rsid w:val="004F3852"/>
    <w:rsid w:val="004F582D"/>
    <w:rsid w:val="004F6881"/>
    <w:rsid w:val="00500C09"/>
    <w:rsid w:val="00501295"/>
    <w:rsid w:val="00504228"/>
    <w:rsid w:val="005043E2"/>
    <w:rsid w:val="00504B95"/>
    <w:rsid w:val="00510001"/>
    <w:rsid w:val="00510AAF"/>
    <w:rsid w:val="00513228"/>
    <w:rsid w:val="00515131"/>
    <w:rsid w:val="00522A83"/>
    <w:rsid w:val="00525000"/>
    <w:rsid w:val="005254B2"/>
    <w:rsid w:val="00527FA4"/>
    <w:rsid w:val="00532953"/>
    <w:rsid w:val="005337ED"/>
    <w:rsid w:val="00537C17"/>
    <w:rsid w:val="00546F1A"/>
    <w:rsid w:val="005507F0"/>
    <w:rsid w:val="00553F90"/>
    <w:rsid w:val="00554C7C"/>
    <w:rsid w:val="005612C2"/>
    <w:rsid w:val="00562D93"/>
    <w:rsid w:val="00563963"/>
    <w:rsid w:val="00565034"/>
    <w:rsid w:val="005661D4"/>
    <w:rsid w:val="00566ABB"/>
    <w:rsid w:val="005670E9"/>
    <w:rsid w:val="00571B0D"/>
    <w:rsid w:val="005720F7"/>
    <w:rsid w:val="0057370A"/>
    <w:rsid w:val="0057558A"/>
    <w:rsid w:val="00584AC1"/>
    <w:rsid w:val="00585FFB"/>
    <w:rsid w:val="00591E6D"/>
    <w:rsid w:val="00596C06"/>
    <w:rsid w:val="005A2C2B"/>
    <w:rsid w:val="005A47ED"/>
    <w:rsid w:val="005B0AD8"/>
    <w:rsid w:val="005B390E"/>
    <w:rsid w:val="005B4396"/>
    <w:rsid w:val="005B632D"/>
    <w:rsid w:val="005C0090"/>
    <w:rsid w:val="005C07C7"/>
    <w:rsid w:val="005C39DA"/>
    <w:rsid w:val="005C4378"/>
    <w:rsid w:val="005C534F"/>
    <w:rsid w:val="005C5C77"/>
    <w:rsid w:val="005C6DDA"/>
    <w:rsid w:val="005D0EE5"/>
    <w:rsid w:val="005D27AF"/>
    <w:rsid w:val="005D32C6"/>
    <w:rsid w:val="005D6CB7"/>
    <w:rsid w:val="005E0EE6"/>
    <w:rsid w:val="005E2D68"/>
    <w:rsid w:val="005E7396"/>
    <w:rsid w:val="005F2E8A"/>
    <w:rsid w:val="005F714F"/>
    <w:rsid w:val="005F74CB"/>
    <w:rsid w:val="006035F5"/>
    <w:rsid w:val="00604C71"/>
    <w:rsid w:val="00612DEE"/>
    <w:rsid w:val="00617354"/>
    <w:rsid w:val="00622125"/>
    <w:rsid w:val="00624409"/>
    <w:rsid w:val="0062634E"/>
    <w:rsid w:val="00627A08"/>
    <w:rsid w:val="00630F4C"/>
    <w:rsid w:val="00631C2F"/>
    <w:rsid w:val="0063356B"/>
    <w:rsid w:val="00645F24"/>
    <w:rsid w:val="00652305"/>
    <w:rsid w:val="006527D0"/>
    <w:rsid w:val="0066063B"/>
    <w:rsid w:val="00663E6F"/>
    <w:rsid w:val="00665B3D"/>
    <w:rsid w:val="0066755F"/>
    <w:rsid w:val="0067762C"/>
    <w:rsid w:val="00681EEE"/>
    <w:rsid w:val="00683F9D"/>
    <w:rsid w:val="006848DC"/>
    <w:rsid w:val="006879E3"/>
    <w:rsid w:val="0069060B"/>
    <w:rsid w:val="00693818"/>
    <w:rsid w:val="00694C23"/>
    <w:rsid w:val="0069602E"/>
    <w:rsid w:val="006A16F4"/>
    <w:rsid w:val="006A57B3"/>
    <w:rsid w:val="006A6433"/>
    <w:rsid w:val="006B0940"/>
    <w:rsid w:val="006B171F"/>
    <w:rsid w:val="006B2773"/>
    <w:rsid w:val="006B5475"/>
    <w:rsid w:val="006B5F12"/>
    <w:rsid w:val="006B611D"/>
    <w:rsid w:val="006C281D"/>
    <w:rsid w:val="006C2FB7"/>
    <w:rsid w:val="006C3F54"/>
    <w:rsid w:val="006C57B1"/>
    <w:rsid w:val="006D2968"/>
    <w:rsid w:val="006D484F"/>
    <w:rsid w:val="006E0C1B"/>
    <w:rsid w:val="006E2BE7"/>
    <w:rsid w:val="006F2488"/>
    <w:rsid w:val="006F5627"/>
    <w:rsid w:val="006F6500"/>
    <w:rsid w:val="007047C6"/>
    <w:rsid w:val="0070669A"/>
    <w:rsid w:val="0071123D"/>
    <w:rsid w:val="00711667"/>
    <w:rsid w:val="0071354E"/>
    <w:rsid w:val="007157B8"/>
    <w:rsid w:val="00715E15"/>
    <w:rsid w:val="0072162A"/>
    <w:rsid w:val="00722582"/>
    <w:rsid w:val="007254DE"/>
    <w:rsid w:val="00725732"/>
    <w:rsid w:val="00726D15"/>
    <w:rsid w:val="00727BF4"/>
    <w:rsid w:val="00734426"/>
    <w:rsid w:val="007344A9"/>
    <w:rsid w:val="00736BBF"/>
    <w:rsid w:val="00737925"/>
    <w:rsid w:val="0074150D"/>
    <w:rsid w:val="00742B7C"/>
    <w:rsid w:val="0074510A"/>
    <w:rsid w:val="00756B16"/>
    <w:rsid w:val="00762838"/>
    <w:rsid w:val="00764C2C"/>
    <w:rsid w:val="00766C43"/>
    <w:rsid w:val="00767C4F"/>
    <w:rsid w:val="00770459"/>
    <w:rsid w:val="007719D3"/>
    <w:rsid w:val="007739F9"/>
    <w:rsid w:val="00776027"/>
    <w:rsid w:val="00777BB5"/>
    <w:rsid w:val="00780B7B"/>
    <w:rsid w:val="00782A19"/>
    <w:rsid w:val="00782B14"/>
    <w:rsid w:val="007845FF"/>
    <w:rsid w:val="00785208"/>
    <w:rsid w:val="00785222"/>
    <w:rsid w:val="007879DC"/>
    <w:rsid w:val="00791CA1"/>
    <w:rsid w:val="0079658B"/>
    <w:rsid w:val="00796FBA"/>
    <w:rsid w:val="007A0518"/>
    <w:rsid w:val="007A2DF5"/>
    <w:rsid w:val="007A49C3"/>
    <w:rsid w:val="007A4D37"/>
    <w:rsid w:val="007A5D68"/>
    <w:rsid w:val="007A6A4B"/>
    <w:rsid w:val="007B23A5"/>
    <w:rsid w:val="007B39A3"/>
    <w:rsid w:val="007B5DA6"/>
    <w:rsid w:val="007C09E8"/>
    <w:rsid w:val="007C4076"/>
    <w:rsid w:val="007C5748"/>
    <w:rsid w:val="007D1378"/>
    <w:rsid w:val="007D2540"/>
    <w:rsid w:val="007D5BAD"/>
    <w:rsid w:val="007D6D61"/>
    <w:rsid w:val="007D74FB"/>
    <w:rsid w:val="007E058F"/>
    <w:rsid w:val="007E206E"/>
    <w:rsid w:val="007E3813"/>
    <w:rsid w:val="007E76D3"/>
    <w:rsid w:val="0080231E"/>
    <w:rsid w:val="008042E0"/>
    <w:rsid w:val="0080539B"/>
    <w:rsid w:val="00806906"/>
    <w:rsid w:val="0081087F"/>
    <w:rsid w:val="00812A99"/>
    <w:rsid w:val="008148A7"/>
    <w:rsid w:val="00816DD4"/>
    <w:rsid w:val="00820688"/>
    <w:rsid w:val="00821741"/>
    <w:rsid w:val="00833FDD"/>
    <w:rsid w:val="008364F5"/>
    <w:rsid w:val="00836880"/>
    <w:rsid w:val="0083746C"/>
    <w:rsid w:val="008421C3"/>
    <w:rsid w:val="008454EC"/>
    <w:rsid w:val="00846030"/>
    <w:rsid w:val="00850CA6"/>
    <w:rsid w:val="008510C5"/>
    <w:rsid w:val="00862E1E"/>
    <w:rsid w:val="00864853"/>
    <w:rsid w:val="00864E68"/>
    <w:rsid w:val="00865AFE"/>
    <w:rsid w:val="00866D84"/>
    <w:rsid w:val="00867BE2"/>
    <w:rsid w:val="008712F5"/>
    <w:rsid w:val="008713BD"/>
    <w:rsid w:val="0087359E"/>
    <w:rsid w:val="008738D3"/>
    <w:rsid w:val="00875421"/>
    <w:rsid w:val="008849BE"/>
    <w:rsid w:val="00886957"/>
    <w:rsid w:val="00887737"/>
    <w:rsid w:val="008908C3"/>
    <w:rsid w:val="008937C5"/>
    <w:rsid w:val="008958F2"/>
    <w:rsid w:val="00896EBB"/>
    <w:rsid w:val="008975AD"/>
    <w:rsid w:val="008A240E"/>
    <w:rsid w:val="008A59A5"/>
    <w:rsid w:val="008B2CF4"/>
    <w:rsid w:val="008B479E"/>
    <w:rsid w:val="008B685A"/>
    <w:rsid w:val="008C19E1"/>
    <w:rsid w:val="008C6E2B"/>
    <w:rsid w:val="008D3C36"/>
    <w:rsid w:val="008D51F8"/>
    <w:rsid w:val="008D5C0F"/>
    <w:rsid w:val="008E07C9"/>
    <w:rsid w:val="008E0F79"/>
    <w:rsid w:val="008E2525"/>
    <w:rsid w:val="008E7321"/>
    <w:rsid w:val="008F22B0"/>
    <w:rsid w:val="008F53FE"/>
    <w:rsid w:val="008F7858"/>
    <w:rsid w:val="008F7D9F"/>
    <w:rsid w:val="009013FB"/>
    <w:rsid w:val="00902499"/>
    <w:rsid w:val="00902FBE"/>
    <w:rsid w:val="00904A30"/>
    <w:rsid w:val="00906B34"/>
    <w:rsid w:val="009147F8"/>
    <w:rsid w:val="00917BF0"/>
    <w:rsid w:val="00923DB8"/>
    <w:rsid w:val="009263FB"/>
    <w:rsid w:val="00933181"/>
    <w:rsid w:val="009372D2"/>
    <w:rsid w:val="00940727"/>
    <w:rsid w:val="00942565"/>
    <w:rsid w:val="009445FB"/>
    <w:rsid w:val="00944CD3"/>
    <w:rsid w:val="00947DF2"/>
    <w:rsid w:val="00951913"/>
    <w:rsid w:val="00952AFA"/>
    <w:rsid w:val="00953C31"/>
    <w:rsid w:val="0095439A"/>
    <w:rsid w:val="00955065"/>
    <w:rsid w:val="009610BB"/>
    <w:rsid w:val="00962F27"/>
    <w:rsid w:val="00972473"/>
    <w:rsid w:val="009724F3"/>
    <w:rsid w:val="00972BE2"/>
    <w:rsid w:val="009755A9"/>
    <w:rsid w:val="009816BC"/>
    <w:rsid w:val="0098170B"/>
    <w:rsid w:val="00983CD1"/>
    <w:rsid w:val="009A3932"/>
    <w:rsid w:val="009A3BE1"/>
    <w:rsid w:val="009A45FB"/>
    <w:rsid w:val="009A4A78"/>
    <w:rsid w:val="009B2570"/>
    <w:rsid w:val="009B3FF2"/>
    <w:rsid w:val="009B417B"/>
    <w:rsid w:val="009C1AA8"/>
    <w:rsid w:val="009D060E"/>
    <w:rsid w:val="009D1C9D"/>
    <w:rsid w:val="009D20AE"/>
    <w:rsid w:val="009D53FD"/>
    <w:rsid w:val="009E32BD"/>
    <w:rsid w:val="009E6657"/>
    <w:rsid w:val="009F362B"/>
    <w:rsid w:val="009F38D0"/>
    <w:rsid w:val="009F550D"/>
    <w:rsid w:val="009F6645"/>
    <w:rsid w:val="00A03903"/>
    <w:rsid w:val="00A10F67"/>
    <w:rsid w:val="00A16741"/>
    <w:rsid w:val="00A176A1"/>
    <w:rsid w:val="00A17B23"/>
    <w:rsid w:val="00A17D84"/>
    <w:rsid w:val="00A20161"/>
    <w:rsid w:val="00A310AD"/>
    <w:rsid w:val="00A32892"/>
    <w:rsid w:val="00A35D2E"/>
    <w:rsid w:val="00A40027"/>
    <w:rsid w:val="00A41AA0"/>
    <w:rsid w:val="00A439B7"/>
    <w:rsid w:val="00A44783"/>
    <w:rsid w:val="00A44B27"/>
    <w:rsid w:val="00A52BA9"/>
    <w:rsid w:val="00A55F4E"/>
    <w:rsid w:val="00A575B9"/>
    <w:rsid w:val="00A6494F"/>
    <w:rsid w:val="00A64E41"/>
    <w:rsid w:val="00A65CEC"/>
    <w:rsid w:val="00A66895"/>
    <w:rsid w:val="00A67B4E"/>
    <w:rsid w:val="00A72001"/>
    <w:rsid w:val="00A75232"/>
    <w:rsid w:val="00A7760A"/>
    <w:rsid w:val="00A7776E"/>
    <w:rsid w:val="00A82E39"/>
    <w:rsid w:val="00A863E3"/>
    <w:rsid w:val="00A866DA"/>
    <w:rsid w:val="00A87769"/>
    <w:rsid w:val="00A87D8A"/>
    <w:rsid w:val="00A93D32"/>
    <w:rsid w:val="00AA289B"/>
    <w:rsid w:val="00AA34B8"/>
    <w:rsid w:val="00AA37CA"/>
    <w:rsid w:val="00AA4A98"/>
    <w:rsid w:val="00AA4C1D"/>
    <w:rsid w:val="00AB527C"/>
    <w:rsid w:val="00AB5D50"/>
    <w:rsid w:val="00AB709F"/>
    <w:rsid w:val="00AC038C"/>
    <w:rsid w:val="00AC0461"/>
    <w:rsid w:val="00AD0103"/>
    <w:rsid w:val="00AD0313"/>
    <w:rsid w:val="00AD1055"/>
    <w:rsid w:val="00AD3ABF"/>
    <w:rsid w:val="00AD5A6A"/>
    <w:rsid w:val="00AD66C4"/>
    <w:rsid w:val="00AE1141"/>
    <w:rsid w:val="00AE17E2"/>
    <w:rsid w:val="00AE1A4F"/>
    <w:rsid w:val="00AE63DD"/>
    <w:rsid w:val="00AF1C7A"/>
    <w:rsid w:val="00AF5213"/>
    <w:rsid w:val="00AF5706"/>
    <w:rsid w:val="00AF6C0E"/>
    <w:rsid w:val="00AF6F0E"/>
    <w:rsid w:val="00B02C50"/>
    <w:rsid w:val="00B02D22"/>
    <w:rsid w:val="00B032E4"/>
    <w:rsid w:val="00B0476E"/>
    <w:rsid w:val="00B062CA"/>
    <w:rsid w:val="00B1253B"/>
    <w:rsid w:val="00B22042"/>
    <w:rsid w:val="00B224A9"/>
    <w:rsid w:val="00B239D3"/>
    <w:rsid w:val="00B2660E"/>
    <w:rsid w:val="00B2753B"/>
    <w:rsid w:val="00B3705B"/>
    <w:rsid w:val="00B41026"/>
    <w:rsid w:val="00B4301E"/>
    <w:rsid w:val="00B43659"/>
    <w:rsid w:val="00B45B95"/>
    <w:rsid w:val="00B511F5"/>
    <w:rsid w:val="00B55AD6"/>
    <w:rsid w:val="00B567CA"/>
    <w:rsid w:val="00B62B9F"/>
    <w:rsid w:val="00B63F90"/>
    <w:rsid w:val="00B64137"/>
    <w:rsid w:val="00B7428C"/>
    <w:rsid w:val="00B75EF4"/>
    <w:rsid w:val="00B85E4A"/>
    <w:rsid w:val="00B87E48"/>
    <w:rsid w:val="00B91EF6"/>
    <w:rsid w:val="00B92406"/>
    <w:rsid w:val="00B92FD5"/>
    <w:rsid w:val="00B93185"/>
    <w:rsid w:val="00B9389E"/>
    <w:rsid w:val="00B93CAA"/>
    <w:rsid w:val="00B94B93"/>
    <w:rsid w:val="00B95134"/>
    <w:rsid w:val="00BA2DD1"/>
    <w:rsid w:val="00BA2E17"/>
    <w:rsid w:val="00BA3E26"/>
    <w:rsid w:val="00BB53AA"/>
    <w:rsid w:val="00BB61B8"/>
    <w:rsid w:val="00BB697F"/>
    <w:rsid w:val="00BC0943"/>
    <w:rsid w:val="00BC129B"/>
    <w:rsid w:val="00BC4586"/>
    <w:rsid w:val="00BD05B5"/>
    <w:rsid w:val="00BD3A19"/>
    <w:rsid w:val="00BD4EB4"/>
    <w:rsid w:val="00BD57B8"/>
    <w:rsid w:val="00BE1346"/>
    <w:rsid w:val="00BE1CE2"/>
    <w:rsid w:val="00BE432E"/>
    <w:rsid w:val="00BE4BA6"/>
    <w:rsid w:val="00BE5A51"/>
    <w:rsid w:val="00BE71D6"/>
    <w:rsid w:val="00BF29C4"/>
    <w:rsid w:val="00BF3E93"/>
    <w:rsid w:val="00BF5997"/>
    <w:rsid w:val="00C015A9"/>
    <w:rsid w:val="00C01E5D"/>
    <w:rsid w:val="00C0546F"/>
    <w:rsid w:val="00C07CD4"/>
    <w:rsid w:val="00C12A81"/>
    <w:rsid w:val="00C16C0E"/>
    <w:rsid w:val="00C16C2C"/>
    <w:rsid w:val="00C20FF1"/>
    <w:rsid w:val="00C2367C"/>
    <w:rsid w:val="00C33692"/>
    <w:rsid w:val="00C35EE4"/>
    <w:rsid w:val="00C36408"/>
    <w:rsid w:val="00C40E45"/>
    <w:rsid w:val="00C41810"/>
    <w:rsid w:val="00C45471"/>
    <w:rsid w:val="00C479D1"/>
    <w:rsid w:val="00C52406"/>
    <w:rsid w:val="00C53AAB"/>
    <w:rsid w:val="00C53C9F"/>
    <w:rsid w:val="00C55239"/>
    <w:rsid w:val="00C56B66"/>
    <w:rsid w:val="00C577D2"/>
    <w:rsid w:val="00C673B6"/>
    <w:rsid w:val="00C71CD9"/>
    <w:rsid w:val="00C743D1"/>
    <w:rsid w:val="00C8219F"/>
    <w:rsid w:val="00C82644"/>
    <w:rsid w:val="00C82E74"/>
    <w:rsid w:val="00C84183"/>
    <w:rsid w:val="00C85188"/>
    <w:rsid w:val="00C87635"/>
    <w:rsid w:val="00C92761"/>
    <w:rsid w:val="00C92FE9"/>
    <w:rsid w:val="00C93AB8"/>
    <w:rsid w:val="00C94B57"/>
    <w:rsid w:val="00CA2044"/>
    <w:rsid w:val="00CA3899"/>
    <w:rsid w:val="00CA5C09"/>
    <w:rsid w:val="00CB04E3"/>
    <w:rsid w:val="00CB25C5"/>
    <w:rsid w:val="00CB2F0B"/>
    <w:rsid w:val="00CB626E"/>
    <w:rsid w:val="00CC09DC"/>
    <w:rsid w:val="00CC32D4"/>
    <w:rsid w:val="00CC733C"/>
    <w:rsid w:val="00CD0A48"/>
    <w:rsid w:val="00CD339A"/>
    <w:rsid w:val="00CD4012"/>
    <w:rsid w:val="00CD72D5"/>
    <w:rsid w:val="00CE0D21"/>
    <w:rsid w:val="00CE1D9F"/>
    <w:rsid w:val="00CE36B6"/>
    <w:rsid w:val="00CE59BF"/>
    <w:rsid w:val="00CE64A5"/>
    <w:rsid w:val="00CF14E0"/>
    <w:rsid w:val="00CF4BAC"/>
    <w:rsid w:val="00CF5FDE"/>
    <w:rsid w:val="00CF7FE2"/>
    <w:rsid w:val="00D01FA6"/>
    <w:rsid w:val="00D02AD4"/>
    <w:rsid w:val="00D04BEF"/>
    <w:rsid w:val="00D05E1D"/>
    <w:rsid w:val="00D06FD4"/>
    <w:rsid w:val="00D10C62"/>
    <w:rsid w:val="00D15DDE"/>
    <w:rsid w:val="00D16B58"/>
    <w:rsid w:val="00D20B25"/>
    <w:rsid w:val="00D20BF4"/>
    <w:rsid w:val="00D23036"/>
    <w:rsid w:val="00D26F89"/>
    <w:rsid w:val="00D30041"/>
    <w:rsid w:val="00D323EE"/>
    <w:rsid w:val="00D4106E"/>
    <w:rsid w:val="00D46072"/>
    <w:rsid w:val="00D51BE8"/>
    <w:rsid w:val="00D523CF"/>
    <w:rsid w:val="00D61620"/>
    <w:rsid w:val="00D62439"/>
    <w:rsid w:val="00D64BDA"/>
    <w:rsid w:val="00D65ABC"/>
    <w:rsid w:val="00D70255"/>
    <w:rsid w:val="00D708E8"/>
    <w:rsid w:val="00D70A94"/>
    <w:rsid w:val="00D71820"/>
    <w:rsid w:val="00D72184"/>
    <w:rsid w:val="00D724DA"/>
    <w:rsid w:val="00D73B07"/>
    <w:rsid w:val="00D74ACF"/>
    <w:rsid w:val="00D74E56"/>
    <w:rsid w:val="00D80DDE"/>
    <w:rsid w:val="00D827C0"/>
    <w:rsid w:val="00D841B2"/>
    <w:rsid w:val="00D86568"/>
    <w:rsid w:val="00D876ED"/>
    <w:rsid w:val="00D91946"/>
    <w:rsid w:val="00D927C3"/>
    <w:rsid w:val="00D9475F"/>
    <w:rsid w:val="00D973AA"/>
    <w:rsid w:val="00DA50F7"/>
    <w:rsid w:val="00DA5F1E"/>
    <w:rsid w:val="00DB05C2"/>
    <w:rsid w:val="00DB376F"/>
    <w:rsid w:val="00DC0F59"/>
    <w:rsid w:val="00DC2314"/>
    <w:rsid w:val="00DC7481"/>
    <w:rsid w:val="00DC75E4"/>
    <w:rsid w:val="00DD5600"/>
    <w:rsid w:val="00DD582F"/>
    <w:rsid w:val="00DD6B68"/>
    <w:rsid w:val="00DE046B"/>
    <w:rsid w:val="00DE0C54"/>
    <w:rsid w:val="00DE1F4F"/>
    <w:rsid w:val="00DE342E"/>
    <w:rsid w:val="00DE4BFD"/>
    <w:rsid w:val="00DF0470"/>
    <w:rsid w:val="00DF4917"/>
    <w:rsid w:val="00DF53BF"/>
    <w:rsid w:val="00DF6BFA"/>
    <w:rsid w:val="00E019A9"/>
    <w:rsid w:val="00E01EE7"/>
    <w:rsid w:val="00E032AA"/>
    <w:rsid w:val="00E04B7A"/>
    <w:rsid w:val="00E064CE"/>
    <w:rsid w:val="00E139BC"/>
    <w:rsid w:val="00E1681C"/>
    <w:rsid w:val="00E22903"/>
    <w:rsid w:val="00E23C4B"/>
    <w:rsid w:val="00E2400C"/>
    <w:rsid w:val="00E269E6"/>
    <w:rsid w:val="00E2744F"/>
    <w:rsid w:val="00E31D4F"/>
    <w:rsid w:val="00E31D83"/>
    <w:rsid w:val="00E32796"/>
    <w:rsid w:val="00E32C62"/>
    <w:rsid w:val="00E3428F"/>
    <w:rsid w:val="00E37DD5"/>
    <w:rsid w:val="00E4093F"/>
    <w:rsid w:val="00E41669"/>
    <w:rsid w:val="00E43D33"/>
    <w:rsid w:val="00E443DF"/>
    <w:rsid w:val="00E50C26"/>
    <w:rsid w:val="00E51AA6"/>
    <w:rsid w:val="00E54F9C"/>
    <w:rsid w:val="00E55E00"/>
    <w:rsid w:val="00E56D62"/>
    <w:rsid w:val="00E6134C"/>
    <w:rsid w:val="00E62268"/>
    <w:rsid w:val="00E63923"/>
    <w:rsid w:val="00E64DF9"/>
    <w:rsid w:val="00E67AF1"/>
    <w:rsid w:val="00E67E46"/>
    <w:rsid w:val="00E73981"/>
    <w:rsid w:val="00E74B0E"/>
    <w:rsid w:val="00E74EC5"/>
    <w:rsid w:val="00E909C4"/>
    <w:rsid w:val="00E95A6A"/>
    <w:rsid w:val="00EA059C"/>
    <w:rsid w:val="00EA0DAB"/>
    <w:rsid w:val="00EB02D8"/>
    <w:rsid w:val="00EB240A"/>
    <w:rsid w:val="00EB2638"/>
    <w:rsid w:val="00EB2AEF"/>
    <w:rsid w:val="00EB3979"/>
    <w:rsid w:val="00EB62CC"/>
    <w:rsid w:val="00EB6F5A"/>
    <w:rsid w:val="00EC3E53"/>
    <w:rsid w:val="00EC4927"/>
    <w:rsid w:val="00EC4B06"/>
    <w:rsid w:val="00ED08EF"/>
    <w:rsid w:val="00ED1514"/>
    <w:rsid w:val="00ED4423"/>
    <w:rsid w:val="00ED4BA1"/>
    <w:rsid w:val="00ED5C09"/>
    <w:rsid w:val="00ED7320"/>
    <w:rsid w:val="00ED7C14"/>
    <w:rsid w:val="00EE2153"/>
    <w:rsid w:val="00EE21C9"/>
    <w:rsid w:val="00EE3D21"/>
    <w:rsid w:val="00EE6C1E"/>
    <w:rsid w:val="00EF2504"/>
    <w:rsid w:val="00EF2580"/>
    <w:rsid w:val="00EF2B55"/>
    <w:rsid w:val="00EF3CAA"/>
    <w:rsid w:val="00EF4ECD"/>
    <w:rsid w:val="00F05EB2"/>
    <w:rsid w:val="00F05FBE"/>
    <w:rsid w:val="00F07DF7"/>
    <w:rsid w:val="00F13056"/>
    <w:rsid w:val="00F1628A"/>
    <w:rsid w:val="00F16EF0"/>
    <w:rsid w:val="00F23891"/>
    <w:rsid w:val="00F262CB"/>
    <w:rsid w:val="00F31F69"/>
    <w:rsid w:val="00F32164"/>
    <w:rsid w:val="00F35ED0"/>
    <w:rsid w:val="00F400A0"/>
    <w:rsid w:val="00F4064C"/>
    <w:rsid w:val="00F40DD2"/>
    <w:rsid w:val="00F4203F"/>
    <w:rsid w:val="00F45C1F"/>
    <w:rsid w:val="00F5160B"/>
    <w:rsid w:val="00F53185"/>
    <w:rsid w:val="00F53609"/>
    <w:rsid w:val="00F640B0"/>
    <w:rsid w:val="00F66388"/>
    <w:rsid w:val="00F67F7F"/>
    <w:rsid w:val="00F71C86"/>
    <w:rsid w:val="00F7215A"/>
    <w:rsid w:val="00F75492"/>
    <w:rsid w:val="00F77F0D"/>
    <w:rsid w:val="00F85B58"/>
    <w:rsid w:val="00F86E78"/>
    <w:rsid w:val="00F94211"/>
    <w:rsid w:val="00F978FE"/>
    <w:rsid w:val="00F97C04"/>
    <w:rsid w:val="00FA3304"/>
    <w:rsid w:val="00FB0839"/>
    <w:rsid w:val="00FB0CAB"/>
    <w:rsid w:val="00FB4C05"/>
    <w:rsid w:val="00FB6E7A"/>
    <w:rsid w:val="00FB77A3"/>
    <w:rsid w:val="00FC043D"/>
    <w:rsid w:val="00FC0793"/>
    <w:rsid w:val="00FD5551"/>
    <w:rsid w:val="00FD57C2"/>
    <w:rsid w:val="00FD6E22"/>
    <w:rsid w:val="00FE0B50"/>
    <w:rsid w:val="00FE21AF"/>
    <w:rsid w:val="00FE3830"/>
    <w:rsid w:val="00FE5C80"/>
    <w:rsid w:val="00FE7F29"/>
    <w:rsid w:val="00FF456C"/>
    <w:rsid w:val="00FF4C69"/>
    <w:rsid w:val="04AF1AD2"/>
    <w:rsid w:val="05104ACB"/>
    <w:rsid w:val="091B27E2"/>
    <w:rsid w:val="09C64ADE"/>
    <w:rsid w:val="0A4E5205"/>
    <w:rsid w:val="0DFB476E"/>
    <w:rsid w:val="12357DCC"/>
    <w:rsid w:val="129C0874"/>
    <w:rsid w:val="14B547A7"/>
    <w:rsid w:val="15747FCD"/>
    <w:rsid w:val="16165549"/>
    <w:rsid w:val="16C646E7"/>
    <w:rsid w:val="1B311381"/>
    <w:rsid w:val="1CBC2080"/>
    <w:rsid w:val="26510172"/>
    <w:rsid w:val="279D4225"/>
    <w:rsid w:val="283C5EAB"/>
    <w:rsid w:val="29313BA4"/>
    <w:rsid w:val="296E76E6"/>
    <w:rsid w:val="29D23E26"/>
    <w:rsid w:val="31874B63"/>
    <w:rsid w:val="374F4FE9"/>
    <w:rsid w:val="39B56F26"/>
    <w:rsid w:val="3D4101DE"/>
    <w:rsid w:val="449974D6"/>
    <w:rsid w:val="44A43596"/>
    <w:rsid w:val="49AD5280"/>
    <w:rsid w:val="4B1730BE"/>
    <w:rsid w:val="4B9559A6"/>
    <w:rsid w:val="4BD45B76"/>
    <w:rsid w:val="51013975"/>
    <w:rsid w:val="513650B0"/>
    <w:rsid w:val="514C11A1"/>
    <w:rsid w:val="532D4EA2"/>
    <w:rsid w:val="53CB2ED2"/>
    <w:rsid w:val="54224ABC"/>
    <w:rsid w:val="54A5345E"/>
    <w:rsid w:val="55AE4859"/>
    <w:rsid w:val="56873739"/>
    <w:rsid w:val="56FB1CEA"/>
    <w:rsid w:val="59146777"/>
    <w:rsid w:val="5B9503D3"/>
    <w:rsid w:val="5D64347F"/>
    <w:rsid w:val="5E9A1E1F"/>
    <w:rsid w:val="5E9F7435"/>
    <w:rsid w:val="5ED74A1A"/>
    <w:rsid w:val="60027E7D"/>
    <w:rsid w:val="61445380"/>
    <w:rsid w:val="61BB4A54"/>
    <w:rsid w:val="629A5E42"/>
    <w:rsid w:val="65426D6C"/>
    <w:rsid w:val="654F4FE5"/>
    <w:rsid w:val="661616F6"/>
    <w:rsid w:val="66711576"/>
    <w:rsid w:val="68BC32E6"/>
    <w:rsid w:val="6A256369"/>
    <w:rsid w:val="6AB9525A"/>
    <w:rsid w:val="6AE0505D"/>
    <w:rsid w:val="6B3C2221"/>
    <w:rsid w:val="6B8558BF"/>
    <w:rsid w:val="6D0C425A"/>
    <w:rsid w:val="72B56DCF"/>
    <w:rsid w:val="74790AA1"/>
    <w:rsid w:val="75F863D7"/>
    <w:rsid w:val="7E886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2"/>
    <w:basedOn w:val="1"/>
    <w:next w:val="1"/>
    <w:link w:val="107"/>
    <w:qFormat/>
    <w:uiPriority w:val="0"/>
    <w:pPr>
      <w:keepNext/>
      <w:keepLines/>
      <w:spacing w:before="260" w:after="260" w:line="416" w:lineRule="auto"/>
      <w:outlineLvl w:val="1"/>
    </w:pPr>
    <w:rPr>
      <w:rFonts w:ascii="Arial" w:hAnsi="Arial" w:eastAsia="黑体"/>
      <w:b/>
      <w:bCs/>
      <w:sz w:val="32"/>
      <w:szCs w:val="32"/>
    </w:rPr>
  </w:style>
  <w:style w:type="paragraph" w:styleId="2">
    <w:name w:val="heading 4"/>
    <w:basedOn w:val="1"/>
    <w:next w:val="1"/>
    <w:qFormat/>
    <w:uiPriority w:val="9"/>
    <w:pPr>
      <w:outlineLvl w:val="3"/>
    </w:pPr>
    <w:rPr>
      <w:b/>
      <w:iCs/>
      <w:sz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rFonts w:eastAsia="仿宋_GB2312"/>
      <w:sz w:val="32"/>
    </w:rPr>
  </w:style>
  <w:style w:type="paragraph" w:styleId="5">
    <w:name w:val="Body Text"/>
    <w:basedOn w:val="1"/>
    <w:next w:val="1"/>
    <w:link w:val="104"/>
    <w:semiHidden/>
    <w:unhideWhenUsed/>
    <w:qFormat/>
    <w:uiPriority w:val="99"/>
    <w:pPr>
      <w:spacing w:after="120"/>
    </w:pPr>
  </w:style>
  <w:style w:type="paragraph" w:styleId="6">
    <w:name w:val="Plain Text"/>
    <w:basedOn w:val="1"/>
    <w:next w:val="1"/>
    <w:link w:val="25"/>
    <w:unhideWhenUsed/>
    <w:qFormat/>
    <w:uiPriority w:val="0"/>
    <w:rPr>
      <w:rFonts w:ascii="宋体" w:hAnsi="Courier New" w:cs="Courier New"/>
      <w:szCs w:val="21"/>
    </w:rPr>
  </w:style>
  <w:style w:type="paragraph" w:styleId="7">
    <w:name w:val="Date"/>
    <w:basedOn w:val="1"/>
    <w:next w:val="1"/>
    <w:link w:val="30"/>
    <w:qFormat/>
    <w:uiPriority w:val="0"/>
    <w:pPr>
      <w:adjustRightInd w:val="0"/>
      <w:spacing w:line="312" w:lineRule="atLeast"/>
      <w:textAlignment w:val="baseline"/>
    </w:pPr>
    <w:rPr>
      <w:rFonts w:ascii="仿宋_GB2312" w:eastAsia="仿宋_GB2312"/>
      <w:kern w:val="0"/>
      <w:sz w:val="28"/>
    </w:rPr>
  </w:style>
  <w:style w:type="paragraph" w:styleId="8">
    <w:name w:val="Body Text Indent 2"/>
    <w:basedOn w:val="1"/>
    <w:link w:val="27"/>
    <w:semiHidden/>
    <w:qFormat/>
    <w:uiPriority w:val="0"/>
    <w:pPr>
      <w:adjustRightInd w:val="0"/>
      <w:snapToGrid w:val="0"/>
      <w:spacing w:line="500" w:lineRule="atLeast"/>
      <w:ind w:firstLine="552"/>
      <w:jc w:val="left"/>
      <w:textAlignment w:val="baseline"/>
    </w:pPr>
    <w:rPr>
      <w:rFonts w:ascii="仿宋_GB2312" w:eastAsia="仿宋_GB2312"/>
      <w:kern w:val="0"/>
      <w:sz w:val="28"/>
    </w:rPr>
  </w:style>
  <w:style w:type="paragraph" w:styleId="9">
    <w:name w:val="Balloon Text"/>
    <w:basedOn w:val="1"/>
    <w:link w:val="106"/>
    <w:semiHidden/>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2"/>
    <w:basedOn w:val="1"/>
    <w:link w:val="108"/>
    <w:qFormat/>
    <w:uiPriority w:val="0"/>
    <w:pPr>
      <w:spacing w:after="120" w:line="480" w:lineRule="auto"/>
    </w:pPr>
    <w:rPr>
      <w:szCs w:val="24"/>
    </w:rPr>
  </w:style>
  <w:style w:type="paragraph" w:styleId="13">
    <w:name w:val="HTML Preformatted"/>
    <w:basedOn w:val="1"/>
    <w:link w:val="24"/>
    <w:unhideWhenUsed/>
    <w:qFormat/>
    <w:uiPriority w:val="99"/>
    <w:rPr>
      <w:rFonts w:ascii="Courier New" w:hAnsi="Courier New" w:cs="Courier New" w:eastAsiaTheme="minorEastAsia"/>
      <w:szCs w:val="22"/>
    </w:rPr>
  </w:style>
  <w:style w:type="paragraph" w:styleId="14">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19"/>
      <w:szCs w:val="19"/>
    </w:rPr>
  </w:style>
  <w:style w:type="character" w:styleId="17">
    <w:name w:val="Strong"/>
    <w:basedOn w:val="16"/>
    <w:qFormat/>
    <w:uiPriority w:val="0"/>
    <w:rPr>
      <w:b/>
      <w:bCs/>
    </w:rPr>
  </w:style>
  <w:style w:type="character" w:styleId="18">
    <w:name w:val="page number"/>
    <w:basedOn w:val="16"/>
    <w:qFormat/>
    <w:uiPriority w:val="0"/>
  </w:style>
  <w:style w:type="character" w:styleId="19">
    <w:name w:val="FollowedHyperlink"/>
    <w:basedOn w:val="16"/>
    <w:semiHidden/>
    <w:unhideWhenUsed/>
    <w:qFormat/>
    <w:uiPriority w:val="99"/>
    <w:rPr>
      <w:color w:val="800080"/>
      <w:u w:val="single"/>
    </w:rPr>
  </w:style>
  <w:style w:type="character" w:styleId="20">
    <w:name w:val="Hyperlink"/>
    <w:basedOn w:val="16"/>
    <w:unhideWhenUsed/>
    <w:qFormat/>
    <w:uiPriority w:val="99"/>
    <w:rPr>
      <w:color w:val="0000FF"/>
      <w:u w:val="single"/>
    </w:rPr>
  </w:style>
  <w:style w:type="character" w:styleId="21">
    <w:name w:val="annotation reference"/>
    <w:basedOn w:val="16"/>
    <w:semiHidden/>
    <w:unhideWhenUsed/>
    <w:qFormat/>
    <w:uiPriority w:val="99"/>
    <w:rPr>
      <w:sz w:val="21"/>
      <w:szCs w:val="21"/>
    </w:rPr>
  </w:style>
  <w:style w:type="character" w:customStyle="1" w:styleId="22">
    <w:name w:val="页眉 Char"/>
    <w:basedOn w:val="16"/>
    <w:link w:val="11"/>
    <w:qFormat/>
    <w:uiPriority w:val="99"/>
    <w:rPr>
      <w:sz w:val="18"/>
      <w:szCs w:val="18"/>
    </w:rPr>
  </w:style>
  <w:style w:type="character" w:customStyle="1" w:styleId="23">
    <w:name w:val="页脚 Char"/>
    <w:basedOn w:val="16"/>
    <w:link w:val="10"/>
    <w:qFormat/>
    <w:uiPriority w:val="99"/>
    <w:rPr>
      <w:sz w:val="18"/>
      <w:szCs w:val="18"/>
    </w:rPr>
  </w:style>
  <w:style w:type="character" w:customStyle="1" w:styleId="24">
    <w:name w:val="HTML 预设格式 Char"/>
    <w:link w:val="13"/>
    <w:qFormat/>
    <w:uiPriority w:val="99"/>
    <w:rPr>
      <w:rFonts w:ascii="Courier New" w:hAnsi="Courier New" w:cs="Courier New"/>
    </w:rPr>
  </w:style>
  <w:style w:type="character" w:customStyle="1" w:styleId="25">
    <w:name w:val="纯文本 Char"/>
    <w:basedOn w:val="16"/>
    <w:link w:val="6"/>
    <w:qFormat/>
    <w:uiPriority w:val="6"/>
    <w:rPr>
      <w:rFonts w:ascii="宋体" w:hAnsi="Courier New" w:eastAsia="宋体" w:cs="Courier New"/>
      <w:szCs w:val="21"/>
    </w:rPr>
  </w:style>
  <w:style w:type="character" w:customStyle="1" w:styleId="26">
    <w:name w:val="HTML 预设格式 Char1"/>
    <w:basedOn w:val="16"/>
    <w:semiHidden/>
    <w:qFormat/>
    <w:uiPriority w:val="99"/>
    <w:rPr>
      <w:rFonts w:ascii="Courier New" w:hAnsi="Courier New" w:eastAsia="宋体" w:cs="Courier New"/>
      <w:sz w:val="20"/>
      <w:szCs w:val="20"/>
    </w:rPr>
  </w:style>
  <w:style w:type="character" w:customStyle="1" w:styleId="27">
    <w:name w:val="正文文本缩进 2 Char"/>
    <w:basedOn w:val="16"/>
    <w:link w:val="8"/>
    <w:semiHidden/>
    <w:qFormat/>
    <w:uiPriority w:val="0"/>
    <w:rPr>
      <w:rFonts w:ascii="仿宋_GB2312" w:hAnsi="Times New Roman" w:eastAsia="仿宋_GB2312" w:cs="Times New Roman"/>
      <w:kern w:val="0"/>
      <w:sz w:val="28"/>
      <w:szCs w:val="20"/>
    </w:rPr>
  </w:style>
  <w:style w:type="paragraph" w:styleId="28">
    <w:name w:val="List Paragraph"/>
    <w:basedOn w:val="1"/>
    <w:qFormat/>
    <w:uiPriority w:val="34"/>
    <w:pPr>
      <w:ind w:firstLine="420" w:firstLineChars="200"/>
    </w:pPr>
  </w:style>
  <w:style w:type="character" w:customStyle="1" w:styleId="29">
    <w:name w:val="tpc_content1"/>
    <w:basedOn w:val="16"/>
    <w:qFormat/>
    <w:uiPriority w:val="0"/>
    <w:rPr>
      <w:sz w:val="20"/>
      <w:szCs w:val="20"/>
    </w:rPr>
  </w:style>
  <w:style w:type="character" w:customStyle="1" w:styleId="30">
    <w:name w:val="日期 Char"/>
    <w:basedOn w:val="16"/>
    <w:link w:val="7"/>
    <w:semiHidden/>
    <w:qFormat/>
    <w:uiPriority w:val="0"/>
    <w:rPr>
      <w:rFonts w:ascii="仿宋_GB2312" w:hAnsi="Times New Roman" w:eastAsia="仿宋_GB2312" w:cs="Times New Roman"/>
      <w:kern w:val="0"/>
      <w:sz w:val="28"/>
      <w:szCs w:val="20"/>
    </w:rPr>
  </w:style>
  <w:style w:type="paragraph" w:customStyle="1" w:styleId="3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
    <w:name w:val="font7"/>
    <w:basedOn w:val="1"/>
    <w:qFormat/>
    <w:uiPriority w:val="0"/>
    <w:pPr>
      <w:widowControl/>
      <w:spacing w:before="100" w:beforeAutospacing="1" w:after="100" w:afterAutospacing="1"/>
      <w:jc w:val="left"/>
    </w:pPr>
    <w:rPr>
      <w:color w:val="000000"/>
      <w:kern w:val="0"/>
      <w:sz w:val="24"/>
      <w:szCs w:val="24"/>
    </w:rPr>
  </w:style>
  <w:style w:type="paragraph" w:customStyle="1" w:styleId="34">
    <w:name w:val="font8"/>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35">
    <w:name w:val="font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6">
    <w:name w:val="font10"/>
    <w:basedOn w:val="1"/>
    <w:qFormat/>
    <w:uiPriority w:val="0"/>
    <w:pPr>
      <w:widowControl/>
      <w:spacing w:before="100" w:beforeAutospacing="1" w:after="100" w:afterAutospacing="1"/>
      <w:jc w:val="left"/>
    </w:pPr>
    <w:rPr>
      <w:kern w:val="0"/>
      <w:sz w:val="24"/>
      <w:szCs w:val="24"/>
    </w:rPr>
  </w:style>
  <w:style w:type="paragraph" w:customStyle="1" w:styleId="3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8">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4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4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bottom"/>
    </w:pPr>
    <w:rPr>
      <w:rFonts w:ascii="宋体" w:hAnsi="宋体" w:cs="宋体"/>
      <w:kern w:val="0"/>
      <w:sz w:val="24"/>
      <w:szCs w:val="24"/>
    </w:rPr>
  </w:style>
  <w:style w:type="paragraph" w:customStyle="1" w:styleId="4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50">
    <w:name w:val="xl7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2">
    <w:name w:val="xl79"/>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5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5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5">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5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7">
    <w:name w:val="xl84"/>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58">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59">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60">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6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65">
    <w:name w:val="xl92"/>
    <w:basedOn w:val="1"/>
    <w:qFormat/>
    <w:uiPriority w:val="0"/>
    <w:pPr>
      <w:widowControl/>
      <w:spacing w:before="100" w:beforeAutospacing="1" w:after="100" w:afterAutospacing="1"/>
      <w:jc w:val="left"/>
      <w:textAlignment w:val="bottom"/>
    </w:pPr>
    <w:rPr>
      <w:kern w:val="0"/>
      <w:sz w:val="24"/>
      <w:szCs w:val="24"/>
    </w:rPr>
  </w:style>
  <w:style w:type="paragraph" w:customStyle="1" w:styleId="6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8">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9">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0">
    <w:name w:val="xl9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71">
    <w:name w:val="xl9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2">
    <w:name w:val="xl9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3">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4">
    <w:name w:val="xl10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kern w:val="0"/>
      <w:sz w:val="24"/>
      <w:szCs w:val="24"/>
    </w:rPr>
  </w:style>
  <w:style w:type="paragraph" w:customStyle="1" w:styleId="7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76">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77">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78">
    <w:name w:val="xl105"/>
    <w:basedOn w:val="1"/>
    <w:qFormat/>
    <w:uiPriority w:val="0"/>
    <w:pPr>
      <w:widowControl/>
      <w:pBdr>
        <w:left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79">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0">
    <w:name w:val="xl10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1">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83">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4">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85">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6">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87">
    <w:name w:val="xl11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8">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9">
    <w:name w:val="xl11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90">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91">
    <w:name w:val="xl11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92">
    <w:name w:val="xl11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93">
    <w:name w:val="xl12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4">
    <w:name w:val="xl12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5">
    <w:name w:val="xl122"/>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6">
    <w:name w:val="xl12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Calibri" w:hAnsi="Calibri" w:cs="Calibri"/>
      <w:kern w:val="0"/>
      <w:szCs w:val="21"/>
    </w:rPr>
  </w:style>
  <w:style w:type="paragraph" w:customStyle="1" w:styleId="98">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cs="Calibri"/>
      <w:kern w:val="0"/>
      <w:szCs w:val="21"/>
    </w:rPr>
  </w:style>
  <w:style w:type="paragraph" w:customStyle="1" w:styleId="99">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00">
    <w:name w:val="xl127"/>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01">
    <w:name w:val="xl1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character" w:customStyle="1" w:styleId="102">
    <w:name w:val="纯文本 Char1"/>
    <w:qFormat/>
    <w:uiPriority w:val="0"/>
    <w:rPr>
      <w:rFonts w:ascii="宋体" w:hAnsi="Courier New" w:eastAsia="宋体"/>
      <w:kern w:val="2"/>
      <w:sz w:val="24"/>
      <w:szCs w:val="24"/>
      <w:lang w:val="en-US" w:eastAsia="zh-CN" w:bidi="ar-SA"/>
    </w:rPr>
  </w:style>
  <w:style w:type="paragraph" w:customStyle="1" w:styleId="103">
    <w:name w:val="表内文字"/>
    <w:basedOn w:val="1"/>
    <w:qFormat/>
    <w:uiPriority w:val="0"/>
    <w:pPr>
      <w:tabs>
        <w:tab w:val="left" w:pos="1418"/>
      </w:tabs>
      <w:spacing w:line="360" w:lineRule="auto"/>
      <w:jc w:val="center"/>
    </w:pPr>
    <w:rPr>
      <w:rFonts w:ascii="仿宋_GB2312" w:eastAsia="仿宋_GB2312"/>
      <w:spacing w:val="-20"/>
      <w:kern w:val="0"/>
      <w:sz w:val="24"/>
      <w:szCs w:val="24"/>
    </w:rPr>
  </w:style>
  <w:style w:type="character" w:customStyle="1" w:styleId="104">
    <w:name w:val="正文文本 Char"/>
    <w:basedOn w:val="16"/>
    <w:link w:val="5"/>
    <w:semiHidden/>
    <w:qFormat/>
    <w:uiPriority w:val="99"/>
    <w:rPr>
      <w:rFonts w:ascii="Times New Roman" w:hAnsi="Times New Roman" w:eastAsia="宋体" w:cs="Times New Roman"/>
      <w:szCs w:val="20"/>
    </w:rPr>
  </w:style>
  <w:style w:type="paragraph" w:customStyle="1" w:styleId="105">
    <w:name w:val="默认段落字体 Para Char Char Char Char Char Char Char Char Char1 Char Char Char Char"/>
    <w:basedOn w:val="1"/>
    <w:qFormat/>
    <w:uiPriority w:val="0"/>
    <w:rPr>
      <w:rFonts w:ascii="Tahoma" w:hAnsi="Tahoma"/>
      <w:sz w:val="24"/>
    </w:rPr>
  </w:style>
  <w:style w:type="character" w:customStyle="1" w:styleId="106">
    <w:name w:val="批注框文本 Char"/>
    <w:basedOn w:val="16"/>
    <w:link w:val="9"/>
    <w:semiHidden/>
    <w:qFormat/>
    <w:uiPriority w:val="99"/>
    <w:rPr>
      <w:rFonts w:ascii="Times New Roman" w:hAnsi="Times New Roman" w:eastAsia="宋体" w:cs="Times New Roman"/>
      <w:sz w:val="18"/>
      <w:szCs w:val="18"/>
    </w:rPr>
  </w:style>
  <w:style w:type="character" w:customStyle="1" w:styleId="107">
    <w:name w:val="标题 2 Char"/>
    <w:basedOn w:val="16"/>
    <w:link w:val="3"/>
    <w:qFormat/>
    <w:uiPriority w:val="0"/>
    <w:rPr>
      <w:rFonts w:ascii="Arial" w:hAnsi="Arial" w:eastAsia="黑体" w:cs="Times New Roman"/>
      <w:b/>
      <w:bCs/>
      <w:sz w:val="32"/>
      <w:szCs w:val="32"/>
    </w:rPr>
  </w:style>
  <w:style w:type="character" w:customStyle="1" w:styleId="108">
    <w:name w:val="正文文本 2 Char"/>
    <w:basedOn w:val="16"/>
    <w:link w:val="12"/>
    <w:qFormat/>
    <w:uiPriority w:val="0"/>
    <w:rPr>
      <w:rFonts w:ascii="Times New Roman" w:hAnsi="Times New Roman" w:eastAsia="宋体" w:cs="Times New Roman"/>
      <w:szCs w:val="24"/>
    </w:rPr>
  </w:style>
  <w:style w:type="character" w:customStyle="1" w:styleId="109">
    <w:name w:val="纯文本 Char2"/>
    <w:qFormat/>
    <w:uiPriority w:val="99"/>
    <w:rPr>
      <w:rFonts w:ascii="宋体" w:hAnsi="Courier New" w:eastAsia="宋体"/>
      <w:kern w:val="2"/>
      <w:sz w:val="21"/>
      <w:lang w:val="en-US" w:eastAsia="zh-CN" w:bidi="ar-SA"/>
    </w:rPr>
  </w:style>
  <w:style w:type="character" w:customStyle="1" w:styleId="110">
    <w:name w:val="NormalCharacter"/>
    <w:qFormat/>
    <w:uiPriority w:val="0"/>
  </w:style>
  <w:style w:type="paragraph" w:customStyle="1" w:styleId="111">
    <w:name w:val="正文（首行缩进2字符）"/>
    <w:basedOn w:val="1"/>
    <w:qFormat/>
    <w:uiPriority w:val="0"/>
    <w:pPr>
      <w:spacing w:line="360" w:lineRule="auto"/>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A98A48-A53D-45CC-958F-ACEF2E58899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26</Pages>
  <Words>13711</Words>
  <Characters>14897</Characters>
  <Lines>91</Lines>
  <Paragraphs>25</Paragraphs>
  <TotalTime>257</TotalTime>
  <ScaleCrop>false</ScaleCrop>
  <LinksUpToDate>false</LinksUpToDate>
  <CharactersWithSpaces>16204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2014-10-30T02:25:00Z</dcterms:created>
  <dc:creator>lenovo</dc:creator>
  <cp:lastModifiedBy>寥寥路光</cp:lastModifiedBy>
  <cp:lastPrinted>2015-07-08T07:44:00Z</cp:lastPrinted>
  <dcterms:modified xsi:type="dcterms:W3CDTF">2023-06-29T06:31:52Z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0B2C59B50B294272895949D62003B34B</vt:lpwstr>
  </property>
</Properties>
</file>