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2"/>
          <w:szCs w:val="32"/>
          <w:highlight w:val="none"/>
        </w:rPr>
      </w:pPr>
    </w:p>
    <w:p>
      <w:pPr>
        <w:jc w:val="center"/>
        <w:rPr>
          <w:rFonts w:ascii="宋体" w:hAnsi="宋体"/>
          <w:b/>
          <w:color w:val="auto"/>
          <w:sz w:val="36"/>
          <w:szCs w:val="36"/>
          <w:highlight w:val="none"/>
        </w:rPr>
      </w:pPr>
      <w:r>
        <w:rPr>
          <w:rFonts w:hint="eastAsia" w:ascii="宋体" w:hAnsi="宋体"/>
          <w:b/>
          <w:color w:val="auto"/>
          <w:sz w:val="36"/>
          <w:szCs w:val="36"/>
          <w:highlight w:val="none"/>
        </w:rPr>
        <w:t>浙江大学</w:t>
      </w:r>
      <w:r>
        <w:rPr>
          <w:rFonts w:hint="eastAsia" w:ascii="宋体" w:hAnsi="宋体"/>
          <w:b/>
          <w:color w:val="auto"/>
          <w:sz w:val="36"/>
          <w:szCs w:val="36"/>
          <w:highlight w:val="none"/>
          <w:lang w:val="en-US" w:eastAsia="zh-CN"/>
        </w:rPr>
        <w:t>国际健康医学研究院会议平板</w:t>
      </w:r>
      <w:r>
        <w:rPr>
          <w:rFonts w:hint="eastAsia" w:ascii="宋体" w:hAnsi="宋体"/>
          <w:b/>
          <w:color w:val="auto"/>
          <w:sz w:val="36"/>
          <w:szCs w:val="36"/>
          <w:highlight w:val="none"/>
        </w:rPr>
        <w:t>招标文件</w:t>
      </w:r>
    </w:p>
    <w:p>
      <w:pPr>
        <w:autoSpaceDE w:val="0"/>
        <w:autoSpaceDN w:val="0"/>
        <w:adjustRightInd w:val="0"/>
        <w:spacing w:line="360" w:lineRule="auto"/>
        <w:jc w:val="center"/>
        <w:rPr>
          <w:rFonts w:ascii="宋体" w:hAnsi="宋体"/>
          <w:b/>
          <w:bCs/>
          <w:color w:val="auto"/>
          <w:sz w:val="30"/>
          <w:szCs w:val="30"/>
          <w:highlight w:val="none"/>
          <w:lang w:val="zh-CN"/>
        </w:rPr>
      </w:pPr>
      <w:r>
        <w:rPr>
          <w:rFonts w:hint="eastAsia" w:ascii="宋体" w:hAnsi="宋体"/>
          <w:b/>
          <w:bCs/>
          <w:color w:val="auto"/>
          <w:sz w:val="30"/>
          <w:szCs w:val="30"/>
          <w:highlight w:val="none"/>
          <w:lang w:val="zh-CN"/>
        </w:rPr>
        <w:t>第一章 招标公告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根据浙江大学</w:t>
      </w:r>
      <w:r>
        <w:rPr>
          <w:rFonts w:hint="eastAsia" w:ascii="宋体" w:hAnsi="宋体"/>
          <w:color w:val="auto"/>
          <w:sz w:val="24"/>
          <w:highlight w:val="none"/>
          <w:lang w:val="en-US" w:eastAsia="zh-CN"/>
        </w:rPr>
        <w:t>国际健康医学研究院</w:t>
      </w:r>
      <w:r>
        <w:rPr>
          <w:rFonts w:hint="eastAsia" w:ascii="宋体" w:hAnsi="宋体"/>
          <w:color w:val="auto"/>
          <w:sz w:val="24"/>
          <w:highlight w:val="none"/>
        </w:rPr>
        <w:t>采购要求, 对我院</w:t>
      </w:r>
      <w:r>
        <w:rPr>
          <w:rFonts w:hint="eastAsia" w:ascii="宋体" w:hAnsi="宋体"/>
          <w:color w:val="auto"/>
          <w:sz w:val="24"/>
          <w:highlight w:val="none"/>
          <w:lang w:val="en-US" w:eastAsia="zh-CN"/>
        </w:rPr>
        <w:t>会议平板</w:t>
      </w:r>
      <w:r>
        <w:rPr>
          <w:rFonts w:hint="eastAsia" w:ascii="宋体" w:hAnsi="宋体"/>
          <w:color w:val="auto"/>
          <w:sz w:val="24"/>
          <w:highlight w:val="none"/>
        </w:rPr>
        <w:t>进行公开的招标采购。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lang w:val="en-US" w:eastAsia="zh-CN"/>
        </w:rPr>
        <w:t>ZDYJYYN20230706-1</w:t>
      </w:r>
      <w:r>
        <w:rPr>
          <w:rFonts w:hint="eastAsia" w:ascii="宋体" w:hAnsi="宋体"/>
          <w:color w:val="auto"/>
          <w:sz w:val="24"/>
          <w:highlight w:val="none"/>
          <w:lang w:val="en-US" w:eastAsia="zh-CN"/>
        </w:rPr>
        <w:tab/>
      </w:r>
    </w:p>
    <w:p>
      <w:pPr>
        <w:numPr>
          <w:ilvl w:val="0"/>
          <w:numId w:val="1"/>
        </w:numPr>
        <w:spacing w:line="360" w:lineRule="auto"/>
        <w:rPr>
          <w:rFonts w:ascii="宋体" w:hAnsi="宋体"/>
          <w:color w:val="auto"/>
          <w:sz w:val="24"/>
          <w:highlight w:val="none"/>
        </w:rPr>
      </w:pPr>
      <w:r>
        <w:rPr>
          <w:rFonts w:hint="eastAsia" w:ascii="宋体" w:hAnsi="宋体"/>
          <w:color w:val="auto"/>
          <w:sz w:val="24"/>
          <w:szCs w:val="24"/>
          <w:highlight w:val="none"/>
        </w:rPr>
        <w:t>采购组织类型：</w:t>
      </w:r>
      <w:r>
        <w:rPr>
          <w:rFonts w:hint="eastAsia" w:ascii="宋体" w:hAnsi="宋体"/>
          <w:color w:val="auto"/>
          <w:sz w:val="24"/>
          <w:szCs w:val="24"/>
          <w:highlight w:val="none"/>
          <w:lang w:val="en-US" w:eastAsia="zh-CN"/>
        </w:rPr>
        <w:t>自行</w:t>
      </w:r>
      <w:r>
        <w:rPr>
          <w:rFonts w:hint="eastAsia" w:ascii="宋体" w:hAnsi="宋体"/>
          <w:color w:val="auto"/>
          <w:sz w:val="24"/>
          <w:szCs w:val="24"/>
          <w:highlight w:val="none"/>
        </w:rPr>
        <w:t>采购</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采购方式：公开招标</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采购人</w:t>
      </w:r>
      <w:r>
        <w:rPr>
          <w:rFonts w:hint="eastAsia" w:ascii="宋体" w:hAnsi="宋体"/>
          <w:color w:val="auto"/>
          <w:sz w:val="24"/>
          <w:highlight w:val="none"/>
        </w:rPr>
        <w:t>：</w:t>
      </w:r>
      <w:r>
        <w:rPr>
          <w:rFonts w:hint="eastAsia" w:ascii="宋体" w:hAnsi="宋体" w:cs="宋体"/>
          <w:color w:val="auto"/>
          <w:kern w:val="0"/>
          <w:sz w:val="24"/>
          <w:szCs w:val="24"/>
          <w:highlight w:val="none"/>
        </w:rPr>
        <w:t>浙江大学</w:t>
      </w:r>
      <w:r>
        <w:rPr>
          <w:rFonts w:hint="eastAsia" w:ascii="宋体" w:hAnsi="宋体" w:cs="宋体"/>
          <w:color w:val="auto"/>
          <w:kern w:val="0"/>
          <w:sz w:val="24"/>
          <w:szCs w:val="24"/>
          <w:highlight w:val="none"/>
          <w:lang w:val="en-US" w:eastAsia="zh-CN"/>
        </w:rPr>
        <w:t>国际健康医学研究院</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采购内容：</w:t>
      </w:r>
      <w:r>
        <w:rPr>
          <w:rFonts w:hint="eastAsia" w:ascii="宋体" w:hAnsi="宋体"/>
          <w:color w:val="auto"/>
          <w:sz w:val="24"/>
          <w:highlight w:val="none"/>
          <w:lang w:val="en-US" w:eastAsia="zh-CN"/>
        </w:rPr>
        <w:t>会议平板</w:t>
      </w:r>
    </w:p>
    <w:p>
      <w:pPr>
        <w:numPr>
          <w:ilvl w:val="0"/>
          <w:numId w:val="1"/>
        </w:numPr>
        <w:spacing w:line="360" w:lineRule="auto"/>
        <w:rPr>
          <w:rFonts w:ascii="宋体" w:hAnsi="宋体"/>
          <w:color w:val="auto"/>
          <w:sz w:val="24"/>
          <w:highlight w:val="none"/>
        </w:rPr>
      </w:pPr>
      <w:r>
        <w:rPr>
          <w:rFonts w:ascii="宋体" w:hAnsi="宋体"/>
          <w:color w:val="auto"/>
          <w:sz w:val="24"/>
          <w:highlight w:val="none"/>
        </w:rPr>
        <w:t>采购预算</w:t>
      </w:r>
      <w:r>
        <w:rPr>
          <w:rFonts w:hint="eastAsia" w:ascii="宋体" w:hAnsi="宋体"/>
          <w:color w:val="auto"/>
          <w:sz w:val="24"/>
          <w:highlight w:val="none"/>
        </w:rPr>
        <w:t>及最高限价：</w:t>
      </w:r>
      <w:r>
        <w:rPr>
          <w:rFonts w:hint="eastAsia" w:ascii="宋体" w:hAnsi="宋体"/>
          <w:b/>
          <w:color w:val="auto"/>
          <w:sz w:val="24"/>
          <w:szCs w:val="24"/>
          <w:highlight w:val="none"/>
        </w:rPr>
        <w:t>本项目设最高限价</w:t>
      </w:r>
      <w:r>
        <w:rPr>
          <w:rFonts w:hint="eastAsia" w:ascii="宋体" w:hAnsi="宋体"/>
          <w:b/>
          <w:color w:val="auto"/>
          <w:sz w:val="24"/>
          <w:szCs w:val="24"/>
          <w:highlight w:val="none"/>
          <w:lang w:val="en-US" w:eastAsia="zh-CN"/>
        </w:rPr>
        <w:t>10</w:t>
      </w:r>
      <w:r>
        <w:rPr>
          <w:rFonts w:hint="eastAsia" w:ascii="宋体" w:hAnsi="宋体"/>
          <w:b/>
          <w:color w:val="auto"/>
          <w:sz w:val="24"/>
          <w:szCs w:val="24"/>
          <w:highlight w:val="none"/>
        </w:rPr>
        <w:t>万，</w:t>
      </w:r>
      <w:r>
        <w:rPr>
          <w:rFonts w:ascii="宋体" w:hAnsi="宋体"/>
          <w:b/>
          <w:color w:val="auto"/>
          <w:sz w:val="24"/>
          <w:szCs w:val="24"/>
          <w:highlight w:val="none"/>
        </w:rPr>
        <w:t>投标报价</w:t>
      </w:r>
      <w:r>
        <w:rPr>
          <w:rFonts w:hint="eastAsia" w:ascii="宋体" w:hAnsi="宋体"/>
          <w:b/>
          <w:color w:val="auto"/>
          <w:sz w:val="24"/>
          <w:szCs w:val="24"/>
          <w:highlight w:val="none"/>
        </w:rPr>
        <w:t>高于</w:t>
      </w:r>
      <w:r>
        <w:rPr>
          <w:rFonts w:ascii="宋体" w:hAnsi="宋体"/>
          <w:b/>
          <w:color w:val="auto"/>
          <w:sz w:val="24"/>
          <w:szCs w:val="24"/>
          <w:highlight w:val="none"/>
        </w:rPr>
        <w:t>最</w:t>
      </w:r>
      <w:r>
        <w:rPr>
          <w:rFonts w:hint="eastAsia" w:ascii="宋体" w:hAnsi="宋体"/>
          <w:b/>
          <w:color w:val="auto"/>
          <w:sz w:val="24"/>
          <w:szCs w:val="24"/>
          <w:highlight w:val="none"/>
        </w:rPr>
        <w:t>高</w:t>
      </w:r>
      <w:r>
        <w:rPr>
          <w:rFonts w:ascii="宋体" w:hAnsi="宋体"/>
          <w:b/>
          <w:color w:val="auto"/>
          <w:sz w:val="24"/>
          <w:szCs w:val="24"/>
          <w:highlight w:val="none"/>
        </w:rPr>
        <w:t>限价的，其投标均为无效标</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ascii="宋体" w:hAnsi="宋体" w:cs="宋体"/>
          <w:color w:val="auto"/>
          <w:kern w:val="0"/>
          <w:sz w:val="24"/>
          <w:szCs w:val="24"/>
          <w:highlight w:val="none"/>
        </w:rPr>
        <w:t>评标</w:t>
      </w:r>
      <w:r>
        <w:rPr>
          <w:rFonts w:hint="eastAsia" w:ascii="宋体" w:hAnsi="宋体"/>
          <w:color w:val="auto"/>
          <w:sz w:val="24"/>
          <w:highlight w:val="none"/>
        </w:rPr>
        <w:t>方法</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综合评分法</w:t>
      </w:r>
      <w:r>
        <w:rPr>
          <w:rFonts w:hint="eastAsia" w:ascii="宋体" w:hAnsi="宋体" w:cs="宋体"/>
          <w:color w:val="auto"/>
          <w:kern w:val="0"/>
          <w:sz w:val="24"/>
          <w:szCs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lang w:val="en-US" w:eastAsia="zh-CN"/>
        </w:rPr>
        <w:t>工期</w:t>
      </w:r>
      <w:r>
        <w:rPr>
          <w:rFonts w:hint="eastAsia" w:ascii="宋体" w:hAnsi="宋体"/>
          <w:color w:val="auto"/>
          <w:sz w:val="24"/>
          <w:highlight w:val="none"/>
        </w:rPr>
        <w:t>：</w:t>
      </w:r>
      <w:r>
        <w:rPr>
          <w:rFonts w:hint="eastAsia" w:ascii="宋体" w:hAnsi="宋体" w:eastAsia="宋体" w:cs="宋体"/>
          <w:sz w:val="24"/>
          <w:highlight w:val="none"/>
        </w:rPr>
        <w:t>按采购人要求</w:t>
      </w:r>
      <w:r>
        <w:rPr>
          <w:rFonts w:hint="eastAsia" w:ascii="宋体" w:hAnsi="宋体" w:eastAsia="宋体" w:cs="宋体"/>
          <w:sz w:val="24"/>
          <w:highlight w:val="none"/>
          <w:lang w:val="en-US" w:eastAsia="zh-CN"/>
        </w:rPr>
        <w:t>一个月内</w:t>
      </w:r>
      <w:r>
        <w:rPr>
          <w:rFonts w:hint="eastAsia" w:ascii="宋体" w:hAnsi="宋体" w:eastAsia="宋体" w:cs="宋体"/>
          <w:sz w:val="24"/>
          <w:highlight w:val="none"/>
        </w:rPr>
        <w:t>完成并验收合格</w:t>
      </w:r>
      <w:r>
        <w:rPr>
          <w:rFonts w:hint="eastAsia" w:ascii="宋体" w:hAnsi="宋体"/>
          <w:color w:val="auto"/>
          <w:sz w:val="24"/>
          <w:highlight w:val="none"/>
        </w:rPr>
        <w:t>。</w:t>
      </w:r>
    </w:p>
    <w:p>
      <w:pPr>
        <w:numPr>
          <w:ilvl w:val="0"/>
          <w:numId w:val="1"/>
        </w:numPr>
        <w:spacing w:line="360" w:lineRule="auto"/>
        <w:rPr>
          <w:rFonts w:ascii="宋体" w:hAnsi="宋体"/>
          <w:color w:val="auto"/>
          <w:sz w:val="24"/>
          <w:highlight w:val="none"/>
        </w:rPr>
      </w:pPr>
      <w:r>
        <w:rPr>
          <w:rFonts w:hint="eastAsia" w:ascii="宋体" w:hAnsi="宋体"/>
          <w:color w:val="auto"/>
          <w:sz w:val="24"/>
          <w:highlight w:val="none"/>
        </w:rPr>
        <w:t>投标单位的资格要求：</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1、国内具有独立法人资格。</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2、符合《中华人民共和国政府采购法》第二十二条对供应商的要求。</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3、本项目不接受联合体投标。</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参加政府采购活动前三年内，在经营活动中没有重大违法记录。供应商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案件当事人名单、政府采购严重违法失信行为记录名单的。</w:t>
      </w:r>
    </w:p>
    <w:p>
      <w:pPr>
        <w:pStyle w:val="28"/>
        <w:widowControl/>
        <w:spacing w:line="360" w:lineRule="auto"/>
        <w:ind w:left="480" w:firstLine="0" w:firstLineChars="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5、该行业国家规定必备的资质、资格。</w:t>
      </w:r>
    </w:p>
    <w:p>
      <w:pPr>
        <w:pStyle w:val="28"/>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招标文件发放方式：浙江大学医学院附属第四医院网站</w:t>
      </w:r>
      <w:r>
        <w:rPr>
          <w:rFonts w:ascii="微软雅黑" w:hAnsi="微软雅黑" w:eastAsia="微软雅黑" w:cs="微软雅黑"/>
          <w:i w:val="0"/>
          <w:iCs w:val="0"/>
          <w:caps w:val="0"/>
          <w:color w:val="484848"/>
          <w:spacing w:val="0"/>
          <w:sz w:val="19"/>
          <w:szCs w:val="19"/>
        </w:rPr>
        <w:t>https://www.zju4h.com/</w:t>
      </w:r>
      <w:r>
        <w:rPr>
          <w:rFonts w:hint="eastAsia" w:ascii="宋体" w:hAnsi="宋体"/>
          <w:color w:val="auto"/>
          <w:sz w:val="24"/>
          <w:highlight w:val="none"/>
        </w:rPr>
        <w:t>免费下载</w:t>
      </w:r>
    </w:p>
    <w:p>
      <w:pPr>
        <w:pStyle w:val="28"/>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报名方式</w:t>
      </w:r>
      <w:r>
        <w:rPr>
          <w:rFonts w:ascii="宋体" w:hAnsi="宋体"/>
          <w:color w:val="auto"/>
          <w:sz w:val="24"/>
          <w:highlight w:val="none"/>
        </w:rPr>
        <w:t>：</w:t>
      </w:r>
      <w:r>
        <w:rPr>
          <w:rFonts w:hint="eastAsia" w:ascii="宋体" w:hAnsi="宋体"/>
          <w:color w:val="auto"/>
          <w:sz w:val="24"/>
          <w:highlight w:val="none"/>
        </w:rPr>
        <w:t>投标单位必须于</w:t>
      </w:r>
      <w:r>
        <w:rPr>
          <w:rFonts w:ascii="宋体" w:hAnsi="宋体"/>
          <w:color w:val="auto"/>
          <w:sz w:val="24"/>
          <w:highlight w:val="yellow"/>
        </w:rPr>
        <w:t>202</w:t>
      </w:r>
      <w:r>
        <w:rPr>
          <w:rFonts w:hint="eastAsia" w:ascii="宋体" w:hAnsi="宋体"/>
          <w:color w:val="auto"/>
          <w:sz w:val="24"/>
          <w:highlight w:val="yellow"/>
          <w:lang w:val="en-US" w:eastAsia="zh-CN"/>
        </w:rPr>
        <w:t>3</w:t>
      </w:r>
      <w:r>
        <w:rPr>
          <w:rFonts w:hint="eastAsia" w:ascii="宋体" w:hAnsi="宋体"/>
          <w:color w:val="auto"/>
          <w:sz w:val="24"/>
          <w:highlight w:val="yellow"/>
        </w:rPr>
        <w:t>年</w:t>
      </w:r>
      <w:r>
        <w:rPr>
          <w:rFonts w:hint="eastAsia" w:ascii="宋体" w:hAnsi="宋体"/>
          <w:color w:val="auto"/>
          <w:sz w:val="24"/>
          <w:highlight w:val="yellow"/>
          <w:lang w:val="en-US" w:eastAsia="zh-CN"/>
        </w:rPr>
        <w:t>07</w:t>
      </w:r>
      <w:r>
        <w:rPr>
          <w:rFonts w:hint="eastAsia" w:ascii="宋体" w:hAnsi="宋体"/>
          <w:color w:val="auto"/>
          <w:sz w:val="24"/>
          <w:highlight w:val="yellow"/>
        </w:rPr>
        <w:t>月</w:t>
      </w:r>
      <w:r>
        <w:rPr>
          <w:rFonts w:hint="eastAsia" w:ascii="宋体" w:hAnsi="宋体"/>
          <w:color w:val="auto"/>
          <w:sz w:val="24"/>
          <w:highlight w:val="yellow"/>
          <w:lang w:val="en-US" w:eastAsia="zh-CN"/>
        </w:rPr>
        <w:t>17</w:t>
      </w:r>
      <w:r>
        <w:rPr>
          <w:rFonts w:hint="eastAsia" w:ascii="宋体" w:hAnsi="宋体"/>
          <w:color w:val="auto"/>
          <w:sz w:val="24"/>
          <w:highlight w:val="yellow"/>
        </w:rPr>
        <w:t>日</w:t>
      </w:r>
      <w:r>
        <w:rPr>
          <w:rFonts w:hint="eastAsia" w:ascii="宋体" w:hAnsi="宋体"/>
          <w:color w:val="auto"/>
          <w:sz w:val="24"/>
          <w:highlight w:val="none"/>
        </w:rPr>
        <w:t>17:00之前将</w:t>
      </w:r>
      <w:r>
        <w:rPr>
          <w:rFonts w:hint="eastAsia"/>
          <w:b/>
          <w:color w:val="auto"/>
          <w:sz w:val="24"/>
          <w:highlight w:val="none"/>
        </w:rPr>
        <w:t>以下</w:t>
      </w:r>
      <w:r>
        <w:rPr>
          <w:b/>
          <w:color w:val="auto"/>
          <w:sz w:val="24"/>
          <w:highlight w:val="none"/>
        </w:rPr>
        <w:t>报名资料</w:t>
      </w:r>
      <w:r>
        <w:rPr>
          <w:rFonts w:hint="eastAsia"/>
          <w:b/>
          <w:color w:val="auto"/>
          <w:sz w:val="24"/>
          <w:highlight w:val="none"/>
          <w:lang w:val="en-US" w:eastAsia="zh-CN"/>
        </w:rPr>
        <w:t>发送至邮箱luckymeng1007@163.com</w:t>
      </w:r>
      <w:r>
        <w:rPr>
          <w:rFonts w:hint="eastAsia" w:ascii="宋体" w:hAnsi="宋体"/>
          <w:b/>
          <w:color w:val="auto"/>
          <w:sz w:val="24"/>
          <w:highlight w:val="none"/>
        </w:rPr>
        <w:t>（邮件标题以“投标项目+投标单位”格式命名），</w:t>
      </w:r>
      <w:r>
        <w:rPr>
          <w:rFonts w:hint="eastAsia" w:ascii="宋体" w:hAnsi="宋体"/>
          <w:color w:val="auto"/>
          <w:sz w:val="24"/>
          <w:highlight w:val="none"/>
        </w:rPr>
        <w:t>复印件加盖公章的原件在开标当天补交。</w:t>
      </w:r>
    </w:p>
    <w:p>
      <w:pPr>
        <w:pStyle w:val="28"/>
        <w:numPr>
          <w:ilvl w:val="0"/>
          <w:numId w:val="2"/>
        </w:numPr>
        <w:spacing w:line="360" w:lineRule="auto"/>
        <w:ind w:firstLineChars="0"/>
        <w:rPr>
          <w:rFonts w:ascii="宋体" w:hAnsi="宋体"/>
          <w:color w:val="auto"/>
          <w:sz w:val="24"/>
          <w:highlight w:val="none"/>
        </w:rPr>
      </w:pPr>
      <w:r>
        <w:rPr>
          <w:b/>
          <w:color w:val="auto"/>
          <w:sz w:val="24"/>
          <w:highlight w:val="none"/>
        </w:rPr>
        <w:t>单位营业执照</w:t>
      </w:r>
      <w:r>
        <w:rPr>
          <w:rFonts w:hint="eastAsia" w:ascii="宋体" w:hAnsi="宋体"/>
          <w:color w:val="auto"/>
          <w:sz w:val="24"/>
          <w:highlight w:val="none"/>
        </w:rPr>
        <w:t>（加盖单位公章 红章）；</w:t>
      </w:r>
    </w:p>
    <w:p>
      <w:pPr>
        <w:pStyle w:val="28"/>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企业法定代表人或授权委托书及被委托人身份证复印件（加盖单位公章）；</w:t>
      </w:r>
    </w:p>
    <w:p>
      <w:pPr>
        <w:pStyle w:val="28"/>
        <w:numPr>
          <w:ilvl w:val="0"/>
          <w:numId w:val="2"/>
        </w:numPr>
        <w:spacing w:line="360" w:lineRule="auto"/>
        <w:ind w:firstLineChars="0"/>
        <w:rPr>
          <w:rFonts w:ascii="宋体" w:hAnsi="宋体"/>
          <w:color w:val="auto"/>
          <w:sz w:val="24"/>
          <w:highlight w:val="none"/>
        </w:rPr>
      </w:pPr>
      <w:r>
        <w:rPr>
          <w:rFonts w:hint="eastAsia" w:ascii="宋体" w:hAnsi="宋体"/>
          <w:color w:val="auto"/>
          <w:sz w:val="24"/>
          <w:highlight w:val="none"/>
        </w:rPr>
        <w:t>投标人联系单（含电话、邮箱等）。</w:t>
      </w:r>
    </w:p>
    <w:p>
      <w:pPr>
        <w:pStyle w:val="28"/>
        <w:numPr>
          <w:ilvl w:val="0"/>
          <w:numId w:val="1"/>
        </w:numPr>
        <w:spacing w:line="360" w:lineRule="auto"/>
        <w:ind w:firstLineChars="0"/>
        <w:rPr>
          <w:rFonts w:ascii="宋体" w:hAnsi="宋体"/>
          <w:color w:val="auto"/>
          <w:sz w:val="24"/>
          <w:highlight w:val="none"/>
        </w:rPr>
      </w:pPr>
      <w:r>
        <w:rPr>
          <w:rFonts w:hint="eastAsia" w:ascii="宋体" w:hAnsi="宋体"/>
          <w:color w:val="auto"/>
          <w:sz w:val="24"/>
          <w:highlight w:val="none"/>
        </w:rPr>
        <w:t xml:space="preserve">投标时间和地点： </w:t>
      </w:r>
    </w:p>
    <w:p>
      <w:pPr>
        <w:spacing w:line="360" w:lineRule="auto"/>
        <w:ind w:left="480"/>
        <w:rPr>
          <w:rFonts w:ascii="宋体" w:hAnsi="宋体"/>
          <w:color w:val="auto"/>
          <w:sz w:val="24"/>
          <w:highlight w:val="none"/>
        </w:rPr>
      </w:pPr>
      <w:r>
        <w:rPr>
          <w:rFonts w:hint="eastAsia" w:ascii="宋体" w:hAnsi="宋体"/>
          <w:color w:val="auto"/>
          <w:sz w:val="24"/>
          <w:highlight w:val="none"/>
        </w:rPr>
        <w:t>投标单位应于</w:t>
      </w:r>
      <w:r>
        <w:rPr>
          <w:rFonts w:ascii="宋体" w:hAnsi="宋体"/>
          <w:color w:val="auto"/>
          <w:sz w:val="24"/>
          <w:highlight w:val="yellow"/>
          <w:u w:val="single"/>
        </w:rPr>
        <w:t>202</w:t>
      </w:r>
      <w:r>
        <w:rPr>
          <w:rFonts w:hint="eastAsia" w:ascii="宋体" w:hAnsi="宋体"/>
          <w:color w:val="auto"/>
          <w:sz w:val="24"/>
          <w:highlight w:val="yellow"/>
          <w:u w:val="single"/>
          <w:lang w:val="en-US" w:eastAsia="zh-CN"/>
        </w:rPr>
        <w:t>3</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07</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18</w:t>
      </w:r>
      <w:r>
        <w:rPr>
          <w:rFonts w:hint="eastAsia" w:ascii="宋体" w:hAnsi="宋体"/>
          <w:color w:val="auto"/>
          <w:sz w:val="24"/>
          <w:highlight w:val="yellow"/>
          <w:u w:val="single"/>
        </w:rPr>
        <w:t>日</w:t>
      </w:r>
      <w:r>
        <w:rPr>
          <w:rFonts w:hint="eastAsia" w:ascii="宋体" w:hAnsi="宋体"/>
          <w:color w:val="auto"/>
          <w:sz w:val="24"/>
          <w:highlight w:val="yellow"/>
          <w:u w:val="single"/>
          <w:lang w:val="en-US" w:eastAsia="zh-CN"/>
        </w:rPr>
        <w:t>14</w:t>
      </w:r>
      <w:r>
        <w:rPr>
          <w:rFonts w:hint="eastAsia" w:ascii="宋体" w:hAnsi="宋体"/>
          <w:color w:val="auto"/>
          <w:sz w:val="24"/>
          <w:highlight w:val="yellow"/>
          <w:u w:val="single"/>
        </w:rPr>
        <w:t>:00</w:t>
      </w:r>
      <w:r>
        <w:rPr>
          <w:rFonts w:hint="eastAsia" w:ascii="宋体" w:hAnsi="宋体"/>
          <w:color w:val="auto"/>
          <w:sz w:val="24"/>
          <w:highlight w:val="none"/>
          <w:u w:val="single"/>
        </w:rPr>
        <w:t>前</w:t>
      </w:r>
      <w:r>
        <w:rPr>
          <w:rFonts w:hint="eastAsia" w:ascii="宋体" w:hAnsi="宋体"/>
          <w:color w:val="auto"/>
          <w:sz w:val="24"/>
          <w:highlight w:val="none"/>
        </w:rPr>
        <w:t>将投标文件密封交到投标地点。</w:t>
      </w:r>
    </w:p>
    <w:p>
      <w:pPr>
        <w:spacing w:line="360" w:lineRule="auto"/>
        <w:ind w:left="480"/>
        <w:rPr>
          <w:rFonts w:ascii="宋体" w:hAnsi="宋体"/>
          <w:color w:val="auto"/>
          <w:sz w:val="24"/>
          <w:highlight w:val="none"/>
        </w:rPr>
      </w:pPr>
      <w:r>
        <w:rPr>
          <w:rFonts w:hint="eastAsia" w:ascii="宋体" w:hAnsi="宋体"/>
          <w:color w:val="auto"/>
          <w:sz w:val="24"/>
          <w:highlight w:val="none"/>
        </w:rPr>
        <w:t>投标地点：快递邮寄或开标当天投标至</w:t>
      </w:r>
      <w:r>
        <w:rPr>
          <w:rFonts w:hint="eastAsia" w:ascii="宋体" w:hAnsi="宋体"/>
          <w:color w:val="auto"/>
          <w:sz w:val="24"/>
          <w:highlight w:val="none"/>
          <w:lang w:val="en-US" w:eastAsia="zh-CN"/>
        </w:rPr>
        <w:t>浙江大学国际健康医学研究院五楼会议室</w:t>
      </w:r>
      <w:r>
        <w:rPr>
          <w:rFonts w:hint="eastAsia" w:ascii="宋体" w:hAnsi="宋体"/>
          <w:color w:val="auto"/>
          <w:sz w:val="24"/>
          <w:highlight w:val="none"/>
        </w:rPr>
        <w:t>。</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开标时间和地点：</w:t>
      </w:r>
    </w:p>
    <w:p>
      <w:pPr>
        <w:spacing w:line="360" w:lineRule="auto"/>
        <w:ind w:left="480"/>
        <w:rPr>
          <w:rFonts w:ascii="宋体" w:hAnsi="宋体"/>
          <w:color w:val="auto"/>
          <w:sz w:val="24"/>
          <w:highlight w:val="none"/>
        </w:rPr>
      </w:pPr>
      <w:r>
        <w:rPr>
          <w:rFonts w:hint="eastAsia" w:ascii="宋体" w:hAnsi="宋体"/>
          <w:color w:val="auto"/>
          <w:sz w:val="24"/>
          <w:highlight w:val="none"/>
        </w:rPr>
        <w:t>开标时间：</w:t>
      </w:r>
      <w:r>
        <w:rPr>
          <w:rFonts w:ascii="宋体" w:hAnsi="宋体"/>
          <w:color w:val="auto"/>
          <w:sz w:val="24"/>
          <w:highlight w:val="yellow"/>
          <w:u w:val="single"/>
        </w:rPr>
        <w:t>202</w:t>
      </w:r>
      <w:r>
        <w:rPr>
          <w:rFonts w:hint="eastAsia" w:ascii="宋体" w:hAnsi="宋体"/>
          <w:color w:val="auto"/>
          <w:sz w:val="24"/>
          <w:highlight w:val="yellow"/>
          <w:u w:val="single"/>
          <w:lang w:val="en-US" w:eastAsia="zh-CN"/>
        </w:rPr>
        <w:t>3</w:t>
      </w:r>
      <w:r>
        <w:rPr>
          <w:rFonts w:hint="eastAsia" w:ascii="宋体" w:hAnsi="宋体"/>
          <w:color w:val="auto"/>
          <w:sz w:val="24"/>
          <w:highlight w:val="yellow"/>
          <w:u w:val="single"/>
        </w:rPr>
        <w:t>年</w:t>
      </w:r>
      <w:r>
        <w:rPr>
          <w:rFonts w:hint="eastAsia" w:ascii="宋体" w:hAnsi="宋体"/>
          <w:color w:val="auto"/>
          <w:sz w:val="24"/>
          <w:highlight w:val="yellow"/>
          <w:u w:val="single"/>
          <w:lang w:val="en-US" w:eastAsia="zh-CN"/>
        </w:rPr>
        <w:t>07</w:t>
      </w:r>
      <w:r>
        <w:rPr>
          <w:rFonts w:hint="eastAsia" w:ascii="宋体" w:hAnsi="宋体"/>
          <w:color w:val="auto"/>
          <w:sz w:val="24"/>
          <w:highlight w:val="yellow"/>
          <w:u w:val="single"/>
        </w:rPr>
        <w:t>月</w:t>
      </w:r>
      <w:r>
        <w:rPr>
          <w:rFonts w:hint="eastAsia" w:ascii="宋体" w:hAnsi="宋体"/>
          <w:color w:val="auto"/>
          <w:sz w:val="24"/>
          <w:highlight w:val="yellow"/>
          <w:u w:val="single"/>
          <w:lang w:val="en-US" w:eastAsia="zh-CN"/>
        </w:rPr>
        <w:t>18</w:t>
      </w:r>
      <w:r>
        <w:rPr>
          <w:rFonts w:hint="eastAsia" w:ascii="宋体" w:hAnsi="宋体"/>
          <w:color w:val="auto"/>
          <w:sz w:val="24"/>
          <w:highlight w:val="yellow"/>
          <w:u w:val="single"/>
        </w:rPr>
        <w:t>日</w:t>
      </w:r>
      <w:r>
        <w:rPr>
          <w:rFonts w:hint="eastAsia" w:ascii="宋体" w:hAnsi="宋体"/>
          <w:color w:val="auto"/>
          <w:sz w:val="24"/>
          <w:highlight w:val="yellow"/>
          <w:u w:val="single"/>
          <w:lang w:val="en-US" w:eastAsia="zh-CN"/>
        </w:rPr>
        <w:t>14</w:t>
      </w:r>
      <w:r>
        <w:rPr>
          <w:rFonts w:hint="eastAsia" w:ascii="宋体" w:hAnsi="宋体"/>
          <w:color w:val="auto"/>
          <w:sz w:val="24"/>
          <w:highlight w:val="yellow"/>
          <w:u w:val="single"/>
        </w:rPr>
        <w:t>:00</w:t>
      </w:r>
    </w:p>
    <w:p>
      <w:pPr>
        <w:spacing w:line="360" w:lineRule="auto"/>
        <w:ind w:left="480"/>
        <w:rPr>
          <w:rFonts w:ascii="宋体" w:hAnsi="宋体"/>
          <w:color w:val="auto"/>
          <w:sz w:val="24"/>
          <w:highlight w:val="none"/>
        </w:rPr>
      </w:pPr>
      <w:r>
        <w:rPr>
          <w:rFonts w:hint="eastAsia" w:ascii="宋体" w:hAnsi="宋体"/>
          <w:color w:val="auto"/>
          <w:sz w:val="24"/>
          <w:highlight w:val="none"/>
        </w:rPr>
        <w:t>开标地点：</w:t>
      </w:r>
      <w:r>
        <w:rPr>
          <w:rFonts w:hint="eastAsia" w:ascii="宋体" w:hAnsi="宋体"/>
          <w:color w:val="auto"/>
          <w:sz w:val="24"/>
          <w:highlight w:val="none"/>
          <w:lang w:val="en-US" w:eastAsia="zh-CN"/>
        </w:rPr>
        <w:t>浙江大学国际健康医学研究院五楼会议室</w:t>
      </w:r>
    </w:p>
    <w:p>
      <w:pPr>
        <w:numPr>
          <w:ilvl w:val="0"/>
          <w:numId w:val="1"/>
        </w:numPr>
        <w:tabs>
          <w:tab w:val="left" w:pos="426"/>
          <w:tab w:val="clear" w:pos="480"/>
        </w:tabs>
        <w:spacing w:line="360" w:lineRule="auto"/>
        <w:rPr>
          <w:rFonts w:ascii="宋体" w:hAnsi="宋体"/>
          <w:color w:val="auto"/>
          <w:sz w:val="24"/>
          <w:highlight w:val="none"/>
        </w:rPr>
      </w:pPr>
      <w:r>
        <w:rPr>
          <w:rFonts w:hint="eastAsia" w:ascii="宋体" w:hAnsi="宋体"/>
          <w:color w:val="auto"/>
          <w:sz w:val="24"/>
          <w:highlight w:val="none"/>
        </w:rPr>
        <w:t>联系地址和电话：</w:t>
      </w:r>
    </w:p>
    <w:p>
      <w:pPr>
        <w:spacing w:line="360" w:lineRule="auto"/>
        <w:ind w:left="480"/>
        <w:rPr>
          <w:rFonts w:hint="default" w:ascii="宋体" w:hAnsi="宋体"/>
          <w:color w:val="auto"/>
          <w:sz w:val="24"/>
          <w:highlight w:val="none"/>
          <w:lang w:val="en-US" w:eastAsia="zh-CN"/>
        </w:rPr>
      </w:pPr>
      <w:r>
        <w:rPr>
          <w:rFonts w:hint="eastAsia" w:ascii="宋体" w:hAnsi="宋体"/>
          <w:color w:val="auto"/>
          <w:sz w:val="24"/>
          <w:highlight w:val="none"/>
        </w:rPr>
        <w:t>地  址：</w:t>
      </w:r>
      <w:r>
        <w:rPr>
          <w:rFonts w:hint="eastAsia" w:ascii="宋体" w:hAnsi="宋体"/>
          <w:color w:val="auto"/>
          <w:sz w:val="24"/>
          <w:highlight w:val="none"/>
          <w:lang w:val="en-US" w:eastAsia="zh-CN"/>
        </w:rPr>
        <w:t>浙江大学国际健康医学研究院五楼会议室508-7</w:t>
      </w:r>
    </w:p>
    <w:p>
      <w:pPr>
        <w:spacing w:line="360" w:lineRule="auto"/>
        <w:ind w:left="480"/>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李老师</w:t>
      </w:r>
    </w:p>
    <w:p>
      <w:pPr>
        <w:spacing w:line="360" w:lineRule="auto"/>
        <w:ind w:left="48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联系电话：</w:t>
      </w:r>
      <w:r>
        <w:rPr>
          <w:rFonts w:hint="eastAsia" w:ascii="宋体" w:hAnsi="宋体"/>
          <w:color w:val="auto"/>
          <w:sz w:val="24"/>
          <w:highlight w:val="none"/>
          <w:u w:val="single"/>
        </w:rPr>
        <w:t xml:space="preserve"> 0579-8993</w:t>
      </w:r>
      <w:r>
        <w:rPr>
          <w:rFonts w:hint="eastAsia" w:ascii="宋体" w:hAnsi="宋体"/>
          <w:color w:val="auto"/>
          <w:sz w:val="24"/>
          <w:highlight w:val="none"/>
          <w:u w:val="single"/>
          <w:lang w:val="en-US" w:eastAsia="zh-CN"/>
        </w:rPr>
        <w:t>2017</w:t>
      </w:r>
    </w:p>
    <w:p>
      <w:pPr>
        <w:widowControl/>
        <w:spacing w:line="420" w:lineRule="atLeast"/>
        <w:rPr>
          <w:rFonts w:ascii="宋体" w:hAnsi="宋体"/>
          <w:color w:val="auto"/>
          <w:sz w:val="24"/>
          <w:highlight w:val="none"/>
        </w:rPr>
      </w:pPr>
      <w:r>
        <w:rPr>
          <w:rFonts w:ascii="宋体" w:hAnsi="宋体"/>
          <w:color w:val="auto"/>
          <w:sz w:val="24"/>
          <w:highlight w:val="none"/>
        </w:rPr>
        <w:t>十五</w:t>
      </w:r>
      <w:r>
        <w:rPr>
          <w:rFonts w:hint="eastAsia" w:ascii="宋体" w:hAnsi="宋体"/>
          <w:color w:val="auto"/>
          <w:sz w:val="24"/>
          <w:highlight w:val="none"/>
        </w:rPr>
        <w:t>、</w:t>
      </w:r>
      <w:r>
        <w:rPr>
          <w:rFonts w:ascii="宋体" w:hAnsi="宋体"/>
          <w:color w:val="auto"/>
          <w:sz w:val="24"/>
          <w:highlight w:val="none"/>
        </w:rPr>
        <w:t>其他</w:t>
      </w:r>
    </w:p>
    <w:p>
      <w:pPr>
        <w:widowControl/>
        <w:spacing w:line="420" w:lineRule="atLeas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1</w:t>
      </w:r>
      <w:r>
        <w:rPr>
          <w:rFonts w:hint="eastAsia" w:ascii="宋体" w:hAnsi="宋体"/>
          <w:color w:val="auto"/>
          <w:sz w:val="24"/>
          <w:highlight w:val="none"/>
        </w:rPr>
        <w:t>、</w:t>
      </w:r>
      <w:r>
        <w:rPr>
          <w:rFonts w:ascii="宋体" w:hAnsi="宋体"/>
          <w:color w:val="auto"/>
          <w:sz w:val="24"/>
          <w:highlight w:val="none"/>
        </w:rPr>
        <w:t>“★”标记系指必须满足不能负偏离或必须应答的条款。如不能响应</w:t>
      </w:r>
      <w:r>
        <w:rPr>
          <w:rFonts w:hint="eastAsia" w:ascii="宋体" w:hAnsi="宋体"/>
          <w:color w:val="auto"/>
          <w:sz w:val="24"/>
          <w:highlight w:val="none"/>
        </w:rPr>
        <w:t>，</w:t>
      </w:r>
      <w:r>
        <w:rPr>
          <w:rFonts w:ascii="宋体" w:hAnsi="宋体"/>
          <w:color w:val="auto"/>
          <w:sz w:val="24"/>
          <w:highlight w:val="none"/>
        </w:rPr>
        <w:t>作废标处理</w:t>
      </w:r>
      <w:r>
        <w:rPr>
          <w:rFonts w:hint="eastAsia" w:ascii="宋体" w:hAnsi="宋体"/>
          <w:color w:val="auto"/>
          <w:sz w:val="24"/>
          <w:highlight w:val="none"/>
        </w:rPr>
        <w:t>。</w:t>
      </w: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pStyle w:val="2"/>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hint="eastAsia" w:ascii="宋体" w:hAnsi="宋体" w:cs="宋体"/>
          <w:color w:val="auto"/>
          <w:kern w:val="0"/>
          <w:sz w:val="24"/>
          <w:szCs w:val="24"/>
          <w:highlight w:val="none"/>
        </w:rPr>
      </w:pPr>
    </w:p>
    <w:p>
      <w:pPr>
        <w:autoSpaceDE w:val="0"/>
        <w:autoSpaceDN w:val="0"/>
        <w:adjustRightInd w:val="0"/>
        <w:spacing w:line="360" w:lineRule="auto"/>
        <w:jc w:val="center"/>
        <w:rPr>
          <w:rFonts w:ascii="宋体" w:hAnsi="宋体"/>
          <w:b/>
          <w:bCs/>
          <w:color w:val="auto"/>
          <w:sz w:val="30"/>
          <w:szCs w:val="30"/>
          <w:highlight w:val="none"/>
          <w:lang w:val="zh-CN"/>
        </w:rPr>
      </w:pPr>
    </w:p>
    <w:p>
      <w:pPr>
        <w:autoSpaceDE w:val="0"/>
        <w:autoSpaceDN w:val="0"/>
        <w:adjustRightInd w:val="0"/>
        <w:spacing w:line="360" w:lineRule="auto"/>
        <w:jc w:val="center"/>
        <w:rPr>
          <w:rFonts w:ascii="宋体" w:hAnsi="宋体"/>
          <w:b/>
          <w:bCs/>
          <w:color w:val="auto"/>
          <w:sz w:val="30"/>
          <w:szCs w:val="30"/>
          <w:highlight w:val="none"/>
          <w:lang w:val="zh-CN"/>
        </w:rPr>
      </w:pPr>
      <w:r>
        <w:rPr>
          <w:rFonts w:ascii="宋体" w:hAnsi="宋体"/>
          <w:b/>
          <w:bCs/>
          <w:color w:val="auto"/>
          <w:sz w:val="30"/>
          <w:szCs w:val="30"/>
          <w:highlight w:val="none"/>
          <w:lang w:val="zh-CN"/>
        </w:rPr>
        <w:t>第二章</w:t>
      </w:r>
      <w:r>
        <w:rPr>
          <w:rFonts w:hint="eastAsia" w:ascii="宋体" w:hAnsi="宋体"/>
          <w:b/>
          <w:bCs/>
          <w:color w:val="auto"/>
          <w:sz w:val="30"/>
          <w:szCs w:val="30"/>
          <w:highlight w:val="none"/>
          <w:lang w:val="zh-CN"/>
        </w:rPr>
        <w:t xml:space="preserve"> </w:t>
      </w:r>
      <w:r>
        <w:rPr>
          <w:rFonts w:ascii="宋体" w:hAnsi="宋体"/>
          <w:b/>
          <w:bCs/>
          <w:color w:val="auto"/>
          <w:sz w:val="30"/>
          <w:szCs w:val="30"/>
          <w:highlight w:val="none"/>
          <w:lang w:val="zh-CN"/>
        </w:rPr>
        <w:t>投标须知</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1、适用范围</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1.1 本招标文件仅适用于本次招标采购所叙述的服务项目。</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2、定义</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2.1采购人：系指</w:t>
      </w:r>
      <w:r>
        <w:rPr>
          <w:rFonts w:hint="eastAsia" w:ascii="宋体" w:hAnsi="宋体"/>
          <w:color w:val="auto"/>
          <w:sz w:val="24"/>
          <w:szCs w:val="21"/>
          <w:highlight w:val="none"/>
        </w:rPr>
        <w:t>浙江大学</w:t>
      </w:r>
      <w:r>
        <w:rPr>
          <w:rFonts w:hint="eastAsia" w:ascii="宋体" w:hAnsi="宋体"/>
          <w:color w:val="auto"/>
          <w:sz w:val="24"/>
          <w:szCs w:val="21"/>
          <w:highlight w:val="none"/>
          <w:lang w:val="en-US" w:eastAsia="zh-CN"/>
        </w:rPr>
        <w:t>国际健康医学研究院</w:t>
      </w:r>
      <w:r>
        <w:rPr>
          <w:rFonts w:ascii="宋体" w:hAnsi="宋体"/>
          <w:color w:val="auto"/>
          <w:sz w:val="24"/>
          <w:szCs w:val="21"/>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2.2投标人：系指符合采购公告要求的投标供应商。</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2.3服务：系指招标文件规定投标人须承担的运输、技术支持、培训、维修保养及其它类似的服务。</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2.4货物：系指按招标文件规定投标人须向采购人提供的一切材料、设备、机械、仪器仪表、工具及其它有关技术资料和文字材料。</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2.5甲方：即采购人，在招投标阶段称为采购人，在签订和执行合同阶段称为甲方。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2.6乙方：在招投标阶段称为投标人，中标后在签订和执行合同阶段称为乙方。</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2.7“原产地”是指货物开采、生长或生产、或提供有关服务的来源地。</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2.8“★”标记系指必须满足不能负偏离或必须应答的条款。</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3、合格的投标人</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3.1具有独立法人资格。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3.2法律、行政法规规定的其它条件。</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3.3 该行业国家规定必备的资质、资格。</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3.4采购公告中要求的条件。</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4、保证</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4.1投标单位应保证所提交给招标机构和采购人的资料和数据是真实的。</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 xml:space="preserve">5、现场勘察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5.1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 xml:space="preserve">5.2投标单位在考察过程中发生的各类事件及所发生的各项费用，均由投标单位自行承担。采购人和代理机构概不负责。 </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5.3采购人向投标单位提供的有关现场的数据和资料，是采购人现有的能被投标人利用的资料，采购人对投标人据此做出的任何推论、理解和结论不负责任。</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5.4现场踏勘完毕，将认为投标人己了解现场情况，并充分理解了为之所承担的风险、义务和责任。</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6、联合体投标</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本项目不接受联合体投标。</w:t>
      </w:r>
    </w:p>
    <w:p>
      <w:pPr>
        <w:widowControl/>
        <w:spacing w:line="420" w:lineRule="atLeast"/>
        <w:rPr>
          <w:rFonts w:ascii="宋体" w:hAnsi="宋体"/>
          <w:color w:val="auto"/>
          <w:sz w:val="24"/>
          <w:szCs w:val="21"/>
          <w:highlight w:val="none"/>
        </w:rPr>
      </w:pPr>
      <w:r>
        <w:rPr>
          <w:rFonts w:ascii="宋体" w:hAnsi="宋体"/>
          <w:color w:val="auto"/>
          <w:sz w:val="24"/>
          <w:szCs w:val="21"/>
          <w:highlight w:val="none"/>
        </w:rPr>
        <w:t>7、投标人发生下列情况之一时，除严格依法依规进行处理外，还将通报市信用管理部门，列入严重失信名单：</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（1）投标人在规定的投标有效期内撤回投标或放弃中标的；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（2）有意串标或提供虚假材料者的；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（3）中标人在收到中标通知书后，因自身原因不能在投标有效期内和采购人签订合同。</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（4）中标人未在规定时间缴纳招标代理费的。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（5）中标供应商在标后履约过程中未按合同约定的期限和要求履约的。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（6）因中标供应商原因在标后履约过程中擅自终止合同的。</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（7）不符合招标文件要求的其他失信行为。</w:t>
      </w:r>
    </w:p>
    <w:p>
      <w:pPr>
        <w:spacing w:line="360" w:lineRule="auto"/>
        <w:rPr>
          <w:b/>
          <w:color w:val="auto"/>
          <w:sz w:val="36"/>
          <w:szCs w:val="36"/>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321" w:firstLineChars="100"/>
        <w:jc w:val="center"/>
        <w:rPr>
          <w:rFonts w:ascii="宋体" w:hAnsi="宋体"/>
          <w:b/>
          <w:color w:val="auto"/>
          <w:sz w:val="32"/>
          <w:szCs w:val="32"/>
          <w:highlight w:val="none"/>
        </w:rPr>
      </w:pPr>
      <w:r>
        <w:rPr>
          <w:rFonts w:hint="eastAsia" w:ascii="宋体" w:hAnsi="宋体"/>
          <w:b/>
          <w:color w:val="auto"/>
          <w:sz w:val="32"/>
          <w:szCs w:val="32"/>
          <w:highlight w:val="none"/>
        </w:rPr>
        <w:t>第三章   项目概况及要求</w:t>
      </w:r>
    </w:p>
    <w:p>
      <w:pPr>
        <w:spacing w:line="360" w:lineRule="auto"/>
        <w:rPr>
          <w:rFonts w:ascii="宋体" w:hAnsi="宋体"/>
          <w:b/>
          <w:color w:val="auto"/>
          <w:sz w:val="24"/>
          <w:szCs w:val="24"/>
          <w:highlight w:val="none"/>
        </w:rPr>
      </w:pPr>
      <w:r>
        <w:rPr>
          <w:rFonts w:ascii="宋体" w:hAnsi="宋体"/>
          <w:b/>
          <w:color w:val="auto"/>
          <w:sz w:val="28"/>
          <w:szCs w:val="28"/>
          <w:highlight w:val="none"/>
        </w:rPr>
        <w:t>一</w:t>
      </w:r>
      <w:r>
        <w:rPr>
          <w:rFonts w:hint="eastAsia" w:ascii="宋体" w:hAnsi="宋体"/>
          <w:b/>
          <w:color w:val="auto"/>
          <w:sz w:val="28"/>
          <w:szCs w:val="28"/>
          <w:highlight w:val="none"/>
        </w:rPr>
        <w:t>、</w:t>
      </w:r>
      <w:r>
        <w:rPr>
          <w:rFonts w:ascii="宋体" w:hAnsi="宋体"/>
          <w:b/>
          <w:color w:val="auto"/>
          <w:sz w:val="28"/>
          <w:szCs w:val="28"/>
          <w:highlight w:val="none"/>
        </w:rPr>
        <w:t>项目概况</w:t>
      </w:r>
    </w:p>
    <w:p>
      <w:pPr>
        <w:spacing w:line="360" w:lineRule="auto"/>
        <w:ind w:firstLine="480" w:firstLineChars="200"/>
        <w:rPr>
          <w:rFonts w:hint="default" w:ascii="Times New Roman" w:hAnsi="Times New Roman" w:eastAsia="宋体" w:cs="Times New Roman"/>
          <w:b/>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本次招标项目</w:t>
      </w:r>
      <w:r>
        <w:rPr>
          <w:rFonts w:hint="eastAsia" w:cs="Times New Roman"/>
          <w:color w:val="auto"/>
          <w:sz w:val="24"/>
          <w:szCs w:val="24"/>
          <w:highlight w:val="none"/>
          <w:lang w:val="en-US" w:eastAsia="zh-CN"/>
        </w:rPr>
        <w:t>共有会议平板5台，招标预算为10万。</w:t>
      </w:r>
    </w:p>
    <w:p>
      <w:pPr>
        <w:spacing w:line="360" w:lineRule="auto"/>
        <w:rPr>
          <w:rFonts w:ascii="宋体" w:hAnsi="宋体"/>
          <w:b/>
          <w:color w:val="auto"/>
          <w:sz w:val="28"/>
          <w:szCs w:val="28"/>
          <w:highlight w:val="none"/>
        </w:rPr>
      </w:pPr>
      <w:r>
        <w:rPr>
          <w:rFonts w:hint="eastAsia" w:ascii="宋体" w:hAnsi="宋体"/>
          <w:b/>
          <w:color w:val="auto"/>
          <w:sz w:val="28"/>
          <w:szCs w:val="28"/>
          <w:highlight w:val="none"/>
        </w:rPr>
        <w:t>二</w:t>
      </w:r>
      <w:r>
        <w:rPr>
          <w:rFonts w:ascii="宋体" w:hAnsi="宋体"/>
          <w:b/>
          <w:color w:val="auto"/>
          <w:sz w:val="28"/>
          <w:szCs w:val="28"/>
          <w:highlight w:val="none"/>
        </w:rPr>
        <w:t>、</w:t>
      </w:r>
      <w:r>
        <w:rPr>
          <w:rFonts w:hint="eastAsia" w:ascii="宋体" w:hAnsi="宋体"/>
          <w:b/>
          <w:color w:val="auto"/>
          <w:sz w:val="28"/>
          <w:szCs w:val="28"/>
          <w:highlight w:val="none"/>
          <w:lang w:val="en-US" w:eastAsia="zh-CN"/>
        </w:rPr>
        <w:t>技术</w:t>
      </w:r>
      <w:r>
        <w:rPr>
          <w:rFonts w:ascii="宋体" w:hAnsi="宋体"/>
          <w:b/>
          <w:color w:val="auto"/>
          <w:sz w:val="28"/>
          <w:szCs w:val="28"/>
          <w:highlight w:val="none"/>
        </w:rPr>
        <w:t>要求</w:t>
      </w:r>
    </w:p>
    <w:p>
      <w:pPr>
        <w:pStyle w:val="28"/>
        <w:widowControl/>
        <w:spacing w:line="360" w:lineRule="auto"/>
        <w:ind w:firstLine="0" w:firstLineChars="0"/>
        <w:rPr>
          <w:rFonts w:ascii="宋体" w:hAnsi="宋体" w:cs="宋体"/>
          <w:sz w:val="24"/>
          <w:szCs w:val="24"/>
        </w:rPr>
      </w:pPr>
      <w:bookmarkStart w:id="0" w:name="_Hlk101350627"/>
      <w:r>
        <w:rPr>
          <w:rFonts w:hint="eastAsia" w:ascii="宋体" w:hAnsi="宋体" w:cs="宋体"/>
          <w:sz w:val="24"/>
          <w:szCs w:val="24"/>
        </w:rPr>
        <w:t>1.86英寸（对角线）液晶面板屏幕，整机一体化设计，外观简洁无任何可见内部功能模块连接线；</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2.全金属外壳，弧形边角，表面无尖锐边缘或凸起，屏幕边缘采用金属圆角包边防护，金属材质背板；</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3.整机通过高低温工作及贮存检测，防火材料外壳，防潮耐盐雾蚀锈；</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4.UHD超高清液晶屏，显示比例16:9，分辨率3840*2160，可视角度≥178°；</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5.画面对比度及色彩还原真实，画面细节及Gamma无损失</w:t>
      </w:r>
      <w:r>
        <w:rPr>
          <w:rFonts w:hint="eastAsia" w:ascii="宋体" w:hAnsi="宋体" w:cs="宋体"/>
          <w:b/>
          <w:bCs/>
          <w:sz w:val="24"/>
          <w:szCs w:val="24"/>
        </w:rPr>
        <w:t>（提供国家权威机构出具的相关证明材料）；</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6.支持全通道4K高清显示，全通道OSD菜单及内置系统均支持4K图像显示；</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7.直流背光源，保证显示画面无频闪；</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8.屏幕灰度等级≥256级，NTSC色域覆盖率≥85%；</w:t>
      </w:r>
      <w:bookmarkStart w:id="3" w:name="_GoBack"/>
      <w:bookmarkEnd w:id="3"/>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9.最大屏幕亮度≥300cd/m²，使用时屏幕亮度≤400cd/m²，符合GB 40070-2021要求；</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10.支持高色准，sRGB色彩△E≤1.5；</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11.硬件低蓝光背光技术，蓝光占比（有害蓝光415~455nm能量综合）/（整体蓝光400~500能量综合）＜50%，低蓝光保护显示不偏色、不泛黄；</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12.视网膜蓝光危害（蓝光加权辐射亮度LB）满足IEC TR 62778:2014蓝光危害RG0级别要求；</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13.支持标准、护眼、HDR、节能、自定义等图像模式，自定义模式可自定义亮度、对比度、饱和度、色温等；</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14.具有自动光感功能（可设置开启或关闭），能感应并自动调节屏幕亮度；</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15.屏幕结合光感调节，屏幕亮度与环境亮度匹配曲线合理</w:t>
      </w:r>
      <w:r>
        <w:rPr>
          <w:rFonts w:hint="eastAsia" w:ascii="宋体" w:hAnsi="宋体" w:cs="宋体"/>
          <w:b/>
          <w:bCs/>
          <w:sz w:val="24"/>
          <w:szCs w:val="24"/>
        </w:rPr>
        <w:t>（提供国家权威机构出具的相关证明材料）；</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16.具有多种智能护眼功能，可通过两侧触控按键及前置物理按键进行护眼模式切换，护眼模式下显示画面更加柔和；</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w:t>
      </w:r>
      <w:r>
        <w:rPr>
          <w:rFonts w:hint="default" w:ascii="宋体" w:hAnsi="宋体" w:cs="宋体"/>
          <w:sz w:val="24"/>
          <w:szCs w:val="24"/>
        </w:rPr>
        <w:t>7</w:t>
      </w:r>
      <w:r>
        <w:rPr>
          <w:rFonts w:hint="eastAsia" w:ascii="宋体" w:hAnsi="宋体" w:cs="宋体"/>
          <w:sz w:val="24"/>
          <w:szCs w:val="24"/>
        </w:rPr>
        <w:t>.全通道在书写或触控屏幕时亮度自动降低，触控或书写完成后亮度增加；</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w:t>
      </w:r>
      <w:r>
        <w:rPr>
          <w:rFonts w:hint="default" w:ascii="宋体" w:hAnsi="宋体" w:cs="宋体"/>
          <w:sz w:val="24"/>
          <w:szCs w:val="24"/>
        </w:rPr>
        <w:t>8</w:t>
      </w:r>
      <w:r>
        <w:rPr>
          <w:rFonts w:hint="eastAsia" w:ascii="宋体" w:hAnsi="宋体" w:cs="宋体"/>
          <w:sz w:val="24"/>
          <w:szCs w:val="24"/>
        </w:rPr>
        <w:t>.支持纸质护眼模式，可在任意通道任意画面任意软件所有显示内容下实现画面纹理的实时调整；支持纸质纹理：牛皮纸、素描纸、水彩纸、水纹纸、宣纸；支持透明度调节；支持色温调节；</w:t>
      </w:r>
    </w:p>
    <w:p>
      <w:pPr>
        <w:pStyle w:val="28"/>
        <w:widowControl/>
        <w:spacing w:line="360" w:lineRule="auto"/>
        <w:ind w:firstLine="0" w:firstLineChars="0"/>
        <w:rPr>
          <w:rFonts w:ascii="宋体" w:hAnsi="宋体" w:cs="宋体"/>
          <w:sz w:val="24"/>
          <w:szCs w:val="24"/>
        </w:rPr>
      </w:pPr>
      <w:r>
        <w:rPr>
          <w:rFonts w:hint="default" w:ascii="宋体" w:hAnsi="宋体" w:cs="宋体"/>
          <w:sz w:val="24"/>
          <w:szCs w:val="24"/>
        </w:rPr>
        <w:t>19</w:t>
      </w:r>
      <w:r>
        <w:rPr>
          <w:rFonts w:hint="eastAsia" w:ascii="宋体" w:hAnsi="宋体" w:cs="宋体"/>
          <w:sz w:val="24"/>
          <w:szCs w:val="24"/>
        </w:rPr>
        <w:t>.纸质护眼模式下显示画面各像素点灰度不规则；</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w:t>
      </w:r>
      <w:r>
        <w:rPr>
          <w:rFonts w:hint="default" w:ascii="宋体" w:hAnsi="宋体" w:cs="宋体"/>
          <w:sz w:val="24"/>
          <w:szCs w:val="24"/>
        </w:rPr>
        <w:t>0</w:t>
      </w:r>
      <w:r>
        <w:rPr>
          <w:rFonts w:hint="eastAsia" w:ascii="宋体" w:hAnsi="宋体" w:cs="宋体"/>
          <w:sz w:val="24"/>
          <w:szCs w:val="24"/>
        </w:rPr>
        <w:t>.整机采用全物理钢化玻璃，钢化玻璃表面硬度≥9H；</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w:t>
      </w:r>
      <w:r>
        <w:rPr>
          <w:rFonts w:hint="default" w:ascii="宋体" w:hAnsi="宋体" w:cs="宋体"/>
          <w:sz w:val="24"/>
          <w:szCs w:val="24"/>
        </w:rPr>
        <w:t>1</w:t>
      </w:r>
      <w:r>
        <w:rPr>
          <w:rFonts w:hint="eastAsia" w:ascii="宋体" w:hAnsi="宋体" w:cs="宋体"/>
          <w:sz w:val="24"/>
          <w:szCs w:val="24"/>
        </w:rPr>
        <w:t>.屏幕采用零贴合工艺；</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w:t>
      </w:r>
      <w:r>
        <w:rPr>
          <w:rFonts w:hint="default" w:ascii="宋体" w:hAnsi="宋体" w:cs="宋体"/>
          <w:sz w:val="24"/>
          <w:szCs w:val="24"/>
        </w:rPr>
        <w:t>2</w:t>
      </w:r>
      <w:r>
        <w:rPr>
          <w:rFonts w:hint="eastAsia" w:ascii="宋体" w:hAnsi="宋体" w:cs="宋体"/>
          <w:sz w:val="24"/>
          <w:szCs w:val="24"/>
        </w:rPr>
        <w:t>.耐磨玻璃材质书写面板，长期使用情况下面板磨损导致的雾度≤1%；</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w:t>
      </w:r>
      <w:r>
        <w:rPr>
          <w:rFonts w:hint="default" w:ascii="宋体" w:hAnsi="宋体" w:cs="宋体"/>
          <w:sz w:val="24"/>
          <w:szCs w:val="24"/>
        </w:rPr>
        <w:t>3</w:t>
      </w:r>
      <w:r>
        <w:rPr>
          <w:rFonts w:hint="eastAsia" w:ascii="宋体" w:hAnsi="宋体" w:cs="宋体"/>
          <w:sz w:val="24"/>
          <w:szCs w:val="24"/>
        </w:rPr>
        <w:t>.表面采用全物理防眩光钢化玻璃，低反射防眩光技术；</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w:t>
      </w:r>
      <w:r>
        <w:rPr>
          <w:rFonts w:hint="default" w:ascii="宋体" w:hAnsi="宋体" w:cs="宋体"/>
          <w:sz w:val="24"/>
          <w:szCs w:val="24"/>
        </w:rPr>
        <w:t>4</w:t>
      </w:r>
      <w:r>
        <w:rPr>
          <w:rFonts w:hint="eastAsia" w:ascii="宋体" w:hAnsi="宋体" w:cs="宋体"/>
          <w:sz w:val="24"/>
          <w:szCs w:val="24"/>
        </w:rPr>
        <w:t>.整机表面覆盖玻璃选用国标优等品，光学变形、点状缺陷、尺寸偏差、弯曲度、透射比等均符合GB 11614-2009要求；</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w:t>
      </w:r>
      <w:r>
        <w:rPr>
          <w:rFonts w:hint="default" w:ascii="宋体" w:hAnsi="宋体" w:cs="宋体"/>
          <w:sz w:val="24"/>
          <w:szCs w:val="24"/>
        </w:rPr>
        <w:t>5</w:t>
      </w:r>
      <w:r>
        <w:rPr>
          <w:rFonts w:hint="eastAsia" w:ascii="宋体" w:hAnsi="宋体" w:cs="宋体"/>
          <w:sz w:val="24"/>
          <w:szCs w:val="24"/>
        </w:rPr>
        <w:t>.书写面板采用防眩光全钢化防爆玻璃面板，面板碎片状态、表面应力、抗冲击性、霰弹袋冲击性能、耐热冲击性能均通过国家强制玻璃标准；</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w:t>
      </w:r>
      <w:r>
        <w:rPr>
          <w:rFonts w:hint="default" w:ascii="宋体" w:hAnsi="宋体" w:cs="宋体"/>
          <w:sz w:val="24"/>
          <w:szCs w:val="24"/>
        </w:rPr>
        <w:t>6</w:t>
      </w:r>
      <w:r>
        <w:rPr>
          <w:rFonts w:hint="eastAsia" w:ascii="宋体" w:hAnsi="宋体" w:cs="宋体"/>
          <w:sz w:val="24"/>
          <w:szCs w:val="24"/>
        </w:rPr>
        <w:t>.整机机身防盐雾锈蚀且满足GB 4943.1-2011中的防火要求；</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w:t>
      </w:r>
      <w:r>
        <w:rPr>
          <w:rFonts w:hint="default" w:ascii="宋体" w:hAnsi="宋体" w:cs="宋体"/>
          <w:sz w:val="24"/>
          <w:szCs w:val="24"/>
        </w:rPr>
        <w:t>7</w:t>
      </w:r>
      <w:r>
        <w:rPr>
          <w:rFonts w:hint="eastAsia" w:ascii="宋体" w:hAnsi="宋体" w:cs="宋体"/>
          <w:sz w:val="24"/>
          <w:szCs w:val="24"/>
        </w:rPr>
        <w:t>.整机具备抗振动、防跌落特性，保证整机运输或使用过程中不易受损；</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w:t>
      </w:r>
      <w:r>
        <w:rPr>
          <w:rFonts w:hint="default" w:ascii="宋体" w:hAnsi="宋体" w:cs="宋体"/>
          <w:sz w:val="24"/>
          <w:szCs w:val="24"/>
        </w:rPr>
        <w:t>8</w:t>
      </w:r>
      <w:r>
        <w:rPr>
          <w:rFonts w:hint="eastAsia" w:ascii="宋体" w:hAnsi="宋体" w:cs="宋体"/>
          <w:sz w:val="24"/>
          <w:szCs w:val="24"/>
        </w:rPr>
        <w:t>.整机在0~40℃环境下可正常工作，在-20℃~60℃环境下可正常贮存且贮存后功能无损；</w:t>
      </w:r>
    </w:p>
    <w:p>
      <w:pPr>
        <w:pStyle w:val="28"/>
        <w:widowControl/>
        <w:spacing w:line="360" w:lineRule="auto"/>
        <w:ind w:firstLine="0" w:firstLineChars="0"/>
        <w:rPr>
          <w:rFonts w:ascii="宋体" w:hAnsi="宋体" w:cs="宋体"/>
          <w:sz w:val="24"/>
          <w:szCs w:val="24"/>
        </w:rPr>
      </w:pPr>
      <w:r>
        <w:rPr>
          <w:rFonts w:hint="default" w:ascii="宋体" w:hAnsi="宋体" w:cs="宋体"/>
          <w:sz w:val="24"/>
          <w:szCs w:val="24"/>
        </w:rPr>
        <w:t>29</w:t>
      </w:r>
      <w:r>
        <w:rPr>
          <w:rFonts w:hint="eastAsia" w:ascii="宋体" w:hAnsi="宋体" w:cs="宋体"/>
          <w:sz w:val="24"/>
          <w:szCs w:val="24"/>
        </w:rPr>
        <w:t>.整机浪涌（冲击）抗扰度满足GB/T 17626.5-2019要求，电快速瞬变脉冲群抗扰度试验满足GB/T 17626.4-2018要求；</w:t>
      </w:r>
    </w:p>
    <w:p>
      <w:pPr>
        <w:pStyle w:val="28"/>
        <w:widowControl/>
        <w:spacing w:line="360" w:lineRule="auto"/>
        <w:ind w:firstLine="0" w:firstLineChars="0"/>
        <w:rPr>
          <w:rFonts w:ascii="宋体" w:hAnsi="宋体" w:cs="宋体"/>
          <w:sz w:val="24"/>
          <w:szCs w:val="24"/>
        </w:rPr>
      </w:pPr>
      <w:r>
        <w:rPr>
          <w:rFonts w:hint="default" w:ascii="宋体" w:hAnsi="宋体" w:cs="宋体"/>
          <w:sz w:val="24"/>
          <w:szCs w:val="24"/>
        </w:rPr>
        <w:t>30</w:t>
      </w:r>
      <w:r>
        <w:rPr>
          <w:rFonts w:hint="eastAsia" w:ascii="宋体" w:hAnsi="宋体" w:cs="宋体"/>
          <w:sz w:val="24"/>
          <w:szCs w:val="24"/>
        </w:rPr>
        <w:t>.整机电磁干扰ITE达到GB/T 9254-2008 Class B等级要求；</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default"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.整机具备≥6个前置物理按键，包括三合一电源按键、设置、音量加、音量减、录屏、护眼，其中含2个可自定义功能按键；</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3</w:t>
      </w:r>
      <w:r>
        <w:rPr>
          <w:rFonts w:hint="default" w:ascii="宋体" w:hAnsi="宋体" w:cs="宋体"/>
          <w:sz w:val="24"/>
          <w:szCs w:val="24"/>
        </w:rPr>
        <w:t>2</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整机具有2个可自定义前置按键，可通过自定义设置实现前置面板功能按键一键启用主页、批注、降半屏、Windows白板、经典护眼、纸质护眼、录屏、小工具（截屏、计时器、放大镜、倒数日、日历）等；</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default"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.三合一电源按键，同一按键可实现Android系统和Windows系统的一键开机、关机、节能/唤醒操作，关机状态下按按键开机、开机状态下按按键实现节能/唤醒、长按按键实现关机；</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3</w:t>
      </w:r>
      <w:r>
        <w:rPr>
          <w:rFonts w:hint="default" w:ascii="宋体" w:hAnsi="宋体" w:cs="宋体"/>
          <w:sz w:val="24"/>
          <w:szCs w:val="24"/>
        </w:rPr>
        <w:t>4</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支持在节能状态下通过长按电源键进入还原界面，可点击屏幕选择安卓系统还原、OPS还原及正常启动选项，还原操作时需通过密码验证；</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default"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.支持经典护眼模式，可通过前置面板物理功能按键一键启用；</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default"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.支持通过前置面板物理按键一键启动录屏，可将屏幕中显示的课件、音频内容与人声同时录制；</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default"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.前置接口具备防撞防尘挡板设计，挡板采用转轴式翻转；</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default"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.前置3路USB输入接口（含1路Type-C、2路USB），前置USB接口支持Android、Windows双系统读取外接移动存储设备，接口</w:t>
      </w:r>
      <w:r>
        <w:rPr>
          <w:rStyle w:val="21"/>
          <w:rFonts w:hint="eastAsia" w:ascii="宋体" w:hAnsi="宋体" w:cs="宋体"/>
          <w:color w:val="000000" w:themeColor="text1"/>
          <w:sz w:val="24"/>
          <w:szCs w:val="24"/>
          <w14:textFill>
            <w14:solidFill>
              <w14:schemeClr w14:val="tx1"/>
            </w14:solidFill>
          </w14:textFill>
        </w:rPr>
        <w:t>具备明显丝印标识；</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default" w:ascii="宋体" w:hAnsi="宋体" w:cs="宋体"/>
          <w:color w:val="000000" w:themeColor="text1"/>
          <w:sz w:val="24"/>
          <w:szCs w:val="24"/>
          <w14:textFill>
            <w14:solidFill>
              <w14:schemeClr w14:val="tx1"/>
            </w14:solidFill>
          </w14:textFill>
        </w:rPr>
        <w:t>39</w:t>
      </w:r>
      <w:r>
        <w:rPr>
          <w:rFonts w:hint="eastAsia" w:ascii="宋体" w:hAnsi="宋体" w:cs="宋体"/>
          <w:color w:val="000000" w:themeColor="text1"/>
          <w:sz w:val="24"/>
          <w:szCs w:val="24"/>
          <w14:textFill>
            <w14:solidFill>
              <w14:schemeClr w14:val="tx1"/>
            </w14:solidFill>
          </w14:textFill>
        </w:rPr>
        <w:t>.侧置输入接口：2路HDMI、1路RS232、1路USB、1路RJ45接口，侧置输出接口：1路音频、1路触控USB，所有接口均具备明显丝印标识；</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default" w:ascii="宋体" w:hAnsi="宋体"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.具备前置Type-C接口可实现音视频输入，外接电脑设备经双头Type-C线连接至整机即可把外接电脑设备画面投到整机上同时在整机上操作画面，可实现触摸电脑操作，无需再连接触控USB线；</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lang w:eastAsia="zh-CN"/>
        </w:rPr>
        <w:t>▲</w:t>
      </w:r>
      <w:r>
        <w:rPr>
          <w:rFonts w:hint="eastAsia" w:ascii="宋体" w:hAnsi="宋体" w:cs="宋体"/>
          <w:sz w:val="24"/>
          <w:szCs w:val="24"/>
        </w:rPr>
        <w:t>4</w:t>
      </w:r>
      <w:r>
        <w:rPr>
          <w:rFonts w:hint="default" w:ascii="宋体" w:hAnsi="宋体" w:cs="宋体"/>
          <w:sz w:val="24"/>
          <w:szCs w:val="24"/>
        </w:rPr>
        <w:t>1</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前置Type-C接口支持通过不带转换转置的外部线缆实现外接电脑信号的接入显示，显示分辨率可达到4K 60Hz；</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default"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.外接电脑设备经双头Type-C线连接至整机可调用整机内置的摄像头、麦克风、扬声器，在外接电脑即可控制拍摄教室画面；</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default"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.支持通过Type-C接口U盘进行文件传输；</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4</w:t>
      </w:r>
      <w:r>
        <w:rPr>
          <w:rFonts w:hint="default" w:ascii="宋体" w:hAnsi="宋体" w:cs="宋体"/>
          <w:sz w:val="24"/>
          <w:szCs w:val="24"/>
        </w:rPr>
        <w:t>4</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前置Type-C接口支持65W快充，可以给教学平板、教学笔记本、手机等进行快速充电。</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default"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.内置无线传屏接收系统，无需外接接收器，无线传屏发射器与整机匹配后即可实现传屏，将外部电脑屏幕画面及声音通过无线方式传输到整机上；</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default"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.内置非独立高清摄像头，摄像头与整机一体化设计，无任何可见外接线材及模块化拼接痕迹（未占用整机设备端口）；</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default"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.摄像头拍摄像素数≥1300万，对角角度≥135度，可用于远程巡课、二维码扫描等；</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default"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.摄像头运行时有工作状态提示；</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default" w:ascii="宋体" w:hAnsi="宋体" w:cs="宋体"/>
          <w:color w:val="000000" w:themeColor="text1"/>
          <w:sz w:val="24"/>
          <w:szCs w:val="24"/>
          <w14:textFill>
            <w14:solidFill>
              <w14:schemeClr w14:val="tx1"/>
            </w14:solidFill>
          </w14:textFill>
        </w:rPr>
        <w:t>49</w:t>
      </w:r>
      <w:r>
        <w:rPr>
          <w:rFonts w:hint="eastAsia" w:ascii="宋体" w:hAnsi="宋体" w:cs="宋体"/>
          <w:color w:val="000000" w:themeColor="text1"/>
          <w:sz w:val="24"/>
          <w:szCs w:val="24"/>
          <w14:textFill>
            <w14:solidFill>
              <w14:schemeClr w14:val="tx1"/>
            </w14:solidFill>
          </w14:textFill>
        </w:rPr>
        <w:t>.内置摄像头支持扫码，PC通道下支持通过视频展台软件调用摄像头进行二维码扫码识别；</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5</w:t>
      </w:r>
      <w:r>
        <w:rPr>
          <w:rFonts w:hint="default" w:ascii="宋体" w:hAnsi="宋体" w:cs="宋体"/>
          <w:sz w:val="24"/>
          <w:szCs w:val="24"/>
        </w:rPr>
        <w:t>0</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内置8阵列麦克风，非独立扩展形式（不占用整机设备端口），拾音距离≥12米；</w:t>
      </w:r>
    </w:p>
    <w:p>
      <w:pPr>
        <w:pStyle w:val="28"/>
        <w:widowControl/>
        <w:spacing w:line="360" w:lineRule="auto"/>
        <w:ind w:firstLine="0" w:firstLineChars="0"/>
        <w:rPr>
          <w:rFonts w:hint="eastAsia" w:ascii="宋体" w:hAnsi="宋体" w:eastAsia="宋体" w:cs="宋体"/>
          <w:color w:val="000000" w:themeColor="text1"/>
          <w:sz w:val="24"/>
          <w:szCs w:val="24"/>
          <w:lang w:eastAsia="zh-Hans"/>
          <w14:textFill>
            <w14:solidFill>
              <w14:schemeClr w14:val="tx1"/>
            </w14:solidFill>
          </w14:textFill>
        </w:rPr>
      </w:pPr>
      <w:r>
        <w:rPr>
          <w:rFonts w:hint="eastAsia" w:ascii="宋体" w:hAnsi="宋体" w:cs="宋体"/>
          <w:sz w:val="24"/>
          <w:szCs w:val="24"/>
        </w:rPr>
        <w:t>5</w:t>
      </w:r>
      <w:r>
        <w:rPr>
          <w:rFonts w:hint="default" w:ascii="宋体" w:hAnsi="宋体" w:cs="宋体"/>
          <w:sz w:val="24"/>
          <w:szCs w:val="24"/>
        </w:rPr>
        <w:t>1</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内置音响系统，扩声系统总功率≥60W</w:t>
      </w:r>
      <w:r>
        <w:rPr>
          <w:rFonts w:hint="eastAsia" w:ascii="宋体" w:hAnsi="宋体" w:cs="宋体"/>
          <w:color w:val="000000" w:themeColor="text1"/>
          <w:sz w:val="24"/>
          <w:szCs w:val="24"/>
          <w:lang w:eastAsia="zh-Hans"/>
          <w14:textFill>
            <w14:solidFill>
              <w14:schemeClr w14:val="tx1"/>
            </w14:solidFill>
          </w14:textFill>
        </w:rPr>
        <w:t>；</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default"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.支持标准、听力、观影、环绕四种音效模式调节；</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default"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.支持搭配具有NFC功能的手机、平板，接触即可实现手机、平板与大屏的连接并同步手机、平板画面到设备上，无需其它操作设置；</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default"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.内置无线网卡，在Android/Windows下可实现Wi-Fi连接、AP热点发射及BT蓝牙连接；</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5</w:t>
      </w:r>
      <w:r>
        <w:rPr>
          <w:rFonts w:hint="default" w:ascii="宋体" w:hAnsi="宋体" w:cs="宋体"/>
          <w:sz w:val="24"/>
          <w:szCs w:val="24"/>
        </w:rPr>
        <w:t>5</w:t>
      </w:r>
      <w:r>
        <w:rPr>
          <w:rFonts w:hint="eastAsia" w:ascii="宋体" w:hAnsi="宋体" w:cs="宋体"/>
          <w:sz w:val="24"/>
          <w:szCs w:val="24"/>
        </w:rPr>
        <w:t>.</w:t>
      </w:r>
      <w:r>
        <w:rPr>
          <w:rFonts w:hint="eastAsia" w:ascii="宋体" w:hAnsi="宋体" w:cs="宋体"/>
          <w:color w:val="000000" w:themeColor="text1"/>
          <w:sz w:val="24"/>
          <w:szCs w:val="24"/>
          <w14:textFill>
            <w14:solidFill>
              <w14:schemeClr w14:val="tx1"/>
            </w14:solidFill>
          </w14:textFill>
        </w:rPr>
        <w:t>内置的蓝牙及Wi-Fi模块支持便捷拆除及恢复；</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default"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.Wi-Fi及AP热点支持频段2.4GHz/5GHz；</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default"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.Wi-Fi制式支持IEEE802.11 a/b/g/n/ac/ax，支持Wi-Fi6；</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default"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.Wi-Fi及AP热点支持≥50个学生端同时连接到整机；</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default" w:ascii="宋体" w:hAnsi="宋体" w:cs="宋体"/>
          <w:color w:val="000000" w:themeColor="text1"/>
          <w:sz w:val="24"/>
          <w:szCs w:val="24"/>
          <w14:textFill>
            <w14:solidFill>
              <w14:schemeClr w14:val="tx1"/>
            </w14:solidFill>
          </w14:textFill>
        </w:rPr>
        <w:t>59</w:t>
      </w:r>
      <w:r>
        <w:rPr>
          <w:rFonts w:hint="eastAsia" w:ascii="宋体" w:hAnsi="宋体" w:cs="宋体"/>
          <w:color w:val="000000" w:themeColor="text1"/>
          <w:sz w:val="24"/>
          <w:szCs w:val="24"/>
          <w14:textFill>
            <w14:solidFill>
              <w14:schemeClr w14:val="tx1"/>
            </w14:solidFill>
          </w14:textFill>
        </w:rPr>
        <w:t>.Wi-Fi和AP热点工作距离≥12m；</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r>
        <w:rPr>
          <w:rFonts w:hint="default" w:ascii="宋体" w:hAnsi="宋体"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.部署单根网线可实现Android、Windows双系统有线网络连通；</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r>
        <w:rPr>
          <w:rFonts w:hint="default"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.支持802.1x EAP身份认证网络连接，能够登陆需要进行身份认证的校园网；</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r>
        <w:rPr>
          <w:rFonts w:hint="default"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.支持蓝牙Bluetooth 5.2标准；</w:t>
      </w:r>
    </w:p>
    <w:p>
      <w:pPr>
        <w:pStyle w:val="28"/>
        <w:widowControl/>
        <w:spacing w:line="360" w:lineRule="auto"/>
        <w:ind w:firstLine="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6</w:t>
      </w:r>
      <w:r>
        <w:rPr>
          <w:rFonts w:hint="default"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.支持连接外部蓝牙音箱播放音频，能接收移动终端通过蓝牙发送的文件；</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6</w:t>
      </w:r>
      <w:r>
        <w:rPr>
          <w:rFonts w:hint="default" w:ascii="宋体" w:hAnsi="宋体" w:cs="宋体"/>
          <w:sz w:val="24"/>
          <w:szCs w:val="24"/>
        </w:rPr>
        <w:t>4</w:t>
      </w:r>
      <w:r>
        <w:rPr>
          <w:rFonts w:hint="eastAsia" w:ascii="宋体" w:hAnsi="宋体" w:cs="宋体"/>
          <w:sz w:val="24"/>
          <w:szCs w:val="24"/>
        </w:rPr>
        <w:t>.具备全通道悬浮菜单，可通过便捷菜单快速调用返回、安卓主页、批注等；</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6</w:t>
      </w:r>
      <w:r>
        <w:rPr>
          <w:rFonts w:hint="default" w:ascii="宋体" w:hAnsi="宋体" w:cs="宋体"/>
          <w:sz w:val="24"/>
          <w:szCs w:val="24"/>
        </w:rPr>
        <w:t>5</w:t>
      </w:r>
      <w:r>
        <w:rPr>
          <w:rFonts w:hint="eastAsia" w:ascii="宋体" w:hAnsi="宋体" w:cs="宋体"/>
          <w:sz w:val="24"/>
          <w:szCs w:val="24"/>
        </w:rPr>
        <w:t>.支持将自定义图片设置为开机画面；</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6</w:t>
      </w:r>
      <w:r>
        <w:rPr>
          <w:rFonts w:hint="default" w:ascii="宋体" w:hAnsi="宋体" w:cs="宋体"/>
          <w:sz w:val="24"/>
          <w:szCs w:val="24"/>
        </w:rPr>
        <w:t>6</w:t>
      </w:r>
      <w:r>
        <w:rPr>
          <w:rFonts w:hint="eastAsia" w:ascii="宋体" w:hAnsi="宋体" w:cs="宋体"/>
          <w:sz w:val="24"/>
          <w:szCs w:val="24"/>
        </w:rPr>
        <w:t>.具备高效节能模式，检测到黑暗环境30秒后自动进入节能模式且检测到光亮会自动唤醒屏幕，功能可选择打开或关闭；</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6</w:t>
      </w:r>
      <w:r>
        <w:rPr>
          <w:rFonts w:hint="default" w:ascii="宋体" w:hAnsi="宋体" w:cs="宋体"/>
          <w:sz w:val="24"/>
          <w:szCs w:val="24"/>
        </w:rPr>
        <w:t>7</w:t>
      </w:r>
      <w:r>
        <w:rPr>
          <w:rFonts w:hint="eastAsia" w:ascii="宋体" w:hAnsi="宋体" w:cs="宋体"/>
          <w:sz w:val="24"/>
          <w:szCs w:val="24"/>
        </w:rPr>
        <w:t>.无人操作时可自动进入关机状态并可对时间进行设置；</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6</w:t>
      </w:r>
      <w:r>
        <w:rPr>
          <w:rFonts w:hint="default" w:ascii="宋体" w:hAnsi="宋体" w:cs="宋体"/>
          <w:sz w:val="24"/>
          <w:szCs w:val="24"/>
        </w:rPr>
        <w:t>8</w:t>
      </w:r>
      <w:r>
        <w:rPr>
          <w:rFonts w:hint="eastAsia" w:ascii="宋体" w:hAnsi="宋体" w:cs="宋体"/>
          <w:sz w:val="24"/>
          <w:szCs w:val="24"/>
        </w:rPr>
        <w:t>.处于无信号状态时，在指定时间内无信号系统将进入关机并可设置时间；</w:t>
      </w:r>
    </w:p>
    <w:p>
      <w:pPr>
        <w:pStyle w:val="28"/>
        <w:widowControl/>
        <w:spacing w:line="360" w:lineRule="auto"/>
        <w:ind w:firstLine="0" w:firstLineChars="0"/>
        <w:rPr>
          <w:rFonts w:ascii="宋体" w:hAnsi="宋体" w:cs="宋体"/>
          <w:sz w:val="24"/>
          <w:szCs w:val="24"/>
        </w:rPr>
      </w:pPr>
      <w:r>
        <w:rPr>
          <w:rFonts w:hint="default" w:ascii="宋体" w:hAnsi="宋体" w:cs="宋体"/>
          <w:sz w:val="24"/>
          <w:szCs w:val="24"/>
        </w:rPr>
        <w:t>69</w:t>
      </w:r>
      <w:r>
        <w:rPr>
          <w:rFonts w:hint="eastAsia" w:ascii="宋体" w:hAnsi="宋体" w:cs="宋体"/>
          <w:sz w:val="24"/>
          <w:szCs w:val="24"/>
        </w:rPr>
        <w:t>.支持通道自动跳转，接入外接设备后能自动识别并切换到对应的信号源通道，切换前弹出确认选项，断开外接设备后能自动返回上一通道；</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w:t>
      </w:r>
      <w:r>
        <w:rPr>
          <w:rFonts w:hint="default" w:ascii="宋体" w:hAnsi="宋体" w:cs="宋体"/>
          <w:sz w:val="24"/>
          <w:szCs w:val="24"/>
        </w:rPr>
        <w:t>0</w:t>
      </w:r>
      <w:r>
        <w:rPr>
          <w:rFonts w:hint="eastAsia" w:ascii="宋体" w:hAnsi="宋体" w:cs="宋体"/>
          <w:sz w:val="24"/>
          <w:szCs w:val="24"/>
        </w:rPr>
        <w:t>.具有自动唤醒功能，处于关机通电状态下外接设备通过HDMI传输线连接至整机时可自动识别外接设备信号输入并自动开机；</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w:t>
      </w:r>
      <w:r>
        <w:rPr>
          <w:rFonts w:hint="default" w:ascii="宋体" w:hAnsi="宋体" w:cs="宋体"/>
          <w:sz w:val="24"/>
          <w:szCs w:val="24"/>
        </w:rPr>
        <w:t>1</w:t>
      </w:r>
      <w:r>
        <w:rPr>
          <w:rFonts w:hint="eastAsia" w:ascii="宋体" w:hAnsi="宋体" w:cs="宋体"/>
          <w:sz w:val="24"/>
          <w:szCs w:val="24"/>
        </w:rPr>
        <w:t>.外接电脑设备连接至整机且触摸信号连通时，外接电脑设备可直接读取插入整机前置USB接口的移动存储设备数据，连接整机前置USB接口的翻页笔和无线键鼠可直接操作外接电脑设备；</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w:t>
      </w:r>
      <w:r>
        <w:rPr>
          <w:rFonts w:hint="default" w:ascii="宋体" w:hAnsi="宋体" w:cs="宋体"/>
          <w:sz w:val="24"/>
          <w:szCs w:val="24"/>
        </w:rPr>
        <w:t>2</w:t>
      </w:r>
      <w:r>
        <w:rPr>
          <w:rFonts w:hint="eastAsia" w:ascii="宋体" w:hAnsi="宋体" w:cs="宋体"/>
          <w:sz w:val="24"/>
          <w:szCs w:val="24"/>
        </w:rPr>
        <w:t>.支持自定义开机通道，可设置默认通道，开机自动进入无需手动切换；</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w:t>
      </w:r>
      <w:r>
        <w:rPr>
          <w:rFonts w:hint="default" w:ascii="宋体" w:hAnsi="宋体" w:cs="宋体"/>
          <w:sz w:val="24"/>
          <w:szCs w:val="24"/>
        </w:rPr>
        <w:t>3</w:t>
      </w:r>
      <w:r>
        <w:rPr>
          <w:rFonts w:hint="eastAsia" w:ascii="宋体" w:hAnsi="宋体" w:cs="宋体"/>
          <w:sz w:val="24"/>
          <w:szCs w:val="24"/>
        </w:rPr>
        <w:t>.具有通道记忆功能，未设置开机通道时开机默认回到上一次关机时的通道；</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w:t>
      </w:r>
      <w:r>
        <w:rPr>
          <w:rFonts w:hint="default" w:ascii="宋体" w:hAnsi="宋体" w:cs="宋体"/>
          <w:sz w:val="24"/>
          <w:szCs w:val="24"/>
        </w:rPr>
        <w:t>4</w:t>
      </w:r>
      <w:r>
        <w:rPr>
          <w:rFonts w:hint="eastAsia" w:ascii="宋体" w:hAnsi="宋体" w:cs="宋体"/>
          <w:sz w:val="24"/>
          <w:szCs w:val="24"/>
        </w:rPr>
        <w:t>.具有智能手势识别功能，在任意通道下可通过五指长按屏幕实现熄屏和唤醒屏幕，可识别五指上、下、左、右方向手势滑动调用相应功能，支持将各手势滑动方向自定义设置为主页、降半屏、批注、锁屏、经典护眼、纸质护眼、聚光灯、多任务、无操作等；</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w:t>
      </w:r>
      <w:r>
        <w:rPr>
          <w:rFonts w:hint="default" w:ascii="宋体" w:hAnsi="宋体" w:cs="宋体"/>
          <w:sz w:val="24"/>
          <w:szCs w:val="24"/>
        </w:rPr>
        <w:t>5</w:t>
      </w:r>
      <w:r>
        <w:rPr>
          <w:rFonts w:hint="eastAsia" w:ascii="宋体" w:hAnsi="宋体" w:cs="宋体"/>
          <w:sz w:val="24"/>
          <w:szCs w:val="24"/>
        </w:rPr>
        <w:t>.在任意信号源通道下支持十指长按屏幕5秒实现触摸锁定及解锁，触摸锁定时整机无法被触控操作；</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w:t>
      </w:r>
      <w:r>
        <w:rPr>
          <w:rFonts w:hint="default" w:ascii="宋体" w:hAnsi="宋体" w:cs="宋体"/>
          <w:sz w:val="24"/>
          <w:szCs w:val="24"/>
        </w:rPr>
        <w:t>6</w:t>
      </w:r>
      <w:r>
        <w:rPr>
          <w:rFonts w:hint="eastAsia" w:ascii="宋体" w:hAnsi="宋体" w:cs="宋体"/>
          <w:sz w:val="24"/>
          <w:szCs w:val="24"/>
        </w:rPr>
        <w:t>.具有智能U盘锁功能，可设置触摸及按键锁定，锁定后无法随意自由操作，需使用时插入USB key解锁；</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w:t>
      </w:r>
      <w:r>
        <w:rPr>
          <w:rFonts w:hint="default" w:ascii="宋体" w:hAnsi="宋体" w:cs="宋体"/>
          <w:sz w:val="24"/>
          <w:szCs w:val="24"/>
        </w:rPr>
        <w:t>7</w:t>
      </w:r>
      <w:r>
        <w:rPr>
          <w:rFonts w:hint="eastAsia" w:ascii="宋体" w:hAnsi="宋体" w:cs="宋体"/>
          <w:sz w:val="24"/>
          <w:szCs w:val="24"/>
        </w:rPr>
        <w:t>.具有一键开启录课功能，可将屏幕中显示的课件、音视频内容与老师人声同时录制；</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w:t>
      </w:r>
      <w:r>
        <w:rPr>
          <w:rFonts w:hint="default" w:ascii="宋体" w:hAnsi="宋体" w:cs="宋体"/>
          <w:sz w:val="24"/>
          <w:szCs w:val="24"/>
        </w:rPr>
        <w:t>8</w:t>
      </w:r>
      <w:r>
        <w:rPr>
          <w:rFonts w:hint="eastAsia" w:ascii="宋体" w:hAnsi="宋体" w:cs="宋体"/>
          <w:sz w:val="24"/>
          <w:szCs w:val="24"/>
        </w:rPr>
        <w:t>.支持本地升级和OTA在线升级两种方式对系统更新；</w:t>
      </w:r>
    </w:p>
    <w:p>
      <w:pPr>
        <w:pStyle w:val="28"/>
        <w:widowControl/>
        <w:spacing w:line="360" w:lineRule="auto"/>
        <w:ind w:firstLine="0" w:firstLineChars="0"/>
        <w:rPr>
          <w:rFonts w:ascii="宋体" w:hAnsi="宋体" w:cs="宋体"/>
          <w:sz w:val="24"/>
          <w:szCs w:val="24"/>
        </w:rPr>
      </w:pPr>
      <w:r>
        <w:rPr>
          <w:rFonts w:hint="default" w:ascii="宋体" w:hAnsi="宋体" w:cs="宋体"/>
          <w:sz w:val="24"/>
          <w:szCs w:val="24"/>
        </w:rPr>
        <w:t>79</w:t>
      </w:r>
      <w:r>
        <w:rPr>
          <w:rFonts w:hint="eastAsia" w:ascii="宋体" w:hAnsi="宋体" w:cs="宋体"/>
          <w:sz w:val="24"/>
          <w:szCs w:val="24"/>
        </w:rPr>
        <w:t>.可屏幕下移、降半屏显示，半屏显示时支持对半屏部分显示内容进行触控操作并可通过点击非显示画面区域快速返回全屏；</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8</w:t>
      </w:r>
      <w:r>
        <w:rPr>
          <w:rFonts w:hint="default" w:ascii="宋体" w:hAnsi="宋体" w:cs="宋体"/>
          <w:sz w:val="24"/>
          <w:szCs w:val="24"/>
        </w:rPr>
        <w:t>0</w:t>
      </w:r>
      <w:r>
        <w:rPr>
          <w:rFonts w:hint="eastAsia" w:ascii="宋体" w:hAnsi="宋体" w:cs="宋体"/>
          <w:sz w:val="24"/>
          <w:szCs w:val="24"/>
        </w:rPr>
        <w:t>.支持通过物理按键、手势及触摸快捷按键等方式快捷调用半屏模式；</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8</w:t>
      </w:r>
      <w:r>
        <w:rPr>
          <w:rFonts w:hint="default" w:ascii="宋体" w:hAnsi="宋体" w:cs="宋体"/>
          <w:sz w:val="24"/>
          <w:szCs w:val="24"/>
        </w:rPr>
        <w:t>1</w:t>
      </w:r>
      <w:r>
        <w:rPr>
          <w:rFonts w:hint="eastAsia" w:ascii="宋体" w:hAnsi="宋体" w:cs="宋体"/>
          <w:sz w:val="24"/>
          <w:szCs w:val="24"/>
        </w:rPr>
        <w:t>.具有分级降屏（1/3、1/2）功能，可根据使用情况自行选择降1/3或1/2屏；</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8</w:t>
      </w:r>
      <w:r>
        <w:rPr>
          <w:rFonts w:hint="default" w:ascii="宋体" w:hAnsi="宋体" w:cs="宋体"/>
          <w:sz w:val="24"/>
          <w:szCs w:val="24"/>
        </w:rPr>
        <w:t>2</w:t>
      </w:r>
      <w:r>
        <w:rPr>
          <w:rFonts w:hint="eastAsia" w:ascii="宋体" w:hAnsi="宋体" w:cs="宋体"/>
          <w:sz w:val="24"/>
          <w:szCs w:val="24"/>
        </w:rPr>
        <w:t>.开机启动后自动进入教学桌面，支持账号登录、退出及自动获取个人云端教学课件列表；</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8</w:t>
      </w:r>
      <w:r>
        <w:rPr>
          <w:rFonts w:hint="default" w:ascii="宋体" w:hAnsi="宋体" w:cs="宋体"/>
          <w:sz w:val="24"/>
          <w:szCs w:val="24"/>
        </w:rPr>
        <w:t>3</w:t>
      </w:r>
      <w:r>
        <w:rPr>
          <w:rFonts w:hint="eastAsia" w:ascii="宋体" w:hAnsi="宋体" w:cs="宋体"/>
          <w:sz w:val="24"/>
          <w:szCs w:val="24"/>
        </w:rPr>
        <w:t>.支持多种身份识别方式，支持通过账号登录、手机扫码登录；</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8</w:t>
      </w:r>
      <w:r>
        <w:rPr>
          <w:rFonts w:hint="default" w:ascii="宋体" w:hAnsi="宋体" w:cs="宋体"/>
          <w:sz w:val="24"/>
          <w:szCs w:val="24"/>
        </w:rPr>
        <w:t>4</w:t>
      </w:r>
      <w:r>
        <w:rPr>
          <w:rFonts w:hint="eastAsia" w:ascii="宋体" w:hAnsi="宋体" w:cs="宋体"/>
          <w:sz w:val="24"/>
          <w:szCs w:val="24"/>
        </w:rPr>
        <w:t>.支持统一互通的用户身份认证服务，账号登录后打开教学白板软件、校园美育软件时无需再次输入账号密码重复登录；</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8</w:t>
      </w:r>
      <w:r>
        <w:rPr>
          <w:rFonts w:hint="default" w:ascii="宋体" w:hAnsi="宋体" w:cs="宋体"/>
          <w:sz w:val="24"/>
          <w:szCs w:val="24"/>
        </w:rPr>
        <w:t>5</w:t>
      </w:r>
      <w:r>
        <w:rPr>
          <w:rFonts w:hint="eastAsia" w:ascii="宋体" w:hAnsi="宋体" w:cs="宋体"/>
          <w:sz w:val="24"/>
          <w:szCs w:val="24"/>
        </w:rPr>
        <w:t>.教学桌面支持教学常用的教学白板软件、视频展台软件、授课助手软件、WPS、文件管理器等，提供进入本机所有应用的入口，桌面软件支持自定义设置；</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8</w:t>
      </w:r>
      <w:r>
        <w:rPr>
          <w:rFonts w:hint="default" w:ascii="宋体" w:hAnsi="宋体" w:cs="宋体"/>
          <w:sz w:val="24"/>
          <w:szCs w:val="24"/>
        </w:rPr>
        <w:t>6</w:t>
      </w:r>
      <w:r>
        <w:rPr>
          <w:rFonts w:hint="eastAsia" w:ascii="宋体" w:hAnsi="宋体" w:cs="宋体"/>
          <w:sz w:val="24"/>
          <w:szCs w:val="24"/>
        </w:rPr>
        <w:t>.教学桌面教师登录账号后可自动获取并在桌面显示最近使用的教学课件，点击任意课件可直接进入授课模式并支持查看所有个人教学课件资源；</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8</w:t>
      </w:r>
      <w:r>
        <w:rPr>
          <w:rFonts w:hint="default" w:ascii="宋体" w:hAnsi="宋体" w:cs="宋体"/>
          <w:sz w:val="24"/>
          <w:szCs w:val="24"/>
        </w:rPr>
        <w:t>7</w:t>
      </w:r>
      <w:r>
        <w:rPr>
          <w:rFonts w:hint="eastAsia" w:ascii="宋体" w:hAnsi="宋体" w:cs="宋体"/>
          <w:sz w:val="24"/>
          <w:szCs w:val="24"/>
        </w:rPr>
        <w:t>.教学桌面具有白板软件预览功能，可一键点击预览画面免登录快速进入教学白板授课界面实现教学白板快速调用；</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8</w:t>
      </w:r>
      <w:r>
        <w:rPr>
          <w:rFonts w:hint="default" w:ascii="宋体" w:hAnsi="宋体" w:cs="宋体"/>
          <w:sz w:val="24"/>
          <w:szCs w:val="24"/>
        </w:rPr>
        <w:t>8</w:t>
      </w:r>
      <w:r>
        <w:rPr>
          <w:rFonts w:hint="eastAsia" w:ascii="宋体" w:hAnsi="宋体" w:cs="宋体"/>
          <w:sz w:val="24"/>
          <w:szCs w:val="24"/>
        </w:rPr>
        <w:t>.教学桌面具有画报轮播功能，通过主页快捷入口可自定义轮播内容、轮播间隔、播放时间等；</w:t>
      </w:r>
    </w:p>
    <w:p>
      <w:pPr>
        <w:pStyle w:val="28"/>
        <w:widowControl/>
        <w:spacing w:line="360" w:lineRule="auto"/>
        <w:ind w:firstLine="0" w:firstLineChars="0"/>
        <w:rPr>
          <w:rFonts w:ascii="宋体" w:hAnsi="宋体" w:cs="宋体"/>
          <w:sz w:val="24"/>
          <w:szCs w:val="24"/>
        </w:rPr>
      </w:pPr>
      <w:r>
        <w:rPr>
          <w:rFonts w:hint="default" w:ascii="宋体" w:hAnsi="宋体" w:cs="宋体"/>
          <w:sz w:val="24"/>
          <w:szCs w:val="24"/>
        </w:rPr>
        <w:t>89</w:t>
      </w:r>
      <w:r>
        <w:rPr>
          <w:rFonts w:hint="eastAsia" w:ascii="宋体" w:hAnsi="宋体" w:cs="宋体"/>
          <w:sz w:val="24"/>
          <w:szCs w:val="24"/>
        </w:rPr>
        <w:t>.教学桌面中的文件管理支持同时显示本地磁盘、移动类存储设备的文件资源；</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w:t>
      </w:r>
      <w:r>
        <w:rPr>
          <w:rFonts w:hint="default" w:ascii="宋体" w:hAnsi="宋体" w:cs="宋体"/>
          <w:sz w:val="24"/>
          <w:szCs w:val="24"/>
        </w:rPr>
        <w:t>0</w:t>
      </w:r>
      <w:r>
        <w:rPr>
          <w:rFonts w:hint="eastAsia" w:ascii="宋体" w:hAnsi="宋体" w:cs="宋体"/>
          <w:sz w:val="24"/>
          <w:szCs w:val="24"/>
        </w:rPr>
        <w:t>.内置全通道侧边栏快捷菜单，包括应用软件、小工具、信源切换、快捷设置、主页等，在任意显示通道下均可通过侧边栏一键进入该触摸菜单；</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w:t>
      </w:r>
      <w:r>
        <w:rPr>
          <w:rFonts w:hint="default" w:ascii="宋体" w:hAnsi="宋体" w:cs="宋体"/>
          <w:sz w:val="24"/>
          <w:szCs w:val="24"/>
        </w:rPr>
        <w:t>1</w:t>
      </w:r>
      <w:r>
        <w:rPr>
          <w:rFonts w:hint="eastAsia" w:ascii="宋体" w:hAnsi="宋体" w:cs="宋体"/>
          <w:sz w:val="24"/>
          <w:szCs w:val="24"/>
        </w:rPr>
        <w:t>.全通道侧边栏快捷菜单包含如下小工具：降半屏、锁屏、录屏、投屏、相机、自检等并支持自定义；</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w:t>
      </w:r>
      <w:r>
        <w:rPr>
          <w:rFonts w:hint="default" w:ascii="宋体" w:hAnsi="宋体" w:cs="宋体"/>
          <w:sz w:val="24"/>
          <w:szCs w:val="24"/>
        </w:rPr>
        <w:t>2</w:t>
      </w:r>
      <w:r>
        <w:rPr>
          <w:rFonts w:hint="eastAsia" w:ascii="宋体" w:hAnsi="宋体" w:cs="宋体"/>
          <w:sz w:val="24"/>
          <w:szCs w:val="24"/>
        </w:rPr>
        <w:t>.全通道侧边栏快捷菜单中应用软件可进行实时切换并打开，无需在已经开启任意应用软件全屏模式下退出当前应用再选择更换；</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w:t>
      </w:r>
      <w:r>
        <w:rPr>
          <w:rFonts w:hint="default" w:ascii="宋体" w:hAnsi="宋体" w:cs="宋体"/>
          <w:sz w:val="24"/>
          <w:szCs w:val="24"/>
        </w:rPr>
        <w:t>3</w:t>
      </w:r>
      <w:r>
        <w:rPr>
          <w:rFonts w:hint="eastAsia" w:ascii="宋体" w:hAnsi="宋体" w:cs="宋体"/>
          <w:sz w:val="24"/>
          <w:szCs w:val="24"/>
        </w:rPr>
        <w:t>.全通道侧边栏快捷菜单中可随时调起切换经典护眼模式、纸质护眼模式、自动亮度模式、音量和亮度调节、进入快捷整机设置；</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w:t>
      </w:r>
      <w:r>
        <w:rPr>
          <w:rFonts w:hint="default" w:ascii="宋体" w:hAnsi="宋体" w:cs="宋体"/>
          <w:sz w:val="24"/>
          <w:szCs w:val="24"/>
        </w:rPr>
        <w:t>4</w:t>
      </w:r>
      <w:r>
        <w:rPr>
          <w:rFonts w:hint="eastAsia" w:ascii="宋体" w:hAnsi="宋体" w:cs="宋体"/>
          <w:sz w:val="24"/>
          <w:szCs w:val="24"/>
        </w:rPr>
        <w:t>.处于非内置PC通道下支持调用屏幕快捷键一键回到PC通道；</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w:t>
      </w:r>
      <w:r>
        <w:rPr>
          <w:rFonts w:hint="default" w:ascii="宋体" w:hAnsi="宋体" w:cs="宋体"/>
          <w:sz w:val="24"/>
          <w:szCs w:val="24"/>
        </w:rPr>
        <w:t>5</w:t>
      </w:r>
      <w:r>
        <w:rPr>
          <w:rFonts w:hint="eastAsia" w:ascii="宋体" w:hAnsi="宋体" w:cs="宋体"/>
          <w:sz w:val="24"/>
          <w:szCs w:val="24"/>
        </w:rPr>
        <w:t>.全通道侧边栏支持在任意通道、页面使用批注小工具进行批注讲解，可切换书写笔颜色、截屏保存批注内容、清屏，可根据手与屏幕接触面积自动调整板擦工具大小；</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w:t>
      </w:r>
      <w:r>
        <w:rPr>
          <w:rFonts w:hint="default" w:ascii="宋体" w:hAnsi="宋体" w:cs="宋体"/>
          <w:sz w:val="24"/>
          <w:szCs w:val="24"/>
        </w:rPr>
        <w:t>6</w:t>
      </w:r>
      <w:r>
        <w:rPr>
          <w:rFonts w:hint="eastAsia" w:ascii="宋体" w:hAnsi="宋体" w:cs="宋体"/>
          <w:sz w:val="24"/>
          <w:szCs w:val="24"/>
        </w:rPr>
        <w:t>.截图：PC通道下侧边栏支持打开截图，可自行选择截取屏幕范围，点击截图即可成功截取屏幕并自动保存；</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w:t>
      </w:r>
      <w:r>
        <w:rPr>
          <w:rFonts w:hint="default" w:ascii="宋体" w:hAnsi="宋体" w:cs="宋体"/>
          <w:sz w:val="24"/>
          <w:szCs w:val="24"/>
        </w:rPr>
        <w:t>7</w:t>
      </w:r>
      <w:r>
        <w:rPr>
          <w:rFonts w:hint="eastAsia" w:ascii="宋体" w:hAnsi="宋体" w:cs="宋体"/>
          <w:sz w:val="24"/>
          <w:szCs w:val="24"/>
        </w:rPr>
        <w:t>.计时器：全通道侧边栏提供秒表正计时，点击开始计时便自动开始并实时显示时间；支持倒计时，输入某特定时间值，可精确到秒，点击开始即进入倒计时且倒计时结束后有声音提示；</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9</w:t>
      </w:r>
      <w:r>
        <w:rPr>
          <w:rFonts w:hint="default" w:ascii="宋体" w:hAnsi="宋体" w:cs="宋体"/>
          <w:sz w:val="24"/>
          <w:szCs w:val="24"/>
        </w:rPr>
        <w:t>8</w:t>
      </w:r>
      <w:r>
        <w:rPr>
          <w:rFonts w:hint="eastAsia" w:ascii="宋体" w:hAnsi="宋体" w:cs="宋体"/>
          <w:sz w:val="24"/>
          <w:szCs w:val="24"/>
        </w:rPr>
        <w:t>.放大镜：全通道侧边栏支持打开放大镜工具放大任意区域内容；</w:t>
      </w:r>
    </w:p>
    <w:p>
      <w:pPr>
        <w:pStyle w:val="28"/>
        <w:widowControl/>
        <w:spacing w:line="360" w:lineRule="auto"/>
        <w:ind w:firstLine="0" w:firstLineChars="0"/>
        <w:rPr>
          <w:rFonts w:ascii="宋体" w:hAnsi="宋体" w:cs="宋体"/>
          <w:sz w:val="24"/>
          <w:szCs w:val="24"/>
        </w:rPr>
      </w:pPr>
      <w:r>
        <w:rPr>
          <w:rFonts w:hint="default" w:ascii="宋体" w:hAnsi="宋体" w:cs="宋体"/>
          <w:sz w:val="24"/>
          <w:szCs w:val="24"/>
        </w:rPr>
        <w:t>99</w:t>
      </w:r>
      <w:r>
        <w:rPr>
          <w:rFonts w:hint="eastAsia" w:ascii="宋体" w:hAnsi="宋体" w:cs="宋体"/>
          <w:sz w:val="24"/>
          <w:szCs w:val="24"/>
        </w:rPr>
        <w:t>.聚光灯：全通道侧边栏支持打开聚光灯工具并可通过手势对聚光灯范围进行缩放；</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10</w:t>
      </w:r>
      <w:r>
        <w:rPr>
          <w:rFonts w:hint="default" w:ascii="宋体" w:hAnsi="宋体" w:cs="宋体"/>
          <w:sz w:val="24"/>
          <w:szCs w:val="24"/>
        </w:rPr>
        <w:t>0</w:t>
      </w:r>
      <w:r>
        <w:rPr>
          <w:rFonts w:hint="eastAsia" w:ascii="宋体" w:hAnsi="宋体" w:cs="宋体"/>
          <w:sz w:val="24"/>
          <w:szCs w:val="24"/>
        </w:rPr>
        <w:t>.计算器：全通道侧边栏支持打开计算器；</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10</w:t>
      </w:r>
      <w:r>
        <w:rPr>
          <w:rFonts w:hint="default" w:ascii="宋体" w:hAnsi="宋体" w:cs="宋体"/>
          <w:sz w:val="24"/>
          <w:szCs w:val="24"/>
        </w:rPr>
        <w:t>1</w:t>
      </w:r>
      <w:r>
        <w:rPr>
          <w:rFonts w:hint="eastAsia" w:ascii="宋体" w:hAnsi="宋体" w:cs="宋体"/>
          <w:sz w:val="24"/>
          <w:szCs w:val="24"/>
        </w:rPr>
        <w:t>.日历：全通道侧边栏支持打开日历快速查看日期；</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10</w:t>
      </w:r>
      <w:r>
        <w:rPr>
          <w:rFonts w:hint="default" w:ascii="宋体" w:hAnsi="宋体" w:cs="宋体"/>
          <w:sz w:val="24"/>
          <w:szCs w:val="24"/>
        </w:rPr>
        <w:t>2</w:t>
      </w:r>
      <w:r>
        <w:rPr>
          <w:rFonts w:hint="eastAsia" w:ascii="宋体" w:hAnsi="宋体" w:cs="宋体"/>
          <w:sz w:val="24"/>
          <w:szCs w:val="24"/>
        </w:rPr>
        <w:t>.倒数日：全通道侧边栏支持设置任意倒数日；</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10</w:t>
      </w:r>
      <w:r>
        <w:rPr>
          <w:rFonts w:hint="default" w:ascii="宋体" w:hAnsi="宋体" w:cs="宋体"/>
          <w:sz w:val="24"/>
          <w:szCs w:val="24"/>
        </w:rPr>
        <w:t>3</w:t>
      </w:r>
      <w:r>
        <w:rPr>
          <w:rFonts w:hint="eastAsia" w:ascii="宋体" w:hAnsi="宋体" w:cs="宋体"/>
          <w:sz w:val="24"/>
          <w:szCs w:val="24"/>
        </w:rPr>
        <w:t>.支持微信公众号报修和扫描整机自带二维码直接报修，用户可跟踪报修处理过程和处理结果；</w:t>
      </w:r>
    </w:p>
    <w:p>
      <w:pPr>
        <w:widowControl/>
        <w:spacing w:line="360" w:lineRule="auto"/>
        <w:rPr>
          <w:rFonts w:ascii="宋体" w:hAnsi="宋体" w:cs="宋体"/>
          <w:sz w:val="24"/>
          <w:szCs w:val="24"/>
        </w:rPr>
      </w:pPr>
      <w:r>
        <w:rPr>
          <w:rFonts w:hint="eastAsia" w:ascii="宋体" w:hAnsi="宋体" w:cs="宋体"/>
          <w:sz w:val="24"/>
          <w:szCs w:val="24"/>
        </w:rPr>
        <w:t>10</w:t>
      </w:r>
      <w:r>
        <w:rPr>
          <w:rFonts w:hint="default" w:ascii="宋体" w:hAnsi="宋体" w:cs="宋体"/>
          <w:sz w:val="24"/>
          <w:szCs w:val="24"/>
        </w:rPr>
        <w:t>4</w:t>
      </w:r>
      <w:r>
        <w:rPr>
          <w:rFonts w:hint="eastAsia" w:ascii="宋体" w:hAnsi="宋体" w:cs="宋体"/>
          <w:sz w:val="24"/>
          <w:szCs w:val="24"/>
        </w:rPr>
        <w:t>.触控系统</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1）采用红外触控技术，支持Windows系统中进行≥20点触控，支持在Android系统中进行≥20点触控。触摸分辨率32768*32768，触摸响应时间≤4ms；</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2）连续触控时连续的两次触控点检测时间间隔≤7ms，最小识别物≤2mm，触摸精度±1mm。</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3）屏幕触摸有效识别高度≤1.5mm，即触摸物体距离玻璃外表面高度≤1.5mm时触摸屏识别为点击操作；</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4）支持Windows、Mac Os及国产化操作系统外置电脑接入时无需安装触摸驱动；</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5）从Android通道切换到OPS通道后，触摸框在1s内达到可触控状态；从OPS通道切换到外部通道后，触摸框在3s内达到可触控状态；</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6）全通道具备触摸提示音并具备开关；</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7）触摸屏具有防遮挡功能，触摸接收器在单点或多点遮挡后仍能正常书写；</w:t>
      </w:r>
    </w:p>
    <w:p>
      <w:pPr>
        <w:pStyle w:val="28"/>
        <w:widowControl/>
        <w:spacing w:line="360" w:lineRule="auto"/>
        <w:ind w:firstLine="0" w:firstLineChars="0"/>
        <w:rPr>
          <w:rFonts w:ascii="宋体" w:hAnsi="宋体" w:cs="宋体"/>
          <w:color w:val="FF0000"/>
          <w:sz w:val="24"/>
          <w:szCs w:val="24"/>
        </w:rPr>
      </w:pPr>
      <w:r>
        <w:rPr>
          <w:rFonts w:hint="eastAsia" w:ascii="宋体" w:hAnsi="宋体" w:cs="宋体"/>
          <w:sz w:val="24"/>
          <w:szCs w:val="24"/>
        </w:rPr>
        <w:t>8）抗强光干扰，在≥200K LUX照度的环境下仍能正常书写</w:t>
      </w:r>
      <w:r>
        <w:rPr>
          <w:rFonts w:hint="eastAsia" w:ascii="宋体" w:hAnsi="宋体" w:cs="宋体"/>
          <w:b/>
          <w:bCs/>
          <w:sz w:val="24"/>
          <w:szCs w:val="24"/>
        </w:rPr>
        <w:t>。</w:t>
      </w:r>
      <w:bookmarkEnd w:id="0"/>
    </w:p>
    <w:p>
      <w:pPr>
        <w:spacing w:line="360" w:lineRule="auto"/>
        <w:rPr>
          <w:rFonts w:ascii="宋体" w:hAnsi="宋体" w:cs="宋体"/>
          <w:sz w:val="24"/>
          <w:szCs w:val="24"/>
        </w:rPr>
      </w:pPr>
      <w:r>
        <w:rPr>
          <w:rFonts w:hint="eastAsia" w:ascii="宋体" w:hAnsi="宋体" w:cs="宋体"/>
          <w:sz w:val="24"/>
          <w:szCs w:val="24"/>
        </w:rPr>
        <w:t>10</w:t>
      </w:r>
      <w:r>
        <w:rPr>
          <w:rFonts w:hint="default" w:ascii="宋体" w:hAnsi="宋体" w:cs="宋体"/>
          <w:sz w:val="24"/>
          <w:szCs w:val="24"/>
        </w:rPr>
        <w:t>5</w:t>
      </w:r>
      <w:r>
        <w:rPr>
          <w:rFonts w:hint="eastAsia" w:ascii="宋体" w:hAnsi="宋体" w:cs="宋体"/>
          <w:sz w:val="24"/>
          <w:szCs w:val="24"/>
        </w:rPr>
        <w:t>.安卓系统</w:t>
      </w:r>
    </w:p>
    <w:p>
      <w:pPr>
        <w:pStyle w:val="28"/>
        <w:widowControl/>
        <w:spacing w:line="360" w:lineRule="auto"/>
        <w:ind w:firstLine="0" w:firstLineChars="0"/>
        <w:rPr>
          <w:rFonts w:ascii="宋体" w:hAnsi="宋体" w:cs="宋体"/>
          <w:sz w:val="24"/>
          <w:szCs w:val="24"/>
        </w:rPr>
      </w:pPr>
      <w:r>
        <w:rPr>
          <w:rFonts w:hint="eastAsia" w:ascii="宋体" w:hAnsi="宋体" w:cs="宋体"/>
          <w:sz w:val="24"/>
          <w:szCs w:val="24"/>
        </w:rPr>
        <w:t>1）嵌入式安卓系统版本≥Android 11，内存≥3GB，存储空间≥16GB；</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2）</w:t>
      </w:r>
      <w:r>
        <w:rPr>
          <w:rFonts w:hint="eastAsia" w:ascii="宋体" w:hAnsi="宋体" w:cs="宋体"/>
          <w:color w:val="000000" w:themeColor="text1"/>
          <w:sz w:val="24"/>
          <w:szCs w:val="24"/>
          <w14:textFill>
            <w14:solidFill>
              <w14:schemeClr w14:val="tx1"/>
            </w14:solidFill>
          </w14:textFill>
        </w:rPr>
        <w:t>嵌入式安卓系统下主界面、菜单、图标、文字均为4K超高清显示；</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3）无PC状态、嵌入式安卓系统下可实现Windows系统中常用的教学应用，如白板书写、WPS软件使用和网页浏览；</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4）在嵌入式安卓系统下能对USB接口所读取到的文件进行自动归类，可分类查找文档、安装包、图片、音视频，检索后可直接在界面中打开；</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5）安卓系统下提供快捷桌面，可快捷进入白板、文件管理、电脑桌面、浏览器及更多应用；</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6）内置硬件自检工具（非第三方工具）可一键进行硬件系统自动检测，对系统内存空间、存储空间、wifi状态、OPS状态、本机温度、光感、触摸系统等提供直观的状态提示；</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7）温度监控工具：具有温度监控功能可实时检测整机温度值（CPU）并在安卓主页显示实时温度信息，能够根据温度变化显示不同颜色进行预警，温度过高时自动进行断电保护；</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8）嵌入式安卓系统下白板支持对已经书写的笔迹和形状的颜色进行更换；</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9）嵌入式安卓系统下白板支持对已经书写的笔迹和形状进行选择，拖拽移位、缩放；</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10）嵌入式安卓系统下白板支持20点书写及手掌擦除（手掌擦除面积根据手掌与屏幕的接触面大小自动调整）；</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11）嵌入式安卓系统下白板支持全局漫游并能对全局内容进行预览及移动；</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12）嵌入式安卓系统下白板书写内容可导出课件、图片、PDF等格式，支持10种以上平面图形工具及8种以上立体图形工具；</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13）嵌入式安卓系统下白板支持不同背景颜色，提供11种学科专用背景，如横线格、米字格、拼音格、田字格、五线谱、作文纸、篮球场、网球场、羽毛球场、足球场、排球场；</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14）嵌入式安卓系统下白板支持将页面内容生成分享二维码，扫码后可在手机端进行查看及二次分享；</w:t>
      </w:r>
    </w:p>
    <w:p>
      <w:pPr>
        <w:pStyle w:val="28"/>
        <w:widowControl/>
        <w:spacing w:line="360" w:lineRule="auto"/>
        <w:ind w:firstLine="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15）嵌入式安卓系统下内置通过权威眼科医院临床试验验证的电子视力表软件，支持通过触摸、手势、遥控器方式进行视力检测</w:t>
      </w:r>
      <w:r>
        <w:rPr>
          <w:rFonts w:hint="eastAsia" w:ascii="宋体" w:hAnsi="宋体" w:cs="宋体"/>
          <w:b/>
          <w:bCs/>
          <w:sz w:val="24"/>
          <w:szCs w:val="24"/>
        </w:rPr>
        <w:t>；</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16）支持进行单人视力检测及全班视力检测；</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17）支持裸眼检测和戴镜检测两种检测方式；</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18）支持在系统后台批量导入学生名单；</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19）支持护眼百科内容浏览播放，包含专家视频、护眼动画等；</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20）支持在系统后台自动生成学生视力档案，支持在系统后台导出视力数据进行统计分析；</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21）班级视力数据可实时同步至教师账号，教师和学校管理员可在后台查看、分析、导出视力数据。</w:t>
      </w:r>
    </w:p>
    <w:p>
      <w:pPr>
        <w:pStyle w:val="28"/>
        <w:widowControl/>
        <w:spacing w:line="360" w:lineRule="auto"/>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r>
        <w:rPr>
          <w:rFonts w:hint="default"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.含ops模块，ops配置：I5-11300H、8G、256G；</w:t>
      </w:r>
    </w:p>
    <w:p>
      <w:pPr>
        <w:pStyle w:val="28"/>
        <w:widowControl/>
        <w:spacing w:line="360" w:lineRule="auto"/>
        <w:ind w:firstLine="0" w:firstLineChars="0"/>
        <w:rPr>
          <w:rFonts w:ascii="宋体" w:hAnsi="宋体"/>
          <w:b/>
          <w:sz w:val="24"/>
          <w:szCs w:val="24"/>
        </w:rPr>
      </w:pPr>
      <w:r>
        <w:rPr>
          <w:rFonts w:hint="eastAsia" w:ascii="宋体" w:hAnsi="宋体" w:cs="宋体"/>
          <w:color w:val="000000" w:themeColor="text1"/>
          <w:sz w:val="24"/>
          <w:szCs w:val="24"/>
          <w14:textFill>
            <w14:solidFill>
              <w14:schemeClr w14:val="tx1"/>
            </w14:solidFill>
          </w14:textFill>
        </w:rPr>
        <w:t>10</w:t>
      </w:r>
      <w:r>
        <w:rPr>
          <w:rFonts w:hint="default"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.含移动支架及投屏器。</w:t>
      </w:r>
    </w:p>
    <w:p>
      <w:pPr>
        <w:spacing w:line="360" w:lineRule="auto"/>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三</w:t>
      </w:r>
      <w:r>
        <w:rPr>
          <w:rFonts w:ascii="宋体" w:hAnsi="宋体"/>
          <w:b/>
          <w:color w:val="auto"/>
          <w:sz w:val="24"/>
          <w:szCs w:val="24"/>
          <w:highlight w:val="none"/>
        </w:rPr>
        <w:t>、</w:t>
      </w:r>
      <w:r>
        <w:rPr>
          <w:rFonts w:hint="eastAsia" w:ascii="宋体" w:hAnsi="宋体"/>
          <w:b/>
          <w:color w:val="auto"/>
          <w:sz w:val="24"/>
          <w:szCs w:val="24"/>
          <w:highlight w:val="none"/>
          <w:lang w:val="en-US" w:eastAsia="zh-CN"/>
        </w:rPr>
        <w:t>商务要求</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1、工期：按采购人要求</w:t>
      </w:r>
      <w:r>
        <w:rPr>
          <w:rFonts w:hint="eastAsia" w:ascii="宋体" w:hAnsi="宋体" w:eastAsia="宋体" w:cs="宋体"/>
          <w:sz w:val="24"/>
          <w:highlight w:val="none"/>
          <w:lang w:val="en-US" w:eastAsia="zh-CN"/>
        </w:rPr>
        <w:t>一个月</w:t>
      </w:r>
      <w:r>
        <w:rPr>
          <w:rFonts w:hint="eastAsia" w:ascii="宋体" w:hAnsi="宋体" w:eastAsia="宋体" w:cs="宋体"/>
          <w:sz w:val="24"/>
          <w:highlight w:val="none"/>
        </w:rPr>
        <w:t>完成并验收合格。</w:t>
      </w:r>
    </w:p>
    <w:p>
      <w:pPr>
        <w:keepNext w:val="0"/>
        <w:keepLines w:val="0"/>
        <w:pageBreakBefore w:val="0"/>
        <w:widowControl w:val="0"/>
        <w:kinsoku/>
        <w:wordWrap/>
        <w:overflowPunct/>
        <w:topLinePunct w:val="0"/>
        <w:autoSpaceDE/>
        <w:autoSpaceDN/>
        <w:bidi w:val="0"/>
        <w:snapToGrid/>
        <w:spacing w:line="360" w:lineRule="auto"/>
        <w:ind w:firstLine="482" w:firstLineChars="200"/>
        <w:outlineLvl w:val="2"/>
        <w:rPr>
          <w:rFonts w:hint="eastAsia" w:ascii="宋体" w:hAnsi="宋体" w:eastAsia="宋体" w:cs="宋体"/>
          <w:b/>
          <w:bCs/>
          <w:sz w:val="24"/>
          <w:highlight w:val="none"/>
        </w:rPr>
      </w:pPr>
      <w:r>
        <w:rPr>
          <w:rFonts w:hint="eastAsia" w:ascii="宋体" w:hAnsi="宋体" w:eastAsia="宋体" w:cs="宋体"/>
          <w:b/>
          <w:bCs/>
          <w:sz w:val="24"/>
          <w:highlight w:val="none"/>
        </w:rPr>
        <w:t>2、质保期</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设备验收合格后免费保修≥</w:t>
      </w:r>
      <w:r>
        <w:rPr>
          <w:rFonts w:hint="eastAsia" w:hAnsi="宋体" w:cs="宋体"/>
          <w:sz w:val="24"/>
          <w:highlight w:val="none"/>
          <w:lang w:val="en-US" w:eastAsia="zh-CN"/>
        </w:rPr>
        <w:t>1</w:t>
      </w:r>
      <w:r>
        <w:rPr>
          <w:rFonts w:hint="eastAsia" w:ascii="宋体" w:hAnsi="宋体" w:eastAsia="宋体" w:cs="宋体"/>
          <w:sz w:val="24"/>
          <w:highlight w:val="none"/>
        </w:rPr>
        <w:t>年（生产厂家对设备另有超过相应年限保修规定的，按原规定执行），保证开机率大于95%（365天计）。维修响应时间＜4小时，工程师24-48小时内到位并排除故障。保修后免费维修，只收零配件成本费，保证零配件供应8年。质保期外的服务，不得收取任何上门费。</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outlineLvl w:val="2"/>
        <w:rPr>
          <w:rFonts w:hint="eastAsia" w:ascii="宋体" w:hAnsi="宋体" w:eastAsia="宋体" w:cs="宋体"/>
          <w:sz w:val="24"/>
          <w:highlight w:val="none"/>
        </w:rPr>
      </w:pPr>
      <w:r>
        <w:rPr>
          <w:rFonts w:hint="eastAsia" w:ascii="宋体" w:hAnsi="宋体" w:eastAsia="宋体" w:cs="宋体"/>
          <w:sz w:val="24"/>
          <w:highlight w:val="none"/>
        </w:rPr>
        <w:t>3、设备培训</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设备安装完成后，厂方工程师应免费提供对用户的使用人员应用培训和工程师的常规维护培训（列出具体的培训方案，如提供院外培训，供方负责需方人员培训期间的一切费用(包括差旅费、食宿费用等)），具体细节由院方定。</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在设备使用后，供方根据用户的要求，派专家对用户的使用人员进行应用水平的培训。</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4、提供操作手册、维修手册（包括详细的维修技术资料、维修线路图、软件等）中、英文说明书。</w:t>
      </w:r>
    </w:p>
    <w:p>
      <w:pPr>
        <w:pStyle w:val="6"/>
        <w:keepNext w:val="0"/>
        <w:keepLines w:val="0"/>
        <w:pageBreakBefore w:val="0"/>
        <w:widowControl w:val="0"/>
        <w:kinsoku/>
        <w:wordWrap/>
        <w:overflowPunct/>
        <w:topLinePunct w:val="0"/>
        <w:autoSpaceDE/>
        <w:autoSpaceDN/>
        <w:bidi w:val="0"/>
        <w:snapToGrid/>
        <w:spacing w:line="360" w:lineRule="auto"/>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5、验收标准</w:t>
      </w:r>
    </w:p>
    <w:p>
      <w:pPr>
        <w:pStyle w:val="6"/>
        <w:keepNext w:val="0"/>
        <w:keepLines w:val="0"/>
        <w:pageBreakBefore w:val="0"/>
        <w:widowControl w:val="0"/>
        <w:kinsoku/>
        <w:wordWrap/>
        <w:overflowPunct/>
        <w:topLinePunct w:val="0"/>
        <w:autoSpaceDE/>
        <w:autoSpaceDN/>
        <w:bidi w:val="0"/>
        <w:snapToGrid/>
        <w:spacing w:line="360" w:lineRule="auto"/>
        <w:ind w:firstLine="484" w:firstLineChars="201"/>
        <w:rPr>
          <w:rFonts w:hint="eastAsia" w:ascii="宋体" w:hAnsi="宋体" w:eastAsia="宋体" w:cs="宋体"/>
          <w:b/>
          <w:sz w:val="24"/>
          <w:highlight w:val="none"/>
        </w:rPr>
      </w:pPr>
      <w:r>
        <w:rPr>
          <w:rFonts w:hint="eastAsia" w:ascii="宋体" w:hAnsi="宋体" w:eastAsia="宋体" w:cs="宋体"/>
          <w:b/>
          <w:sz w:val="24"/>
          <w:highlight w:val="none"/>
        </w:rPr>
        <w:t>根据中华人民共和国现行技术标准，按采购文件以及合同规定的验收评定标准等规范，由采购人根据《政府采购合同履约和验收管理办法（暂行）》（义招管办【2008】32号）文件要求和《义乌市关于规范政府采购管理的若干意见》（义政办发【2017】102号）要求，组织验收。</w:t>
      </w:r>
    </w:p>
    <w:p>
      <w:pPr>
        <w:spacing w:line="420" w:lineRule="exact"/>
        <w:ind w:firstLine="482" w:firstLineChars="200"/>
        <w:rPr>
          <w:rFonts w:hint="default" w:hAnsi="宋体" w:eastAsia="宋体"/>
          <w:b/>
          <w:color w:val="auto"/>
          <w:sz w:val="24"/>
          <w:szCs w:val="24"/>
          <w:highlight w:val="none"/>
          <w:lang w:val="en-US" w:eastAsia="zh-CN"/>
        </w:rPr>
      </w:pPr>
    </w:p>
    <w:p>
      <w:pPr>
        <w:pStyle w:val="6"/>
        <w:spacing w:line="360" w:lineRule="auto"/>
        <w:rPr>
          <w:rFonts w:hint="eastAsia" w:hAnsi="宋体" w:eastAsia="宋体"/>
          <w:b/>
          <w:color w:val="auto"/>
          <w:sz w:val="24"/>
          <w:szCs w:val="24"/>
          <w:highlight w:val="none"/>
          <w:lang w:eastAsia="zh-CN"/>
        </w:rPr>
      </w:pPr>
      <w:r>
        <w:rPr>
          <w:rFonts w:hint="eastAsia" w:hAnsi="宋体"/>
          <w:b/>
          <w:color w:val="auto"/>
          <w:sz w:val="24"/>
          <w:szCs w:val="24"/>
          <w:highlight w:val="none"/>
          <w:lang w:val="en-US" w:eastAsia="zh-CN"/>
        </w:rPr>
        <w:t>四</w:t>
      </w:r>
      <w:r>
        <w:rPr>
          <w:rFonts w:hAnsi="宋体"/>
          <w:b/>
          <w:color w:val="auto"/>
          <w:sz w:val="24"/>
          <w:szCs w:val="24"/>
          <w:highlight w:val="none"/>
        </w:rPr>
        <w:t>、结算方式及付款方式</w:t>
      </w:r>
    </w:p>
    <w:p>
      <w:pPr>
        <w:pStyle w:val="6"/>
        <w:spacing w:line="360" w:lineRule="auto"/>
        <w:rPr>
          <w:rFonts w:hint="eastAsia" w:hAnsi="宋体" w:eastAsia="宋体"/>
          <w:color w:val="auto"/>
          <w:sz w:val="24"/>
          <w:szCs w:val="24"/>
          <w:highlight w:val="none"/>
          <w:lang w:eastAsia="zh-CN"/>
        </w:rPr>
      </w:pPr>
      <w:r>
        <w:rPr>
          <w:rFonts w:hAnsi="宋体"/>
          <w:color w:val="auto"/>
          <w:sz w:val="24"/>
          <w:szCs w:val="24"/>
          <w:highlight w:val="none"/>
        </w:rPr>
        <w:t xml:space="preserve">   </w:t>
      </w:r>
      <w:r>
        <w:rPr>
          <w:rFonts w:hint="eastAsia" w:hAnsi="宋体"/>
          <w:color w:val="auto"/>
          <w:sz w:val="24"/>
          <w:szCs w:val="24"/>
          <w:highlight w:val="none"/>
        </w:rPr>
        <w:t>全部货物最终验收合格后30个工作日内，</w:t>
      </w:r>
      <w:r>
        <w:rPr>
          <w:rFonts w:hint="eastAsia" w:hAnsi="宋体"/>
          <w:color w:val="auto"/>
          <w:sz w:val="24"/>
          <w:szCs w:val="24"/>
          <w:highlight w:val="none"/>
          <w:lang w:val="en-US" w:eastAsia="zh-CN"/>
        </w:rPr>
        <w:t>甲方根据合同、发票、验收单</w:t>
      </w:r>
      <w:r>
        <w:rPr>
          <w:rFonts w:hint="eastAsia" w:hAnsi="宋体"/>
          <w:color w:val="auto"/>
          <w:sz w:val="24"/>
          <w:szCs w:val="24"/>
          <w:highlight w:val="none"/>
        </w:rPr>
        <w:t>向乙方支付全部货款</w:t>
      </w:r>
      <w:r>
        <w:rPr>
          <w:rFonts w:hint="eastAsia" w:hAnsi="宋体"/>
          <w:color w:val="auto"/>
          <w:sz w:val="24"/>
          <w:szCs w:val="24"/>
          <w:highlight w:val="none"/>
          <w:lang w:eastAsia="zh-CN"/>
        </w:rPr>
        <w:t>。</w:t>
      </w:r>
    </w:p>
    <w:p>
      <w:pPr>
        <w:pStyle w:val="6"/>
        <w:spacing w:line="360" w:lineRule="auto"/>
        <w:rPr>
          <w:rFonts w:hint="eastAsia" w:hAnsi="宋体"/>
          <w:color w:val="auto"/>
          <w:sz w:val="24"/>
          <w:szCs w:val="24"/>
          <w:highlight w:val="none"/>
        </w:rPr>
      </w:pPr>
    </w:p>
    <w:p>
      <w:pPr>
        <w:pStyle w:val="6"/>
        <w:spacing w:line="360" w:lineRule="auto"/>
        <w:rPr>
          <w:rFonts w:hAnsi="宋体"/>
          <w:b/>
          <w:color w:val="auto"/>
          <w:sz w:val="24"/>
          <w:szCs w:val="24"/>
          <w:highlight w:val="none"/>
        </w:rPr>
      </w:pPr>
      <w:r>
        <w:rPr>
          <w:rFonts w:hint="eastAsia" w:hAnsi="宋体"/>
          <w:b/>
          <w:color w:val="auto"/>
          <w:sz w:val="24"/>
          <w:szCs w:val="24"/>
          <w:highlight w:val="none"/>
          <w:lang w:val="en-US" w:eastAsia="zh-CN"/>
        </w:rPr>
        <w:t>五</w:t>
      </w:r>
      <w:r>
        <w:rPr>
          <w:rFonts w:hAnsi="宋体"/>
          <w:b/>
          <w:color w:val="auto"/>
          <w:sz w:val="24"/>
          <w:szCs w:val="24"/>
          <w:highlight w:val="none"/>
        </w:rPr>
        <w:t>、</w:t>
      </w:r>
      <w:r>
        <w:rPr>
          <w:rFonts w:hint="eastAsia" w:hAnsi="宋体"/>
          <w:b/>
          <w:color w:val="auto"/>
          <w:sz w:val="24"/>
          <w:szCs w:val="24"/>
          <w:highlight w:val="none"/>
        </w:rPr>
        <w:t>其他</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1．中标人不得转包、分包。</w:t>
      </w:r>
    </w:p>
    <w:p>
      <w:pPr>
        <w:spacing w:line="360" w:lineRule="auto"/>
        <w:ind w:left="479" w:leftChars="228"/>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投标方在投标前可以自行到现场进行实地踏勘，招标单位不另行组织现场勘察会。</w:t>
      </w: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投标单位报价时应以人民币为计算单位，报价总金额到元为止。报价中的管理费、利润、税费等其他费用由各参标单位自行考虑。本次招投标相关资料文件概不退还。</w:t>
      </w:r>
    </w:p>
    <w:p>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4、请投标方认真仔细阅读招标书，若与招标文件不符的请在投标文件中做补充说明， 例如付款方式、结算方式、售后等。</w:t>
      </w:r>
    </w:p>
    <w:p>
      <w:pPr>
        <w:spacing w:line="360" w:lineRule="auto"/>
        <w:ind w:firstLine="720" w:firstLineChars="200"/>
        <w:rPr>
          <w:color w:val="auto"/>
          <w:sz w:val="36"/>
          <w:highlight w:val="none"/>
        </w:rPr>
      </w:pPr>
      <w:r>
        <w:rPr>
          <w:color w:val="auto"/>
          <w:sz w:val="36"/>
          <w:highlight w:val="none"/>
        </w:rPr>
        <w:t xml:space="preserve">       </w:t>
      </w:r>
    </w:p>
    <w:p>
      <w:pPr>
        <w:pStyle w:val="2"/>
      </w:pPr>
    </w:p>
    <w:p>
      <w:pPr>
        <w:pStyle w:val="2"/>
        <w:rPr>
          <w:color w:val="auto"/>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第四章   投标文件要求</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一、对投标文件的要求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olor w:val="auto"/>
          <w:sz w:val="24"/>
          <w:szCs w:val="21"/>
          <w:highlight w:val="none"/>
        </w:rPr>
        <w:t>1．投标方应仔细阅读招标文件的所有内容，按招标文件的要求提供投标文件，并保证所提供的全部资料的真实性，以使其投标对招标文件做出实质性响应，否则，其投标可能被拒绝</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szCs w:val="21"/>
          <w:highlight w:val="none"/>
        </w:rPr>
      </w:pPr>
      <w:r>
        <w:rPr>
          <w:rFonts w:ascii="宋体" w:hAnsi="宋体"/>
          <w:color w:val="auto"/>
          <w:sz w:val="24"/>
          <w:szCs w:val="21"/>
          <w:highlight w:val="none"/>
        </w:rPr>
        <w:t>2</w:t>
      </w:r>
      <w:r>
        <w:rPr>
          <w:rFonts w:hint="eastAsia" w:ascii="宋体" w:hAnsi="宋体"/>
          <w:color w:val="auto"/>
          <w:sz w:val="24"/>
          <w:szCs w:val="21"/>
          <w:highlight w:val="none"/>
        </w:rPr>
        <w:t>．</w:t>
      </w:r>
      <w:r>
        <w:rPr>
          <w:rFonts w:ascii="宋体" w:hAnsi="宋体"/>
          <w:color w:val="auto"/>
          <w:sz w:val="24"/>
          <w:szCs w:val="21"/>
          <w:highlight w:val="none"/>
        </w:rPr>
        <w:t>在招标文件对技术要求中，投标人必须充分应答和满足用户的强制性的需求，如“★”等，否则将导致废标。</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二、投标文件的组成</w:t>
      </w:r>
    </w:p>
    <w:p>
      <w:pPr>
        <w:widowControl/>
        <w:spacing w:line="420" w:lineRule="atLeast"/>
        <w:ind w:firstLine="48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递交的投标文件应分为技术标和商务标，技术标为除商务报价外的所有内容，且技术标和商务标分开制作，并单独密封包装。</w:t>
      </w:r>
      <w:r>
        <w:rPr>
          <w:rFonts w:ascii="宋体" w:hAnsi="宋体" w:cs="宋体"/>
          <w:b/>
          <w:bCs/>
          <w:color w:val="auto"/>
          <w:kern w:val="0"/>
          <w:sz w:val="24"/>
          <w:szCs w:val="24"/>
          <w:highlight w:val="none"/>
        </w:rPr>
        <w:t>技术标（含资信与服务）不得含商务报价，否则作无效标处理。</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技术标：</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应包括下列内容（包含但不仅限于以下）并应按顺序装订成册(复印件需加盖单位公章，提供的所有证书应在有效期内)</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（1）营业执照副本（复印件加盖公章）；组织机构代码证副本（复印件加盖公章）、税务登记证副本（复印件加盖公章）；</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（2）法人资格证明或法人代表授权书；</w:t>
      </w:r>
    </w:p>
    <w:p>
      <w:pPr>
        <w:pStyle w:val="6"/>
        <w:spacing w:line="46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（3）法定代表人或授权代表的身份证（复印件）；</w:t>
      </w:r>
    </w:p>
    <w:p>
      <w:pPr>
        <w:widowControl/>
        <w:spacing w:line="420" w:lineRule="atLeast"/>
        <w:ind w:left="48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（4）售后服务的及时性等保证措施</w:t>
      </w:r>
      <w:r>
        <w:rPr>
          <w:rFonts w:hint="eastAsia" w:ascii="宋体" w:hAnsi="宋体" w:cs="宋体"/>
          <w:color w:val="auto"/>
          <w:kern w:val="0"/>
          <w:sz w:val="24"/>
          <w:szCs w:val="24"/>
          <w:highlight w:val="none"/>
          <w:lang w:eastAsia="zh-CN"/>
        </w:rPr>
        <w:t>；</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）对本次采购货物及供货服务的具体方案，包括供货方案、服务团队、常驻联系人等；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）产品质量保证措施、产品的质量保证承诺；</w:t>
      </w:r>
    </w:p>
    <w:p>
      <w:pPr>
        <w:widowControl/>
        <w:spacing w:line="420" w:lineRule="atLeast"/>
        <w:ind w:left="48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）售前、售后服务内容和服务承诺</w:t>
      </w:r>
      <w:r>
        <w:rPr>
          <w:rFonts w:hint="eastAsia" w:ascii="宋体" w:hAnsi="宋体" w:cs="宋体"/>
          <w:color w:val="auto"/>
          <w:kern w:val="0"/>
          <w:sz w:val="24"/>
          <w:szCs w:val="24"/>
          <w:highlight w:val="none"/>
          <w:lang w:eastAsia="zh-CN"/>
        </w:rPr>
        <w:t>；</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）投标人能够给予招标人的其他优惠条件；</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）其他投标人认为应该提交给招标人的资料（如业绩）；</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）各种能体现投标人实力的响应内容或有利于招标人的各种承诺等；</w:t>
      </w:r>
    </w:p>
    <w:p>
      <w:pPr>
        <w:widowControl/>
        <w:spacing w:line="420" w:lineRule="atLeast"/>
        <w:ind w:left="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）若有技术偏离，详细列明技术偏离部分；</w:t>
      </w:r>
      <w:r>
        <w:rPr>
          <w:rFonts w:hint="eastAsia" w:ascii="宋体" w:hAnsi="宋体" w:cs="宋体"/>
          <w:b/>
          <w:color w:val="auto"/>
          <w:kern w:val="0"/>
          <w:sz w:val="24"/>
          <w:szCs w:val="24"/>
          <w:highlight w:val="none"/>
        </w:rPr>
        <w:t>（选填）</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商务标：</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（1）投标函（附件三）</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（2）报价一览表（附件五）</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（3）投标报价明细表（附件六）</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三、投标报价要求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1．投标均以人民币报价。</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投标报价包括货物价款、途中运输费、装卸费、保险费、利润、税金、完成本项目的其它费用和政策性文件规定及合同包含的所有风险、责任等各项应有费用，如有漏项，视同已包含在其总项目中，合同总价不予调整</w:t>
      </w:r>
      <w:r>
        <w:rPr>
          <w:rFonts w:hint="eastAsia" w:ascii="宋体" w:hAnsi="宋体" w:cs="宋体"/>
          <w:color w:val="auto"/>
          <w:kern w:val="0"/>
          <w:sz w:val="24"/>
          <w:szCs w:val="24"/>
          <w:highlight w:val="none"/>
        </w:rPr>
        <w:t>。</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投标文件报价出现前后不一致的，按照下列规定修正：</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投标文件中开标一览表（报价表）内容与投标文件中相应内容不一致的，以开标一览表（报价表）为准；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大写金额和小写金额不一致的，以大写金额为准；</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单价金额小数点或者百分比有明显错位的，以开标一览表的总价为准，并修改单价；</w:t>
      </w:r>
    </w:p>
    <w:p>
      <w:pPr>
        <w:snapToGrid w:val="0"/>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总价金额与按单价汇总金额不一致的，以单价金额计算结果为准。</w:t>
      </w:r>
    </w:p>
    <w:p>
      <w:pPr>
        <w:pStyle w:val="6"/>
        <w:spacing w:line="420" w:lineRule="atLeast"/>
        <w:ind w:firstLine="480" w:firstLineChars="200"/>
        <w:rPr>
          <w:rFonts w:hAnsi="宋体" w:cs="宋体"/>
          <w:color w:val="auto"/>
          <w:kern w:val="0"/>
          <w:sz w:val="24"/>
          <w:szCs w:val="24"/>
          <w:highlight w:val="none"/>
        </w:rPr>
      </w:pPr>
      <w:r>
        <w:rPr>
          <w:rFonts w:hAnsi="宋体" w:cs="宋体"/>
          <w:color w:val="auto"/>
          <w:kern w:val="0"/>
          <w:sz w:val="24"/>
          <w:szCs w:val="24"/>
          <w:highlight w:val="none"/>
        </w:rPr>
        <w:t>同时出现两种以上不一致的，按照前款规定的顺序修正。修正后的报价由投标人法定代表人或其授权代表签字确认后产生约束力，投标人不确认的，其投标无效。</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中标后，</w:t>
      </w:r>
      <w:r>
        <w:rPr>
          <w:rFonts w:ascii="宋体" w:hAnsi="宋体" w:cs="宋体"/>
          <w:b/>
          <w:color w:val="auto"/>
          <w:kern w:val="0"/>
          <w:sz w:val="24"/>
          <w:szCs w:val="24"/>
          <w:highlight w:val="none"/>
        </w:rPr>
        <w:t>中标人所填写的单价在合同实施期间不因市场变化因素而变动</w:t>
      </w:r>
      <w:r>
        <w:rPr>
          <w:rFonts w:ascii="宋体" w:hAnsi="宋体" w:cs="宋体"/>
          <w:color w:val="auto"/>
          <w:kern w:val="0"/>
          <w:sz w:val="24"/>
          <w:szCs w:val="24"/>
          <w:highlight w:val="none"/>
        </w:rPr>
        <w:t>；投标人在计算报价时应考虑一定的风险系数。</w:t>
      </w:r>
    </w:p>
    <w:p>
      <w:pPr>
        <w:spacing w:line="420" w:lineRule="atLeas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投标人应按招标文件规定的报价格式进行投标报价。投标人对每种货物只允许有一个报价，采购人不接受任何有选择性的报价。</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四、投标文件制作要求</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1．投标文件正本必须用不退色的墨水填写或打印，幅面规格A4并装订成册，副本可用复印件。投标文件须一式</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份（正本1份，副本</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份），分别加盖“正本”“副本”印章。正本与副本如有差别，以正本为准，责任由投标人自负。</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2．投标文件中不许有加行、涂抹或改写。若修改错漏处，须由法定代表人或其授权代表签字并加盖单位公章方可生效。</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3．投标文件封面应标明“正本”或“副本”字样。</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b/>
          <w:bCs/>
          <w:color w:val="auto"/>
          <w:kern w:val="0"/>
          <w:sz w:val="24"/>
          <w:szCs w:val="24"/>
          <w:highlight w:val="none"/>
        </w:rPr>
        <w:t>技术标和商务标分开制作并单独密封包装，全部投标文件应装入同一密封袋内，封口处应有投标人法定代表人或其授权代表签字并加盖投标单位公章；封面注明招标项目名称和编号，投标人的名称、地址、邮编、传真、联系电话、联系人。</w:t>
      </w:r>
    </w:p>
    <w:p>
      <w:pPr>
        <w:widowControl/>
        <w:spacing w:line="420" w:lineRule="atLeas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 xml:space="preserve">    五 、投标文件的送达时间 </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1．开标地点即为投标文件的递交地点，招标人在投标截止时间前一小时内接收投标文件。</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2．投标截止时间即为开标时间，招标方将拒绝在投标截止时间后收到的投标文件。</w:t>
      </w:r>
    </w:p>
    <w:p>
      <w:pPr>
        <w:widowControl/>
        <w:spacing w:line="420" w:lineRule="atLeast"/>
        <w:ind w:firstLine="48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六、投标单位有下列情况之一的，</w:t>
      </w:r>
      <w:r>
        <w:rPr>
          <w:rFonts w:hint="eastAsia" w:ascii="宋体" w:hAnsi="宋体" w:cs="宋体"/>
          <w:b/>
          <w:color w:val="auto"/>
          <w:kern w:val="0"/>
          <w:sz w:val="24"/>
          <w:szCs w:val="24"/>
          <w:highlight w:val="none"/>
          <w:lang w:val="en-GB"/>
        </w:rPr>
        <w:t>其投标将可能被拒绝或作无效投标处理：</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1、未在规定时间内将投标书送达规定地点的。</w:t>
      </w:r>
    </w:p>
    <w:p>
      <w:pPr>
        <w:widowControl/>
        <w:spacing w:line="420" w:lineRule="atLeast"/>
        <w:ind w:firstLine="480"/>
        <w:rPr>
          <w:color w:val="auto"/>
          <w:sz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w:t>
      </w:r>
      <w:r>
        <w:rPr>
          <w:color w:val="auto"/>
          <w:sz w:val="24"/>
          <w:highlight w:val="none"/>
        </w:rPr>
        <w:t>投标文件未按规定密封的</w:t>
      </w:r>
      <w:r>
        <w:rPr>
          <w:rFonts w:hint="eastAsia"/>
          <w:color w:val="auto"/>
          <w:sz w:val="24"/>
          <w:highlight w:val="none"/>
        </w:rPr>
        <w:t>。</w:t>
      </w:r>
    </w:p>
    <w:p>
      <w:pPr>
        <w:widowControl/>
        <w:spacing w:line="420" w:lineRule="atLeast"/>
        <w:ind w:firstLine="480"/>
        <w:rPr>
          <w:color w:val="auto"/>
          <w:sz w:val="24"/>
          <w:highlight w:val="none"/>
        </w:rPr>
      </w:pPr>
      <w:r>
        <w:rPr>
          <w:rFonts w:hint="eastAsia"/>
          <w:color w:val="auto"/>
          <w:sz w:val="24"/>
          <w:highlight w:val="none"/>
        </w:rPr>
        <w:t>3、</w:t>
      </w:r>
      <w:r>
        <w:rPr>
          <w:color w:val="auto"/>
          <w:sz w:val="24"/>
          <w:highlight w:val="none"/>
        </w:rPr>
        <w:t>投标报价高于预算价或最高限价的</w:t>
      </w:r>
      <w:r>
        <w:rPr>
          <w:rFonts w:hint="eastAsia"/>
          <w:color w:val="auto"/>
          <w:sz w:val="24"/>
          <w:highlight w:val="none"/>
        </w:rPr>
        <w:t>。</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4</w:t>
      </w:r>
      <w:r>
        <w:rPr>
          <w:rFonts w:hint="eastAsia" w:ascii="宋体" w:hAnsi="宋体" w:cs="宋体"/>
          <w:b/>
          <w:color w:val="auto"/>
          <w:kern w:val="0"/>
          <w:sz w:val="24"/>
          <w:szCs w:val="24"/>
          <w:highlight w:val="none"/>
        </w:rPr>
        <w:t>、投标书未按规定密封或未按要求加盖公章或投标文件签署不符合要求的。</w:t>
      </w:r>
    </w:p>
    <w:p>
      <w:pPr>
        <w:widowControl/>
        <w:spacing w:line="420" w:lineRule="atLeast"/>
        <w:ind w:firstLine="480"/>
        <w:rPr>
          <w:rFonts w:ascii="宋体" w:hAnsi="宋体" w:cs="宋体"/>
          <w:b/>
          <w:color w:val="auto"/>
          <w:kern w:val="0"/>
          <w:sz w:val="24"/>
          <w:szCs w:val="24"/>
          <w:highlight w:val="none"/>
        </w:rPr>
      </w:pPr>
      <w:r>
        <w:rPr>
          <w:rFonts w:ascii="宋体" w:hAnsi="宋体" w:cs="宋体"/>
          <w:b/>
          <w:color w:val="auto"/>
          <w:kern w:val="0"/>
          <w:sz w:val="24"/>
          <w:szCs w:val="24"/>
          <w:highlight w:val="none"/>
        </w:rPr>
        <w:t>5</w:t>
      </w:r>
      <w:r>
        <w:rPr>
          <w:rFonts w:hint="eastAsia" w:ascii="宋体" w:hAnsi="宋体" w:cs="宋体"/>
          <w:b/>
          <w:color w:val="auto"/>
          <w:kern w:val="0"/>
          <w:sz w:val="24"/>
          <w:szCs w:val="24"/>
          <w:highlight w:val="none"/>
        </w:rPr>
        <w:t>、投标文件无法人代表签字或签字无法人代表有效委托的。</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w:t>
      </w:r>
      <w:r>
        <w:rPr>
          <w:rFonts w:eastAsia="新宋体"/>
          <w:color w:val="auto"/>
          <w:sz w:val="24"/>
          <w:highlight w:val="none"/>
        </w:rPr>
        <w:t>投标人的投标资格不符合招标文件的资格要求规定</w:t>
      </w:r>
      <w:r>
        <w:rPr>
          <w:color w:val="auto"/>
          <w:kern w:val="0"/>
          <w:sz w:val="24"/>
          <w:highlight w:val="none"/>
        </w:rPr>
        <w:t>；未按招标文件规定提供相关文件，如资格说明、身份申明等；超出经营范围投标的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color w:val="auto"/>
          <w:sz w:val="24"/>
          <w:highlight w:val="none"/>
        </w:rPr>
        <w:t>投标方的所投产品的数量不符合招标文件规定的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如评标委员会一致认为最低投标报价或某些分项明显不合理，有降低质量、不能诚信履约的可能时，评标委员会有权通知投标方限期进行解释。如投标人未在规定期限内做出解释，或所作解释不合理，经评标委员会取得一致意见后，可列为异常报价，确定该投标为无效标。</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w:t>
      </w:r>
      <w:r>
        <w:rPr>
          <w:color w:val="auto"/>
          <w:kern w:val="0"/>
          <w:sz w:val="24"/>
          <w:highlight w:val="none"/>
        </w:rPr>
        <w:t>投标文件不符合招标文件规定，未按规定格式填写的；或投标文件内容不全或关键字迹模糊、无法辨认的；或投标文件内容自相矛盾的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、投标文件中提供伪造、虚假材料的。</w:t>
      </w:r>
    </w:p>
    <w:p>
      <w:pPr>
        <w:widowControl/>
        <w:spacing w:line="420" w:lineRule="atLeast"/>
        <w:ind w:firstLine="48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w:t>
      </w:r>
      <w:r>
        <w:rPr>
          <w:color w:val="auto"/>
          <w:kern w:val="0"/>
          <w:sz w:val="24"/>
          <w:highlight w:val="none"/>
        </w:rPr>
        <w:t>借用或冒用他人名义或证件、涂改文件、伪造或编造投标文件的</w:t>
      </w:r>
      <w:r>
        <w:rPr>
          <w:rFonts w:hint="eastAsia"/>
          <w:color w:val="auto"/>
          <w:kern w:val="0"/>
          <w:sz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对本招标文件中打★号的条款未完全响应的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投标文件附有采购人不能接受的条件</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14</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技术标中体现或包含商务报价。</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若发现有意串标或提供虚假说明材料者</w:t>
      </w:r>
      <w:r>
        <w:rPr>
          <w:rFonts w:hint="eastAsia" w:ascii="宋体" w:hAnsi="宋体" w:cs="宋体"/>
          <w:color w:val="auto"/>
          <w:kern w:val="0"/>
          <w:sz w:val="24"/>
          <w:szCs w:val="24"/>
          <w:highlight w:val="none"/>
        </w:rPr>
        <w:t>。</w:t>
      </w:r>
    </w:p>
    <w:p>
      <w:pPr>
        <w:widowControl/>
        <w:spacing w:line="420" w:lineRule="atLeast"/>
        <w:ind w:firstLine="480"/>
        <w:rPr>
          <w:rFonts w:ascii="宋体" w:hAnsi="宋体" w:cs="宋体"/>
          <w:color w:val="auto"/>
          <w:kern w:val="0"/>
          <w:sz w:val="24"/>
          <w:szCs w:val="24"/>
          <w:highlight w:val="none"/>
        </w:rPr>
      </w:pPr>
      <w:r>
        <w:rPr>
          <w:rFonts w:ascii="宋体" w:hAnsi="宋体" w:cs="宋体"/>
          <w:color w:val="auto"/>
          <w:kern w:val="0"/>
          <w:sz w:val="24"/>
          <w:szCs w:val="24"/>
          <w:highlight w:val="none"/>
        </w:rPr>
        <w:t>16</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评标小组认为技术或商务与招标文件偏离的部分过多，或在实质上不响应招标文件的</w:t>
      </w:r>
      <w:r>
        <w:rPr>
          <w:rFonts w:hint="eastAsia" w:ascii="宋体" w:hAnsi="宋体" w:cs="宋体"/>
          <w:color w:val="auto"/>
          <w:kern w:val="0"/>
          <w:sz w:val="24"/>
          <w:szCs w:val="24"/>
          <w:highlight w:val="none"/>
        </w:rPr>
        <w:t>。</w:t>
      </w:r>
    </w:p>
    <w:p>
      <w:pPr>
        <w:widowControl/>
        <w:spacing w:line="420" w:lineRule="atLeast"/>
        <w:ind w:firstLine="480"/>
        <w:rPr>
          <w:rFonts w:ascii="宋体" w:hAnsi="宋体"/>
          <w:color w:val="auto"/>
          <w:sz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   评标办法</w:t>
      </w:r>
    </w:p>
    <w:p>
      <w:pPr>
        <w:adjustRightInd w:val="0"/>
        <w:snapToGrid w:val="0"/>
        <w:spacing w:line="360" w:lineRule="auto"/>
        <w:ind w:right="17" w:firstLine="480" w:firstLineChars="200"/>
        <w:rPr>
          <w:rFonts w:ascii="宋体" w:hAnsi="宋体"/>
          <w:color w:val="auto"/>
          <w:sz w:val="24"/>
          <w:szCs w:val="24"/>
          <w:highlight w:val="none"/>
        </w:rPr>
      </w:pPr>
      <w:r>
        <w:rPr>
          <w:rFonts w:ascii="宋体" w:hAnsi="宋体"/>
          <w:color w:val="auto"/>
          <w:sz w:val="24"/>
          <w:szCs w:val="24"/>
          <w:highlight w:val="none"/>
        </w:rPr>
        <w:t>根据《中华人民共和国政府采购法》和《中华人民共和国招标投标法》的有关规定，为更好地做到公开、公平、公正，结合本次招标的特点，特制定本评标办法。评标小组用综合评分法对招标项目作出评标结论</w:t>
      </w:r>
      <w:r>
        <w:rPr>
          <w:rFonts w:hint="eastAsia" w:ascii="宋体" w:hAnsi="宋体"/>
          <w:color w:val="auto"/>
          <w:sz w:val="24"/>
          <w:szCs w:val="24"/>
          <w:highlight w:val="none"/>
        </w:rPr>
        <w:t>。</w:t>
      </w:r>
    </w:p>
    <w:p>
      <w:pPr>
        <w:pStyle w:val="6"/>
        <w:spacing w:line="360" w:lineRule="auto"/>
        <w:rPr>
          <w:rFonts w:hAnsi="宋体"/>
          <w:b/>
          <w:bCs/>
          <w:color w:val="auto"/>
          <w:sz w:val="24"/>
          <w:szCs w:val="24"/>
          <w:highlight w:val="none"/>
        </w:rPr>
      </w:pPr>
      <w:r>
        <w:rPr>
          <w:rFonts w:hint="eastAsia" w:hAnsi="宋体"/>
          <w:b/>
          <w:bCs/>
          <w:color w:val="auto"/>
          <w:sz w:val="24"/>
          <w:szCs w:val="24"/>
          <w:highlight w:val="none"/>
        </w:rPr>
        <w:t>一</w:t>
      </w:r>
      <w:r>
        <w:rPr>
          <w:rFonts w:hAnsi="宋体"/>
          <w:b/>
          <w:bCs/>
          <w:color w:val="auto"/>
          <w:sz w:val="24"/>
          <w:szCs w:val="24"/>
          <w:highlight w:val="none"/>
        </w:rPr>
        <w:t>、评审办法</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采用综合评分法，评标委员会从投标人的综合实力、信誉、业绩、售后服务、产品构成、技术性能、质量等方面进行评审。评标委员会根据评审情况，对各投标人的商务报价方面在分值范围内进行统一打分，对各投标人的资信商务方面在分值范围内进行统一打分，对各投标人的技术方面在分值范围内进行独立打分。</w:t>
      </w:r>
    </w:p>
    <w:p>
      <w:pPr>
        <w:adjustRightInd w:val="0"/>
        <w:snapToGrid w:val="0"/>
        <w:spacing w:line="360" w:lineRule="auto"/>
        <w:jc w:val="center"/>
        <w:rPr>
          <w:rFonts w:ascii="宋体" w:hAnsi="宋体"/>
          <w:b/>
          <w:color w:val="auto"/>
          <w:sz w:val="24"/>
          <w:szCs w:val="24"/>
          <w:highlight w:val="none"/>
        </w:rPr>
      </w:pPr>
      <w:r>
        <w:rPr>
          <w:rFonts w:ascii="宋体" w:hAnsi="宋体"/>
          <w:b/>
          <w:color w:val="auto"/>
          <w:sz w:val="24"/>
          <w:szCs w:val="24"/>
          <w:highlight w:val="none"/>
        </w:rPr>
        <w:t>每个投标人最终得分=商务报价分+技术分</w:t>
      </w:r>
    </w:p>
    <w:p>
      <w:pPr>
        <w:adjustRightInd w:val="0"/>
        <w:snapToGrid w:val="0"/>
        <w:spacing w:line="360" w:lineRule="auto"/>
        <w:rPr>
          <w:rFonts w:ascii="宋体" w:hAnsi="宋体"/>
          <w:color w:val="auto"/>
          <w:sz w:val="24"/>
          <w:szCs w:val="24"/>
          <w:highlight w:val="none"/>
        </w:rPr>
      </w:pPr>
      <w:r>
        <w:rPr>
          <w:rFonts w:ascii="宋体" w:hAnsi="宋体"/>
          <w:color w:val="auto"/>
          <w:sz w:val="24"/>
          <w:szCs w:val="24"/>
          <w:highlight w:val="none"/>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ascii="宋体" w:hAnsi="宋体"/>
          <w:color w:val="auto"/>
          <w:sz w:val="24"/>
          <w:szCs w:val="24"/>
          <w:highlight w:val="none"/>
        </w:rPr>
        <w:t>。</w:t>
      </w: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1、技术评审（总分</w:t>
      </w:r>
      <w:r>
        <w:rPr>
          <w:rFonts w:hint="eastAsia" w:ascii="宋体" w:hAnsi="宋体"/>
          <w:b/>
          <w:color w:val="auto"/>
          <w:sz w:val="24"/>
          <w:szCs w:val="24"/>
          <w:highlight w:val="none"/>
          <w:lang w:val="en-US" w:eastAsia="zh-CN"/>
        </w:rPr>
        <w:t>70</w:t>
      </w:r>
      <w:r>
        <w:rPr>
          <w:rFonts w:hint="eastAsia" w:ascii="宋体" w:hAnsi="宋体"/>
          <w:b/>
          <w:color w:val="auto"/>
          <w:sz w:val="24"/>
          <w:szCs w:val="24"/>
          <w:highlight w:val="none"/>
        </w:rPr>
        <w:t>分）</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由评标专家负责对投标文件的技术部分采用记名方式各自评分。</w:t>
      </w:r>
      <w:r>
        <w:rPr>
          <w:rFonts w:hint="eastAsia" w:ascii="宋体" w:hAnsi="宋体" w:cs="黑体"/>
          <w:color w:val="auto"/>
          <w:sz w:val="24"/>
          <w:szCs w:val="24"/>
          <w:highlight w:val="none"/>
        </w:rPr>
        <w:t>投标人的最终技术部分的得分</w:t>
      </w:r>
      <w:r>
        <w:rPr>
          <w:rFonts w:hint="eastAsia" w:ascii="宋体" w:hAnsi="宋体"/>
          <w:color w:val="auto"/>
          <w:sz w:val="24"/>
          <w:szCs w:val="24"/>
          <w:highlight w:val="none"/>
        </w:rPr>
        <w:t>为全体评标专家评分的算术平均值。如某一份评分表中某一项评分，超过评分细则所规定的分值范围，则该张打分表无效。投标人最终得分为评标委员会所有成员的有效评分的算术平均值，计算时保留小数2位。</w:t>
      </w:r>
    </w:p>
    <w:tbl>
      <w:tblPr>
        <w:tblStyle w:val="1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662"/>
        <w:gridCol w:w="7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评审因素</w:t>
            </w:r>
          </w:p>
        </w:tc>
        <w:tc>
          <w:tcPr>
            <w:tcW w:w="662"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w:t>
            </w:r>
          </w:p>
        </w:tc>
        <w:tc>
          <w:tcPr>
            <w:tcW w:w="760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质保期</w:t>
            </w:r>
          </w:p>
        </w:tc>
        <w:tc>
          <w:tcPr>
            <w:tcW w:w="662"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7608" w:type="dxa"/>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客观分</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满足招标文件要求基础上每延长</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年得</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最高</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分），延长时间不足</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年不计入得分，不满足招标文件要求投标无效。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业绩</w:t>
            </w: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760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客观分</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rPr>
              <w:t>投标人自</w:t>
            </w:r>
            <w:r>
              <w:rPr>
                <w:rFonts w:hint="eastAsia" w:ascii="宋体" w:hAnsi="宋体" w:eastAsia="宋体" w:cs="宋体"/>
                <w:b w:val="0"/>
                <w:bCs w:val="0"/>
                <w:sz w:val="24"/>
                <w:szCs w:val="24"/>
                <w:highlight w:val="none"/>
                <w:lang w:val="en-US" w:eastAsia="zh-CN"/>
              </w:rPr>
              <w:t>2020</w:t>
            </w:r>
            <w:r>
              <w:rPr>
                <w:rFonts w:hint="eastAsia" w:ascii="宋体" w:hAnsi="宋体" w:eastAsia="宋体" w:cs="宋体"/>
                <w:b w:val="0"/>
                <w:bCs w:val="0"/>
                <w:sz w:val="24"/>
                <w:szCs w:val="24"/>
                <w:highlight w:val="none"/>
              </w:rPr>
              <w:t>年1月1日以来（以合同签订时间为准）类似</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与采购标的同品类</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合同（</w:t>
            </w:r>
            <w:r>
              <w:rPr>
                <w:rFonts w:hint="eastAsia" w:ascii="宋体" w:hAnsi="宋体" w:eastAsia="宋体" w:cs="宋体"/>
                <w:b w:val="0"/>
                <w:bCs w:val="0"/>
                <w:sz w:val="24"/>
                <w:szCs w:val="24"/>
                <w:highlight w:val="none"/>
                <w:lang w:eastAsia="zh-CN"/>
              </w:rPr>
              <w:t>最高</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rPr>
              <w:t>份业绩证明材料</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以</w:t>
            </w:r>
            <w:r>
              <w:rPr>
                <w:rFonts w:hint="eastAsia" w:ascii="宋体" w:hAnsi="宋体" w:eastAsia="宋体" w:cs="宋体"/>
                <w:b w:val="0"/>
                <w:bCs w:val="0"/>
                <w:sz w:val="24"/>
                <w:szCs w:val="24"/>
                <w:highlight w:val="none"/>
              </w:rPr>
              <w:t>合同及对应验收报告复印件</w:t>
            </w:r>
            <w:r>
              <w:rPr>
                <w:rFonts w:hint="eastAsia" w:ascii="宋体" w:hAnsi="宋体" w:eastAsia="宋体" w:cs="宋体"/>
                <w:b w:val="0"/>
                <w:bCs w:val="0"/>
                <w:sz w:val="24"/>
                <w:szCs w:val="24"/>
                <w:highlight w:val="none"/>
                <w:lang w:val="en-US" w:eastAsia="zh-CN"/>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产品响应</w:t>
            </w: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36</w:t>
            </w:r>
          </w:p>
        </w:tc>
        <w:tc>
          <w:tcPr>
            <w:tcW w:w="7608" w:type="dxa"/>
            <w:vAlign w:val="center"/>
          </w:tcPr>
          <w:p>
            <w:pPr>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客观分</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lang w:eastAsia="zh-CN"/>
              </w:rPr>
              <w:t>满足或明显优于招标文件明确的全部技术条款要求得</w:t>
            </w:r>
            <w:r>
              <w:rPr>
                <w:rFonts w:hint="eastAsia" w:ascii="宋体" w:hAnsi="宋体" w:eastAsia="宋体" w:cs="宋体"/>
                <w:b w:val="0"/>
                <w:bCs w:val="0"/>
                <w:sz w:val="24"/>
                <w:szCs w:val="24"/>
                <w:highlight w:val="none"/>
                <w:lang w:val="en-US" w:eastAsia="zh-CN"/>
              </w:rPr>
              <w:t>36分</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标</w:t>
            </w:r>
            <w:r>
              <w:rPr>
                <w:rFonts w:hint="eastAsia" w:ascii="宋体" w:hAnsi="宋体" w:cs="宋体"/>
                <w:sz w:val="24"/>
                <w:szCs w:val="24"/>
                <w:lang w:eastAsia="zh-CN"/>
              </w:rPr>
              <w:t>▲</w:t>
            </w:r>
            <w:r>
              <w:rPr>
                <w:rFonts w:hint="eastAsia" w:ascii="宋体" w:hAnsi="宋体" w:eastAsia="宋体" w:cs="宋体"/>
                <w:b w:val="0"/>
                <w:bCs w:val="0"/>
                <w:sz w:val="24"/>
                <w:szCs w:val="24"/>
                <w:highlight w:val="none"/>
                <w:lang w:eastAsia="zh-CN"/>
              </w:rPr>
              <w:t>技术条款低于技术要求（负偏离）扣</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分</w:t>
            </w:r>
            <w:r>
              <w:rPr>
                <w:rFonts w:hint="eastAsia" w:ascii="宋体" w:hAnsi="宋体" w:eastAsia="宋体" w:cs="宋体"/>
                <w:b w:val="0"/>
                <w:bCs w:val="0"/>
                <w:sz w:val="24"/>
                <w:szCs w:val="24"/>
                <w:highlight w:val="none"/>
                <w:lang w:val="en-US" w:eastAsia="zh-CN"/>
              </w:rPr>
              <w:t>/项</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36分起扣</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非标</w:t>
            </w:r>
            <w:r>
              <w:rPr>
                <w:rFonts w:hint="eastAsia" w:ascii="宋体" w:hAnsi="宋体" w:cs="宋体"/>
                <w:sz w:val="24"/>
                <w:szCs w:val="24"/>
                <w:lang w:eastAsia="zh-CN"/>
              </w:rPr>
              <w:t>▲</w:t>
            </w:r>
            <w:r>
              <w:rPr>
                <w:rFonts w:hint="eastAsia" w:ascii="宋体" w:hAnsi="宋体" w:eastAsia="宋体" w:cs="宋体"/>
                <w:b w:val="0"/>
                <w:bCs w:val="0"/>
                <w:sz w:val="24"/>
                <w:szCs w:val="24"/>
                <w:highlight w:val="none"/>
                <w:lang w:eastAsia="zh-CN"/>
              </w:rPr>
              <w:t>技术条款低于技术要求（负偏离）扣</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分</w:t>
            </w:r>
            <w:r>
              <w:rPr>
                <w:rFonts w:hint="eastAsia" w:ascii="宋体" w:hAnsi="宋体" w:eastAsia="宋体" w:cs="宋体"/>
                <w:b w:val="0"/>
                <w:bCs w:val="0"/>
                <w:sz w:val="24"/>
                <w:szCs w:val="24"/>
                <w:highlight w:val="none"/>
                <w:lang w:val="en-US" w:eastAsia="zh-CN"/>
              </w:rPr>
              <w:t>/项</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36分起扣</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合计负偏离≥5项投标无效</w:t>
            </w:r>
            <w:r>
              <w:rPr>
                <w:rFonts w:hint="eastAsia" w:ascii="宋体" w:hAnsi="宋体" w:eastAsia="宋体" w:cs="宋体"/>
                <w:b w:val="0"/>
                <w:bCs w:val="0"/>
                <w:sz w:val="24"/>
                <w:szCs w:val="24"/>
                <w:highlight w:val="none"/>
                <w:lang w:eastAsia="zh-CN"/>
              </w:rPr>
              <w:t>。</w:t>
            </w:r>
          </w:p>
          <w:p>
            <w:pPr>
              <w:rPr>
                <w:rFonts w:hint="eastAsia" w:ascii="宋体" w:hAnsi="宋体" w:eastAsia="宋体" w:cs="宋体"/>
                <w:sz w:val="24"/>
                <w:szCs w:val="24"/>
                <w:highlight w:val="none"/>
                <w:lang w:val="en-US" w:eastAsia="zh-CN"/>
              </w:rPr>
            </w:pPr>
            <w:r>
              <w:rPr>
                <w:rFonts w:hint="eastAsia" w:ascii="宋体" w:hAnsi="宋体" w:eastAsia="宋体" w:cs="宋体"/>
                <w:b/>
                <w:bCs/>
                <w:sz w:val="24"/>
                <w:szCs w:val="24"/>
              </w:rPr>
              <w:t>说明：与</w:t>
            </w:r>
            <w:r>
              <w:rPr>
                <w:rFonts w:hint="eastAsia" w:ascii="宋体" w:hAnsi="宋体" w:eastAsia="宋体" w:cs="宋体"/>
                <w:b/>
                <w:bCs/>
                <w:sz w:val="24"/>
                <w:szCs w:val="24"/>
                <w:lang w:val="en-US" w:eastAsia="zh-CN"/>
              </w:rPr>
              <w:t>技术方案中</w:t>
            </w:r>
            <w:r>
              <w:rPr>
                <w:rFonts w:hint="eastAsia" w:ascii="宋体" w:hAnsi="宋体" w:eastAsia="宋体" w:cs="宋体"/>
                <w:b/>
                <w:bCs/>
                <w:sz w:val="24"/>
                <w:szCs w:val="24"/>
              </w:rPr>
              <w:t>相关材料不一致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低于技术要求</w:t>
            </w:r>
            <w:r>
              <w:rPr>
                <w:rFonts w:hint="eastAsia" w:ascii="宋体" w:hAnsi="宋体" w:eastAsia="宋体" w:cs="宋体"/>
                <w:b/>
                <w:bCs/>
                <w:sz w:val="24"/>
                <w:szCs w:val="24"/>
                <w:lang w:eastAsia="zh-CN"/>
              </w:rPr>
              <w:t>）</w:t>
            </w:r>
            <w:r>
              <w:rPr>
                <w:rFonts w:hint="eastAsia" w:ascii="宋体" w:hAnsi="宋体" w:eastAsia="宋体" w:cs="宋体"/>
                <w:b/>
                <w:bCs/>
                <w:sz w:val="24"/>
                <w:szCs w:val="24"/>
              </w:rPr>
              <w:t>以相关材料为准并可视为负偏离</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未按采购需求提供相关证明材料视为</w:t>
            </w:r>
            <w:r>
              <w:rPr>
                <w:rFonts w:hint="eastAsia" w:ascii="宋体" w:hAnsi="宋体" w:eastAsia="宋体" w:cs="宋体"/>
                <w:b/>
                <w:bCs/>
                <w:sz w:val="24"/>
                <w:szCs w:val="24"/>
              </w:rPr>
              <w:t>负偏离</w:t>
            </w:r>
            <w:r>
              <w:rPr>
                <w:rFonts w:hint="eastAsia" w:ascii="宋体" w:hAnsi="宋体" w:eastAsia="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restart"/>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技术方案</w:t>
            </w: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15</w:t>
            </w:r>
          </w:p>
        </w:tc>
        <w:tc>
          <w:tcPr>
            <w:tcW w:w="7608" w:type="dxa"/>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lang w:val="en-US" w:eastAsia="zh-CN"/>
              </w:rPr>
              <w:t>根据产品制造商公开发布的印刷资料（官网材料、彩页、Datasheet）或由有关政府部门或检测机构合法出具的文件或报告、产品应用案例、软件功能界面截图、配置清单等对产品结构、功能、技术路线、配置等综合评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1.结构</w:t>
            </w:r>
            <w:r>
              <w:rPr>
                <w:rFonts w:hint="eastAsia" w:ascii="宋体" w:hAnsi="宋体" w:eastAsia="宋体" w:cs="宋体"/>
                <w:b w:val="0"/>
                <w:bCs w:val="0"/>
                <w:sz w:val="24"/>
                <w:szCs w:val="24"/>
                <w:highlight w:val="none"/>
                <w:lang w:val="en-US" w:eastAsia="zh-CN"/>
              </w:rPr>
              <w:t>（内部、外部）</w:t>
            </w:r>
            <w:r>
              <w:rPr>
                <w:rFonts w:hint="eastAsia" w:ascii="宋体" w:hAnsi="宋体" w:eastAsia="宋体" w:cs="宋体"/>
                <w:sz w:val="24"/>
                <w:szCs w:val="24"/>
                <w:highlight w:val="none"/>
              </w:rPr>
              <w:t>专业性、先进性、成熟性：</w:t>
            </w:r>
            <w:r>
              <w:rPr>
                <w:rFonts w:hint="eastAsia" w:ascii="宋体" w:hAnsi="宋体" w:eastAsia="宋体" w:cs="宋体"/>
                <w:sz w:val="24"/>
                <w:szCs w:val="24"/>
                <w:highlight w:val="none"/>
                <w:lang w:eastAsia="zh-CN"/>
              </w:rPr>
              <w:t>最高</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分</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b w:val="0"/>
                <w:bCs w:val="0"/>
                <w:sz w:val="24"/>
                <w:szCs w:val="24"/>
                <w:highlight w:val="none"/>
                <w:lang w:val="en-US" w:eastAsia="zh-CN"/>
              </w:rPr>
              <w:t>功能（硬件、软件）</w:t>
            </w:r>
            <w:r>
              <w:rPr>
                <w:rFonts w:hint="eastAsia" w:ascii="宋体" w:hAnsi="宋体" w:eastAsia="宋体" w:cs="宋体"/>
                <w:sz w:val="24"/>
                <w:szCs w:val="24"/>
                <w:highlight w:val="none"/>
              </w:rPr>
              <w:t>全面性、先进性：</w:t>
            </w:r>
            <w:r>
              <w:rPr>
                <w:rFonts w:hint="eastAsia" w:ascii="宋体" w:hAnsi="宋体" w:eastAsia="宋体" w:cs="宋体"/>
                <w:sz w:val="24"/>
                <w:szCs w:val="24"/>
                <w:highlight w:val="none"/>
                <w:lang w:eastAsia="zh-CN"/>
              </w:rPr>
              <w:t>最高</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分</w:t>
            </w:r>
          </w:p>
          <w:p>
            <w:pP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b w:val="0"/>
                <w:bCs w:val="0"/>
                <w:sz w:val="24"/>
                <w:szCs w:val="24"/>
                <w:highlight w:val="none"/>
                <w:lang w:val="en-US" w:eastAsia="zh-CN"/>
              </w:rPr>
              <w:t>技术路线（原理、核心、逻辑）</w:t>
            </w:r>
            <w:r>
              <w:rPr>
                <w:rFonts w:hint="eastAsia" w:ascii="宋体" w:hAnsi="宋体" w:eastAsia="宋体" w:cs="宋体"/>
                <w:sz w:val="24"/>
                <w:szCs w:val="24"/>
                <w:highlight w:val="none"/>
              </w:rPr>
              <w:t>专业性、先进性、成熟性：</w:t>
            </w:r>
            <w:r>
              <w:rPr>
                <w:rFonts w:hint="eastAsia" w:ascii="宋体" w:hAnsi="宋体" w:eastAsia="宋体" w:cs="宋体"/>
                <w:sz w:val="24"/>
                <w:szCs w:val="24"/>
                <w:highlight w:val="none"/>
                <w:lang w:eastAsia="zh-CN"/>
              </w:rPr>
              <w:t>最高</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分</w:t>
            </w:r>
          </w:p>
          <w:p>
            <w:pP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4.配置</w:t>
            </w:r>
            <w:r>
              <w:rPr>
                <w:rFonts w:hint="eastAsia" w:ascii="宋体" w:hAnsi="宋体" w:eastAsia="宋体" w:cs="宋体"/>
                <w:b w:val="0"/>
                <w:bCs w:val="0"/>
                <w:sz w:val="24"/>
                <w:szCs w:val="24"/>
                <w:highlight w:val="none"/>
              </w:rPr>
              <w:t>全面</w:t>
            </w:r>
            <w:r>
              <w:rPr>
                <w:rFonts w:hint="eastAsia" w:ascii="宋体" w:hAnsi="宋体" w:eastAsia="宋体" w:cs="宋体"/>
                <w:b w:val="0"/>
                <w:bCs w:val="0"/>
                <w:sz w:val="24"/>
                <w:szCs w:val="24"/>
                <w:highlight w:val="none"/>
                <w:lang w:val="en-US" w:eastAsia="zh-CN"/>
              </w:rPr>
              <w:t>性</w:t>
            </w:r>
            <w:r>
              <w:rPr>
                <w:rFonts w:hint="eastAsia" w:ascii="宋体" w:hAnsi="宋体" w:eastAsia="宋体" w:cs="宋体"/>
                <w:b w:val="0"/>
                <w:bCs w:val="0"/>
                <w:sz w:val="24"/>
                <w:szCs w:val="24"/>
                <w:highlight w:val="none"/>
              </w:rPr>
              <w:t>、先进</w:t>
            </w:r>
            <w:r>
              <w:rPr>
                <w:rFonts w:hint="eastAsia" w:ascii="宋体" w:hAnsi="宋体" w:eastAsia="宋体" w:cs="宋体"/>
                <w:b w:val="0"/>
                <w:bCs w:val="0"/>
                <w:sz w:val="24"/>
                <w:szCs w:val="24"/>
                <w:highlight w:val="none"/>
                <w:lang w:val="en-US" w:eastAsia="zh-CN"/>
              </w:rPr>
              <w:t>性</w:t>
            </w:r>
            <w:r>
              <w:rPr>
                <w:rFonts w:hint="eastAsia" w:ascii="宋体" w:hAnsi="宋体" w:eastAsia="宋体" w:cs="宋体"/>
                <w:b w:val="0"/>
                <w:bCs w:val="0"/>
                <w:sz w:val="24"/>
                <w:szCs w:val="24"/>
                <w:highlight w:val="none"/>
              </w:rPr>
              <w:t>、科研适用程度</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最高3分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continue"/>
            <w:vAlign w:val="center"/>
          </w:tcPr>
          <w:p>
            <w:pPr>
              <w:jc w:val="center"/>
              <w:rPr>
                <w:rFonts w:hint="eastAsia" w:ascii="宋体" w:hAnsi="宋体" w:eastAsia="宋体" w:cs="宋体"/>
                <w:b/>
                <w:bCs/>
                <w:sz w:val="24"/>
                <w:szCs w:val="24"/>
                <w:highlight w:val="none"/>
                <w:lang w:val="en-US" w:eastAsia="zh-CN"/>
              </w:rPr>
            </w:pP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7608" w:type="dxa"/>
            <w:vAlign w:val="center"/>
          </w:tcPr>
          <w:p>
            <w:pPr>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安装、调试方法或方案科学性、可行性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continue"/>
            <w:vAlign w:val="center"/>
          </w:tcPr>
          <w:p>
            <w:pPr>
              <w:jc w:val="center"/>
              <w:rPr>
                <w:rFonts w:hint="eastAsia" w:ascii="宋体" w:hAnsi="宋体" w:eastAsia="宋体" w:cs="宋体"/>
                <w:b/>
                <w:bCs/>
                <w:sz w:val="24"/>
                <w:szCs w:val="24"/>
                <w:highlight w:val="none"/>
              </w:rPr>
            </w:pP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7608" w:type="dxa"/>
            <w:vAlign w:val="center"/>
          </w:tcPr>
          <w:p>
            <w:pPr>
              <w:rPr>
                <w:rFonts w:hint="eastAsia" w:ascii="宋体" w:hAnsi="宋体" w:eastAsia="宋体" w:cs="宋体"/>
                <w:b/>
                <w:bCs/>
                <w:sz w:val="24"/>
                <w:szCs w:val="24"/>
                <w:highlight w:val="none"/>
              </w:rPr>
            </w:pPr>
            <w:r>
              <w:rPr>
                <w:rFonts w:hint="eastAsia" w:ascii="宋体" w:hAnsi="宋体" w:eastAsia="宋体" w:cs="宋体"/>
                <w:b/>
                <w:bCs/>
                <w:sz w:val="24"/>
                <w:szCs w:val="24"/>
              </w:rPr>
              <w:t>【主观分】</w:t>
            </w:r>
            <w:r>
              <w:rPr>
                <w:rFonts w:hint="eastAsia" w:ascii="宋体" w:hAnsi="宋体" w:eastAsia="宋体" w:cs="宋体"/>
                <w:sz w:val="24"/>
                <w:szCs w:val="24"/>
              </w:rPr>
              <w:t>日常运行、保养方法或方案全面性、专业性、可行性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技术培训</w:t>
            </w:r>
          </w:p>
        </w:tc>
        <w:tc>
          <w:tcPr>
            <w:tcW w:w="662" w:type="dxa"/>
            <w:vAlign w:val="center"/>
          </w:tcPr>
          <w:p>
            <w:pPr>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3</w:t>
            </w:r>
          </w:p>
        </w:tc>
        <w:tc>
          <w:tcPr>
            <w:tcW w:w="7608" w:type="dxa"/>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培训计划全面性、针对性，包括培训流程、培训方式、培训对象、培训内容、培训日程等。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restart"/>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售后服务</w:t>
            </w:r>
          </w:p>
        </w:tc>
        <w:tc>
          <w:tcPr>
            <w:tcW w:w="662" w:type="dxa"/>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w:t>
            </w:r>
          </w:p>
        </w:tc>
        <w:tc>
          <w:tcPr>
            <w:tcW w:w="7608" w:type="dxa"/>
            <w:vAlign w:val="center"/>
          </w:tcPr>
          <w:p>
            <w:pPr>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售后服务方案全面性、针对性，包括服务内容、服务承诺、响应时间、服务方式、人员配备、应急服务等。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vMerge w:val="continue"/>
            <w:vAlign w:val="center"/>
          </w:tcPr>
          <w:p>
            <w:pPr>
              <w:jc w:val="center"/>
              <w:rPr>
                <w:rFonts w:hint="eastAsia" w:ascii="宋体" w:hAnsi="宋体" w:eastAsia="宋体" w:cs="宋体"/>
                <w:b/>
                <w:bCs/>
                <w:sz w:val="24"/>
                <w:szCs w:val="24"/>
                <w:highlight w:val="none"/>
              </w:rPr>
            </w:pPr>
          </w:p>
        </w:tc>
        <w:tc>
          <w:tcPr>
            <w:tcW w:w="662" w:type="dxa"/>
            <w:vAlign w:val="center"/>
          </w:tcPr>
          <w:p>
            <w:pPr>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7608" w:type="dxa"/>
            <w:vAlign w:val="center"/>
          </w:tcPr>
          <w:p>
            <w:pPr>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主观分</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lang w:val="en-US" w:eastAsia="zh-CN"/>
              </w:rPr>
              <w:t>配件、附件、备品备件准备和保障措施充分性及购买折扣力度</w:t>
            </w:r>
          </w:p>
        </w:tc>
      </w:tr>
    </w:tbl>
    <w:p>
      <w:pPr>
        <w:pStyle w:val="5"/>
        <w:rPr>
          <w:rFonts w:hint="eastAsia"/>
        </w:rPr>
      </w:pP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2、商务评审（总分</w:t>
      </w:r>
      <w:r>
        <w:rPr>
          <w:rFonts w:hint="eastAsia" w:ascii="宋体" w:hAnsi="宋体"/>
          <w:b/>
          <w:color w:val="auto"/>
          <w:sz w:val="24"/>
          <w:szCs w:val="24"/>
          <w:highlight w:val="none"/>
          <w:lang w:val="en-US" w:eastAsia="zh-CN"/>
        </w:rPr>
        <w:t>30</w:t>
      </w:r>
      <w:r>
        <w:rPr>
          <w:rFonts w:hint="eastAsia" w:ascii="宋体" w:hAnsi="宋体"/>
          <w:b/>
          <w:color w:val="auto"/>
          <w:sz w:val="24"/>
          <w:szCs w:val="24"/>
          <w:highlight w:val="none"/>
        </w:rPr>
        <w:t>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评标基准价以满足招标文件要求且投标价格最低的投标报价为评标基准价，其商务报价分为XX分</w:t>
      </w:r>
      <w:r>
        <w:rPr>
          <w:rFonts w:hint="eastAsia" w:ascii="宋体" w:hAnsi="宋体"/>
          <w:color w:val="auto"/>
          <w:sz w:val="24"/>
          <w:szCs w:val="24"/>
          <w:highlight w:val="none"/>
        </w:rPr>
        <w:t>。</w:t>
      </w:r>
    </w:p>
    <w:p>
      <w:pPr>
        <w:adjustRightInd w:val="0"/>
        <w:snapToGrid w:val="0"/>
        <w:spacing w:line="360" w:lineRule="auto"/>
        <w:ind w:firstLine="482" w:firstLineChars="200"/>
        <w:jc w:val="center"/>
        <w:rPr>
          <w:rFonts w:ascii="宋体" w:hAnsi="宋体"/>
          <w:b/>
          <w:color w:val="auto"/>
          <w:sz w:val="24"/>
          <w:szCs w:val="24"/>
          <w:highlight w:val="none"/>
        </w:rPr>
      </w:pPr>
      <w:r>
        <w:rPr>
          <w:rFonts w:ascii="宋体" w:hAnsi="宋体"/>
          <w:b/>
          <w:color w:val="auto"/>
          <w:sz w:val="24"/>
          <w:szCs w:val="24"/>
          <w:highlight w:val="none"/>
        </w:rPr>
        <w:t>商务得分=（评标基准价/投标报价）×</w:t>
      </w:r>
      <w:r>
        <w:rPr>
          <w:rFonts w:hint="eastAsia" w:ascii="宋体" w:hAnsi="宋体"/>
          <w:b/>
          <w:color w:val="auto"/>
          <w:sz w:val="24"/>
          <w:szCs w:val="24"/>
          <w:highlight w:val="none"/>
          <w:lang w:val="en-US" w:eastAsia="zh-CN"/>
        </w:rPr>
        <w:t>30</w:t>
      </w:r>
      <w:r>
        <w:rPr>
          <w:rFonts w:ascii="宋体" w:hAnsi="宋体"/>
          <w:b/>
          <w:color w:val="auto"/>
          <w:sz w:val="24"/>
          <w:szCs w:val="24"/>
          <w:highlight w:val="none"/>
        </w:rPr>
        <w:t>%×100，保留小数2位</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由商务评标专家对投标文件进行商务评审。商务评标专家应对商务报价的范围、单价等进行全面审阅和对比分析，找出报价差异的原因及存在的问题。商务报价评审应以报价口径范围一致的评标价为依据。评标价应在最终报价的基础上，按照招标文件约定的因素和方法进行计算。凡属招标文件的原因造成报价口径范围不一致的，应予以调整，但因投标人自身失误造成多算、少算、漏算的，不得调整。</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3、投标人的综合得分为以上两部分评分的总和。</w:t>
      </w:r>
    </w:p>
    <w:p>
      <w:pPr>
        <w:adjustRightInd w:val="0"/>
        <w:snapToGrid w:val="0"/>
        <w:spacing w:line="360" w:lineRule="auto"/>
        <w:rPr>
          <w:rFonts w:ascii="宋体" w:hAnsi="宋体" w:cs="Courier New"/>
          <w:b/>
          <w:bCs/>
          <w:color w:val="auto"/>
          <w:sz w:val="24"/>
          <w:szCs w:val="24"/>
          <w:highlight w:val="none"/>
        </w:rPr>
      </w:pPr>
      <w:r>
        <w:rPr>
          <w:rFonts w:hint="eastAsia" w:ascii="宋体" w:hAnsi="宋体" w:cs="Courier New"/>
          <w:b/>
          <w:bCs/>
          <w:color w:val="auto"/>
          <w:sz w:val="24"/>
          <w:szCs w:val="24"/>
          <w:highlight w:val="none"/>
        </w:rPr>
        <w:t xml:space="preserve">二、评标报告 </w:t>
      </w:r>
    </w:p>
    <w:p>
      <w:pPr>
        <w:adjustRightInd w:val="0"/>
        <w:snapToGrid w:val="0"/>
        <w:spacing w:line="360" w:lineRule="auto"/>
        <w:ind w:firstLine="435"/>
        <w:rPr>
          <w:rFonts w:ascii="宋体" w:hAnsi="宋体"/>
          <w:color w:val="auto"/>
          <w:sz w:val="24"/>
          <w:szCs w:val="24"/>
          <w:highlight w:val="none"/>
        </w:rPr>
      </w:pPr>
      <w:r>
        <w:rPr>
          <w:rFonts w:hint="eastAsia" w:ascii="宋体" w:hAnsi="宋体"/>
          <w:color w:val="auto"/>
          <w:sz w:val="24"/>
          <w:szCs w:val="24"/>
          <w:highlight w:val="none"/>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评标委员会应在评标报告中，由得分从高到低推荐前二名为中标候选人。得分相同时，投标价低者优先。若第一中标候选人在中标后30天内拒绝与采购人签订合同的，采购人可以与符合标的的第二中标候选人签约采购货物；若第一中标候选人签订合同后未按合同及采购人要求进行产品设计制作的，采购人有权与其解除合同并与符合标的的第二中标候选人签订采购合同</w:t>
      </w:r>
      <w:r>
        <w:rPr>
          <w:rFonts w:hint="eastAsia" w:ascii="宋体" w:hAnsi="宋体"/>
          <w:color w:val="auto"/>
          <w:sz w:val="24"/>
          <w:szCs w:val="24"/>
          <w:highlight w:val="none"/>
          <w:lang w:eastAsia="zh-CN"/>
        </w:rPr>
        <w:t>。</w:t>
      </w:r>
    </w:p>
    <w:p>
      <w:pPr>
        <w:pStyle w:val="2"/>
        <w:rPr>
          <w:color w:val="auto"/>
          <w:highlight w:val="none"/>
        </w:rPr>
      </w:pPr>
    </w:p>
    <w:p>
      <w:pPr>
        <w:spacing w:line="360" w:lineRule="auto"/>
        <w:jc w:val="both"/>
        <w:rPr>
          <w:rFonts w:hint="eastAsia" w:ascii="宋体" w:hAnsi="宋体"/>
          <w:b/>
          <w:color w:val="auto"/>
          <w:sz w:val="32"/>
          <w:szCs w:val="32"/>
          <w:highlight w:val="none"/>
        </w:rPr>
      </w:pP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1"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2"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2"/>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6"/>
        <w:spacing w:line="400" w:lineRule="exact"/>
        <w:rPr>
          <w:rFonts w:hAnsi="宋体" w:cs="宋体"/>
          <w:color w:val="auto"/>
          <w:kern w:val="0"/>
          <w:sz w:val="24"/>
          <w:szCs w:val="24"/>
          <w:highlight w:val="none"/>
        </w:rPr>
      </w:pP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6"/>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1、技术标，正本一份，副本  </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 xml:space="preserve">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2、商务标，正本一份，副本  </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 xml:space="preserve">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hint="eastAsia" w:ascii="宋体" w:hAnsi="宋体" w:cs="宋体"/>
          <w:color w:val="auto"/>
          <w:kern w:val="0"/>
          <w:sz w:val="28"/>
          <w:szCs w:val="28"/>
          <w:highlight w:val="none"/>
          <w:lang w:val="en-US" w:eastAsia="zh-CN"/>
        </w:rPr>
      </w:pPr>
    </w:p>
    <w:p>
      <w:pPr>
        <w:rPr>
          <w:rFonts w:hint="eastAsia" w:ascii="宋体" w:hAnsi="宋体" w:cs="宋体"/>
          <w:b/>
          <w:bCs/>
          <w:color w:val="auto"/>
          <w:kern w:val="0"/>
          <w:sz w:val="28"/>
          <w:szCs w:val="28"/>
          <w:highlight w:val="none"/>
        </w:rPr>
      </w:pPr>
      <w:r>
        <w:rPr>
          <w:rFonts w:hint="eastAsia" w:ascii="宋体" w:hAnsi="宋体" w:cs="宋体"/>
          <w:color w:val="auto"/>
          <w:kern w:val="0"/>
          <w:sz w:val="28"/>
          <w:szCs w:val="28"/>
          <w:highlight w:val="none"/>
          <w:lang w:val="en-US" w:eastAsia="zh-CN"/>
        </w:rPr>
        <w:t>附件四</w:t>
      </w:r>
      <w:r>
        <w:rPr>
          <w:rFonts w:hint="eastAsia" w:ascii="宋体" w:hAnsi="宋体" w:cs="宋体"/>
          <w:color w:val="auto"/>
          <w:kern w:val="0"/>
          <w:sz w:val="28"/>
          <w:szCs w:val="28"/>
          <w:highlight w:val="none"/>
        </w:rPr>
        <w:t xml:space="preserve"> </w:t>
      </w:r>
      <w:r>
        <w:rPr>
          <w:rFonts w:hint="eastAsia" w:ascii="宋体" w:hAnsi="宋体" w:cs="宋体"/>
          <w:b/>
          <w:bCs/>
          <w:color w:val="auto"/>
          <w:kern w:val="0"/>
          <w:sz w:val="28"/>
          <w:szCs w:val="28"/>
          <w:highlight w:val="none"/>
        </w:rPr>
        <w:t xml:space="preserve">        </w:t>
      </w:r>
    </w:p>
    <w:p>
      <w:pPr>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5"/>
        <w:tblW w:w="94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320"/>
        <w:gridCol w:w="915"/>
        <w:gridCol w:w="930"/>
        <w:gridCol w:w="1380"/>
        <w:gridCol w:w="1380"/>
        <w:gridCol w:w="1380"/>
        <w:gridCol w:w="1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val="en-US" w:eastAsia="zh-CN"/>
              </w:rPr>
              <w:t>序号</w:t>
            </w:r>
          </w:p>
        </w:tc>
        <w:tc>
          <w:tcPr>
            <w:tcW w:w="13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货物名称</w:t>
            </w:r>
          </w:p>
        </w:tc>
        <w:tc>
          <w:tcPr>
            <w:tcW w:w="91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lang w:val="en-US" w:eastAsia="zh-CN"/>
              </w:rPr>
              <w:t>品牌</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型号</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单价/元</w:t>
            </w: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olor w:val="auto"/>
                <w:sz w:val="24"/>
                <w:szCs w:val="24"/>
                <w:highlight w:val="none"/>
                <w:lang w:val="en-US" w:eastAsia="zh-CN"/>
              </w:rPr>
            </w:pPr>
          </w:p>
        </w:tc>
        <w:tc>
          <w:tcPr>
            <w:tcW w:w="915"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eastAsia="zh-CN"/>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405" w:type="dxa"/>
            <w:gridSpan w:val="8"/>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p>
          <w:p>
            <w:pPr>
              <w:snapToGrid w:val="0"/>
              <w:spacing w:before="50" w:after="50"/>
              <w:ind w:firstLine="1440" w:firstLineChars="60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highlight w:val="none"/>
        </w:rPr>
      </w:pPr>
    </w:p>
    <w:p>
      <w:pPr>
        <w:pStyle w:val="6"/>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6"/>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6"/>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5"/>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03"/>
              <w:snapToGrid w:val="0"/>
              <w:spacing w:before="50" w:after="50" w:line="24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品牌</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lang w:val="en-US" w:eastAsia="zh-CN"/>
              </w:rPr>
              <w:t>型号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6"/>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ascii="宋体" w:hAnsi="宋体"/>
          <w:color w:val="auto"/>
          <w:sz w:val="24"/>
          <w:highlight w:val="none"/>
        </w:rPr>
      </w:pPr>
    </w:p>
    <w:p>
      <w:pPr>
        <w:pStyle w:val="2"/>
        <w:rPr>
          <w:rFonts w:ascii="宋体" w:hAnsi="宋体"/>
          <w:color w:val="auto"/>
          <w:sz w:val="24"/>
          <w:highlight w:val="none"/>
        </w:rPr>
      </w:pPr>
    </w:p>
    <w:p>
      <w:pP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附件九 售后服务方案</w:t>
      </w:r>
    </w:p>
    <w:p>
      <w:pPr>
        <w:pStyle w:val="2"/>
        <w:rPr>
          <w:rFonts w:hint="eastAsia"/>
          <w:lang w:val="en-US" w:eastAsia="zh-CN"/>
        </w:rPr>
      </w:pPr>
    </w:p>
    <w:p>
      <w:pPr>
        <w:spacing w:line="480" w:lineRule="auto"/>
        <w:ind w:firstLine="531" w:firstLineChars="147"/>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售后服务方案</w:t>
      </w:r>
    </w:p>
    <w:p>
      <w:pPr>
        <w:rPr>
          <w:rFonts w:hint="eastAsia" w:ascii="宋体" w:hAnsi="宋体" w:eastAsia="宋体" w:cs="宋体"/>
          <w:b/>
          <w:bCs/>
          <w:sz w:val="24"/>
          <w:highlight w:val="none"/>
        </w:rPr>
      </w:pPr>
    </w:p>
    <w:p>
      <w:pPr>
        <w:spacing w:line="480" w:lineRule="auto"/>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rPr>
          <w:rFonts w:hint="eastAsia" w:ascii="宋体" w:hAnsi="宋体" w:eastAsia="宋体" w:cs="宋体"/>
          <w:sz w:val="24"/>
          <w:highlight w:val="none"/>
        </w:rPr>
      </w:pPr>
    </w:p>
    <w:p>
      <w:pPr>
        <w:pStyle w:val="1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firstLine="4920" w:firstLineChars="20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r>
        <w:rPr>
          <w:rFonts w:hint="eastAsia" w:ascii="宋体" w:hAnsi="宋体" w:eastAsia="宋体" w:cs="宋体"/>
          <w:bCs/>
          <w:sz w:val="24"/>
          <w:szCs w:val="24"/>
          <w:highlight w:val="none"/>
          <w:lang w:eastAsia="zh-CN"/>
        </w:rPr>
        <w:t>电子签章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auto"/>
        <w:ind w:firstLine="6240" w:firstLineChars="2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p>
    <w:p>
      <w:pPr>
        <w:pStyle w:val="2"/>
        <w:rPr>
          <w:rFonts w:hint="default"/>
          <w:lang w:val="en-US" w:eastAsia="zh-CN"/>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6" w:space="0"/>
      </w:pBdr>
      <w:ind w:right="142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56FA0"/>
    <w:multiLevelType w:val="multilevel"/>
    <w:tmpl w:val="26D56FA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ZmRmZTJlMDBmMjBjZjIxMjgyMzEyNmVmZjIyYjc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1946"/>
    <w:rsid w:val="00D927C3"/>
    <w:rsid w:val="00D9475F"/>
    <w:rsid w:val="00D973AA"/>
    <w:rsid w:val="00DA50F7"/>
    <w:rsid w:val="00DA5F1E"/>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28A"/>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4AF1AD2"/>
    <w:rsid w:val="05104ACB"/>
    <w:rsid w:val="091B27E2"/>
    <w:rsid w:val="09C64ADE"/>
    <w:rsid w:val="0A4E5205"/>
    <w:rsid w:val="0DFB476E"/>
    <w:rsid w:val="12357DCC"/>
    <w:rsid w:val="129C0874"/>
    <w:rsid w:val="14577B2B"/>
    <w:rsid w:val="14B547A7"/>
    <w:rsid w:val="15747FCD"/>
    <w:rsid w:val="16165549"/>
    <w:rsid w:val="16A3500D"/>
    <w:rsid w:val="16C646E7"/>
    <w:rsid w:val="19BF5000"/>
    <w:rsid w:val="1B311381"/>
    <w:rsid w:val="1B8C135C"/>
    <w:rsid w:val="1CBC2080"/>
    <w:rsid w:val="258C6B30"/>
    <w:rsid w:val="26510172"/>
    <w:rsid w:val="279D4225"/>
    <w:rsid w:val="283C5EAB"/>
    <w:rsid w:val="29313BA4"/>
    <w:rsid w:val="296E76E6"/>
    <w:rsid w:val="29D23E26"/>
    <w:rsid w:val="2D391DD0"/>
    <w:rsid w:val="2D3C366E"/>
    <w:rsid w:val="30FE205B"/>
    <w:rsid w:val="31874B63"/>
    <w:rsid w:val="34254E5C"/>
    <w:rsid w:val="374F4FE9"/>
    <w:rsid w:val="384879A6"/>
    <w:rsid w:val="39B56F26"/>
    <w:rsid w:val="3D4101DE"/>
    <w:rsid w:val="3EA177D5"/>
    <w:rsid w:val="449974D6"/>
    <w:rsid w:val="44A43596"/>
    <w:rsid w:val="49AD5280"/>
    <w:rsid w:val="4B1730BE"/>
    <w:rsid w:val="4B9559A6"/>
    <w:rsid w:val="4BD45B76"/>
    <w:rsid w:val="51013975"/>
    <w:rsid w:val="513650B0"/>
    <w:rsid w:val="514C11A1"/>
    <w:rsid w:val="531620E8"/>
    <w:rsid w:val="532D4EA2"/>
    <w:rsid w:val="539A4AC7"/>
    <w:rsid w:val="53CB2ED2"/>
    <w:rsid w:val="54224ABC"/>
    <w:rsid w:val="54A5345E"/>
    <w:rsid w:val="54CE6966"/>
    <w:rsid w:val="55AE4859"/>
    <w:rsid w:val="56873739"/>
    <w:rsid w:val="56FB1CEA"/>
    <w:rsid w:val="57931F59"/>
    <w:rsid w:val="59146777"/>
    <w:rsid w:val="5B394FE8"/>
    <w:rsid w:val="5B9503D3"/>
    <w:rsid w:val="5C3E312D"/>
    <w:rsid w:val="5D64347F"/>
    <w:rsid w:val="5E1C432A"/>
    <w:rsid w:val="5E9A1E1F"/>
    <w:rsid w:val="5E9F7435"/>
    <w:rsid w:val="5ED74A1A"/>
    <w:rsid w:val="60027E7D"/>
    <w:rsid w:val="61445380"/>
    <w:rsid w:val="61BB4A54"/>
    <w:rsid w:val="629A5E42"/>
    <w:rsid w:val="62D653F0"/>
    <w:rsid w:val="65426D6C"/>
    <w:rsid w:val="654F4FE5"/>
    <w:rsid w:val="661616F6"/>
    <w:rsid w:val="66711576"/>
    <w:rsid w:val="671604B0"/>
    <w:rsid w:val="67BD26DA"/>
    <w:rsid w:val="68BC32E6"/>
    <w:rsid w:val="6A256369"/>
    <w:rsid w:val="6AB9525A"/>
    <w:rsid w:val="6AE0505D"/>
    <w:rsid w:val="6B3C2221"/>
    <w:rsid w:val="6B8558BF"/>
    <w:rsid w:val="6B9E135C"/>
    <w:rsid w:val="6D0C425A"/>
    <w:rsid w:val="6E144266"/>
    <w:rsid w:val="72B56DCF"/>
    <w:rsid w:val="74790AA1"/>
    <w:rsid w:val="75F863D7"/>
    <w:rsid w:val="7BBA5457"/>
    <w:rsid w:val="7E88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link w:val="107"/>
    <w:qFormat/>
    <w:uiPriority w:val="0"/>
    <w:pPr>
      <w:keepNext/>
      <w:keepLines/>
      <w:spacing w:before="260" w:after="260" w:line="416" w:lineRule="auto"/>
      <w:outlineLvl w:val="1"/>
    </w:pPr>
    <w:rPr>
      <w:rFonts w:ascii="Arial" w:hAnsi="Arial" w:eastAsia="黑体"/>
      <w:b/>
      <w:bCs/>
      <w:sz w:val="32"/>
      <w:szCs w:val="32"/>
    </w:rPr>
  </w:style>
  <w:style w:type="paragraph" w:styleId="2">
    <w:name w:val="heading 4"/>
    <w:basedOn w:val="1"/>
    <w:next w:val="1"/>
    <w:qFormat/>
    <w:uiPriority w:val="9"/>
    <w:pPr>
      <w:outlineLvl w:val="3"/>
    </w:pPr>
    <w:rPr>
      <w:b/>
      <w:iCs/>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eastAsia="仿宋_GB2312"/>
      <w:sz w:val="32"/>
    </w:rPr>
  </w:style>
  <w:style w:type="paragraph" w:styleId="5">
    <w:name w:val="Body Text"/>
    <w:basedOn w:val="1"/>
    <w:next w:val="1"/>
    <w:link w:val="104"/>
    <w:semiHidden/>
    <w:unhideWhenUsed/>
    <w:qFormat/>
    <w:uiPriority w:val="99"/>
    <w:pPr>
      <w:spacing w:after="120"/>
    </w:pPr>
  </w:style>
  <w:style w:type="paragraph" w:styleId="6">
    <w:name w:val="Plain Text"/>
    <w:basedOn w:val="1"/>
    <w:next w:val="1"/>
    <w:link w:val="25"/>
    <w:unhideWhenUsed/>
    <w:qFormat/>
    <w:uiPriority w:val="0"/>
    <w:rPr>
      <w:rFonts w:ascii="宋体" w:hAnsi="Courier New" w:cs="Courier New"/>
      <w:szCs w:val="21"/>
    </w:rPr>
  </w:style>
  <w:style w:type="paragraph" w:styleId="7">
    <w:name w:val="Date"/>
    <w:basedOn w:val="1"/>
    <w:next w:val="1"/>
    <w:link w:val="30"/>
    <w:qFormat/>
    <w:uiPriority w:val="0"/>
    <w:pPr>
      <w:adjustRightInd w:val="0"/>
      <w:spacing w:line="312" w:lineRule="atLeast"/>
      <w:textAlignment w:val="baseline"/>
    </w:pPr>
    <w:rPr>
      <w:rFonts w:ascii="仿宋_GB2312" w:eastAsia="仿宋_GB2312"/>
      <w:kern w:val="0"/>
      <w:sz w:val="28"/>
    </w:rPr>
  </w:style>
  <w:style w:type="paragraph" w:styleId="8">
    <w:name w:val="Body Text Indent 2"/>
    <w:basedOn w:val="1"/>
    <w:link w:val="27"/>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9">
    <w:name w:val="Balloon Text"/>
    <w:basedOn w:val="1"/>
    <w:link w:val="106"/>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108"/>
    <w:qFormat/>
    <w:uiPriority w:val="0"/>
    <w:pPr>
      <w:spacing w:after="120" w:line="480" w:lineRule="auto"/>
    </w:pPr>
    <w:rPr>
      <w:szCs w:val="24"/>
    </w:rPr>
  </w:style>
  <w:style w:type="paragraph" w:styleId="13">
    <w:name w:val="HTML Preformatted"/>
    <w:basedOn w:val="1"/>
    <w:link w:val="24"/>
    <w:unhideWhenUsed/>
    <w:qFormat/>
    <w:uiPriority w:val="99"/>
    <w:rPr>
      <w:rFonts w:ascii="Courier New" w:hAnsi="Courier New" w:cs="Courier New" w:eastAsiaTheme="minorEastAsia"/>
      <w:szCs w:val="22"/>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7">
    <w:name w:val="Strong"/>
    <w:basedOn w:val="16"/>
    <w:qFormat/>
    <w:uiPriority w:val="0"/>
    <w:rPr>
      <w:b/>
      <w:bCs/>
    </w:rPr>
  </w:style>
  <w:style w:type="character" w:styleId="18">
    <w:name w:val="page number"/>
    <w:basedOn w:val="16"/>
    <w:qFormat/>
    <w:uiPriority w:val="0"/>
  </w:style>
  <w:style w:type="character" w:styleId="19">
    <w:name w:val="FollowedHyperlink"/>
    <w:basedOn w:val="16"/>
    <w:semiHidden/>
    <w:unhideWhenUsed/>
    <w:qFormat/>
    <w:uiPriority w:val="99"/>
    <w:rPr>
      <w:color w:val="800080"/>
      <w:u w:val="single"/>
    </w:rPr>
  </w:style>
  <w:style w:type="character" w:styleId="20">
    <w:name w:val="Hyperlink"/>
    <w:basedOn w:val="16"/>
    <w:unhideWhenUsed/>
    <w:qFormat/>
    <w:uiPriority w:val="99"/>
    <w:rPr>
      <w:color w:val="0000FF"/>
      <w:u w:val="single"/>
    </w:rPr>
  </w:style>
  <w:style w:type="character" w:styleId="21">
    <w:name w:val="annotation reference"/>
    <w:basedOn w:val="16"/>
    <w:semiHidden/>
    <w:unhideWhenUsed/>
    <w:qFormat/>
    <w:uiPriority w:val="99"/>
    <w:rPr>
      <w:sz w:val="21"/>
      <w:szCs w:val="21"/>
    </w:rPr>
  </w:style>
  <w:style w:type="character" w:customStyle="1" w:styleId="22">
    <w:name w:val="页眉 Char"/>
    <w:basedOn w:val="16"/>
    <w:link w:val="11"/>
    <w:qFormat/>
    <w:uiPriority w:val="99"/>
    <w:rPr>
      <w:sz w:val="18"/>
      <w:szCs w:val="18"/>
    </w:rPr>
  </w:style>
  <w:style w:type="character" w:customStyle="1" w:styleId="23">
    <w:name w:val="页脚 Char"/>
    <w:basedOn w:val="16"/>
    <w:link w:val="10"/>
    <w:qFormat/>
    <w:uiPriority w:val="99"/>
    <w:rPr>
      <w:sz w:val="18"/>
      <w:szCs w:val="18"/>
    </w:rPr>
  </w:style>
  <w:style w:type="character" w:customStyle="1" w:styleId="24">
    <w:name w:val="HTML 预设格式 Char"/>
    <w:link w:val="13"/>
    <w:qFormat/>
    <w:uiPriority w:val="99"/>
    <w:rPr>
      <w:rFonts w:ascii="Courier New" w:hAnsi="Courier New" w:cs="Courier New"/>
    </w:rPr>
  </w:style>
  <w:style w:type="character" w:customStyle="1" w:styleId="25">
    <w:name w:val="纯文本 Char"/>
    <w:basedOn w:val="16"/>
    <w:link w:val="6"/>
    <w:qFormat/>
    <w:uiPriority w:val="6"/>
    <w:rPr>
      <w:rFonts w:ascii="宋体" w:hAnsi="Courier New" w:eastAsia="宋体" w:cs="Courier New"/>
      <w:szCs w:val="21"/>
    </w:rPr>
  </w:style>
  <w:style w:type="character" w:customStyle="1" w:styleId="26">
    <w:name w:val="HTML 预设格式 Char1"/>
    <w:basedOn w:val="16"/>
    <w:semiHidden/>
    <w:qFormat/>
    <w:uiPriority w:val="99"/>
    <w:rPr>
      <w:rFonts w:ascii="Courier New" w:hAnsi="Courier New" w:eastAsia="宋体" w:cs="Courier New"/>
      <w:sz w:val="20"/>
      <w:szCs w:val="20"/>
    </w:rPr>
  </w:style>
  <w:style w:type="character" w:customStyle="1" w:styleId="27">
    <w:name w:val="正文文本缩进 2 Char"/>
    <w:basedOn w:val="16"/>
    <w:link w:val="8"/>
    <w:semiHidden/>
    <w:qFormat/>
    <w:uiPriority w:val="0"/>
    <w:rPr>
      <w:rFonts w:ascii="仿宋_GB2312" w:hAnsi="Times New Roman" w:eastAsia="仿宋_GB2312" w:cs="Times New Roman"/>
      <w:kern w:val="0"/>
      <w:sz w:val="28"/>
      <w:szCs w:val="20"/>
    </w:rPr>
  </w:style>
  <w:style w:type="paragraph" w:styleId="28">
    <w:name w:val="List Paragraph"/>
    <w:basedOn w:val="1"/>
    <w:qFormat/>
    <w:uiPriority w:val="34"/>
    <w:pPr>
      <w:ind w:firstLine="420" w:firstLineChars="200"/>
    </w:pPr>
  </w:style>
  <w:style w:type="character" w:customStyle="1" w:styleId="29">
    <w:name w:val="tpc_content1"/>
    <w:basedOn w:val="16"/>
    <w:qFormat/>
    <w:uiPriority w:val="0"/>
    <w:rPr>
      <w:sz w:val="20"/>
      <w:szCs w:val="20"/>
    </w:rPr>
  </w:style>
  <w:style w:type="character" w:customStyle="1" w:styleId="30">
    <w:name w:val="日期 Char"/>
    <w:basedOn w:val="16"/>
    <w:link w:val="7"/>
    <w:semiHidden/>
    <w:qFormat/>
    <w:uiPriority w:val="0"/>
    <w:rPr>
      <w:rFonts w:ascii="仿宋_GB2312" w:hAnsi="Times New Roman" w:eastAsia="仿宋_GB2312" w:cs="Times New Roman"/>
      <w:kern w:val="0"/>
      <w:sz w:val="28"/>
      <w:szCs w:val="20"/>
    </w:r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4">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5">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font10"/>
    <w:basedOn w:val="1"/>
    <w:qFormat/>
    <w:uiPriority w:val="0"/>
    <w:pPr>
      <w:widowControl/>
      <w:spacing w:before="100" w:beforeAutospacing="1" w:after="100" w:afterAutospacing="1"/>
      <w:jc w:val="left"/>
    </w:pPr>
    <w:rPr>
      <w:kern w:val="0"/>
      <w:sz w:val="24"/>
      <w:szCs w:val="24"/>
    </w:rPr>
  </w:style>
  <w:style w:type="paragraph" w:customStyle="1" w:styleId="3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0">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2">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7">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8">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5">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1">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7">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8">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3">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4">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5">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6">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7">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8">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9">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1">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0">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1">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2">
    <w:name w:val="纯文本 Char1"/>
    <w:qFormat/>
    <w:uiPriority w:val="0"/>
    <w:rPr>
      <w:rFonts w:ascii="宋体" w:hAnsi="Courier New" w:eastAsia="宋体"/>
      <w:kern w:val="2"/>
      <w:sz w:val="24"/>
      <w:szCs w:val="24"/>
      <w:lang w:val="en-US" w:eastAsia="zh-CN" w:bidi="ar-SA"/>
    </w:rPr>
  </w:style>
  <w:style w:type="paragraph" w:customStyle="1" w:styleId="103">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4">
    <w:name w:val="正文文本 Char"/>
    <w:basedOn w:val="16"/>
    <w:link w:val="5"/>
    <w:semiHidden/>
    <w:qFormat/>
    <w:uiPriority w:val="99"/>
    <w:rPr>
      <w:rFonts w:ascii="Times New Roman" w:hAnsi="Times New Roman" w:eastAsia="宋体" w:cs="Times New Roman"/>
      <w:szCs w:val="20"/>
    </w:rPr>
  </w:style>
  <w:style w:type="paragraph" w:customStyle="1" w:styleId="105">
    <w:name w:val="默认段落字体 Para Char Char Char Char Char Char Char Char Char1 Char Char Char Char"/>
    <w:basedOn w:val="1"/>
    <w:qFormat/>
    <w:uiPriority w:val="0"/>
    <w:rPr>
      <w:rFonts w:ascii="Tahoma" w:hAnsi="Tahoma"/>
      <w:sz w:val="24"/>
    </w:rPr>
  </w:style>
  <w:style w:type="character" w:customStyle="1" w:styleId="106">
    <w:name w:val="批注框文本 Char"/>
    <w:basedOn w:val="16"/>
    <w:link w:val="9"/>
    <w:semiHidden/>
    <w:qFormat/>
    <w:uiPriority w:val="99"/>
    <w:rPr>
      <w:rFonts w:ascii="Times New Roman" w:hAnsi="Times New Roman" w:eastAsia="宋体" w:cs="Times New Roman"/>
      <w:sz w:val="18"/>
      <w:szCs w:val="18"/>
    </w:rPr>
  </w:style>
  <w:style w:type="character" w:customStyle="1" w:styleId="107">
    <w:name w:val="标题 2 Char"/>
    <w:basedOn w:val="16"/>
    <w:link w:val="3"/>
    <w:qFormat/>
    <w:uiPriority w:val="0"/>
    <w:rPr>
      <w:rFonts w:ascii="Arial" w:hAnsi="Arial" w:eastAsia="黑体" w:cs="Times New Roman"/>
      <w:b/>
      <w:bCs/>
      <w:sz w:val="32"/>
      <w:szCs w:val="32"/>
    </w:rPr>
  </w:style>
  <w:style w:type="character" w:customStyle="1" w:styleId="108">
    <w:name w:val="正文文本 2 Char"/>
    <w:basedOn w:val="16"/>
    <w:link w:val="12"/>
    <w:qFormat/>
    <w:uiPriority w:val="0"/>
    <w:rPr>
      <w:rFonts w:ascii="Times New Roman" w:hAnsi="Times New Roman" w:eastAsia="宋体" w:cs="Times New Roman"/>
      <w:szCs w:val="24"/>
    </w:rPr>
  </w:style>
  <w:style w:type="character" w:customStyle="1" w:styleId="109">
    <w:name w:val="纯文本 Char2"/>
    <w:qFormat/>
    <w:uiPriority w:val="99"/>
    <w:rPr>
      <w:rFonts w:ascii="宋体" w:hAnsi="Courier New" w:eastAsia="宋体"/>
      <w:kern w:val="2"/>
      <w:sz w:val="21"/>
      <w:lang w:val="en-US" w:eastAsia="zh-CN" w:bidi="ar-SA"/>
    </w:rPr>
  </w:style>
  <w:style w:type="character" w:customStyle="1" w:styleId="110">
    <w:name w:val="NormalCharacter"/>
    <w:qFormat/>
    <w:uiPriority w:val="0"/>
  </w:style>
  <w:style w:type="paragraph" w:customStyle="1" w:styleId="111">
    <w:name w:val="正文（首行缩进2字符）"/>
    <w:basedOn w:val="1"/>
    <w:qFormat/>
    <w:uiPriority w:val="0"/>
    <w:pPr>
      <w:spacing w:line="360" w:lineRule="auto"/>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13597</Words>
  <Characters>14799</Characters>
  <Lines>91</Lines>
  <Paragraphs>25</Paragraphs>
  <TotalTime>24</TotalTime>
  <ScaleCrop>false</ScaleCrop>
  <LinksUpToDate>false</LinksUpToDate>
  <CharactersWithSpaces>16107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寥寥路光</cp:lastModifiedBy>
  <cp:lastPrinted>2015-07-08T07:44:00Z</cp:lastPrinted>
  <dcterms:modified xsi:type="dcterms:W3CDTF">2023-07-11T07:10:17Z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0B2C59B50B294272895949D62003B34B</vt:lpwstr>
  </property>
</Properties>
</file>