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p>
    <w:p>
      <w:pPr>
        <w:jc w:val="center"/>
        <w:rPr>
          <w:rFonts w:hint="eastAsia" w:ascii="宋体" w:hAnsi="宋体"/>
          <w:b/>
          <w:sz w:val="36"/>
          <w:szCs w:val="36"/>
        </w:rPr>
      </w:pPr>
      <w:r>
        <w:rPr>
          <w:rFonts w:hint="eastAsia" w:ascii="宋体" w:hAnsi="宋体"/>
          <w:b/>
          <w:sz w:val="36"/>
          <w:szCs w:val="36"/>
        </w:rPr>
        <w:t>浙江大学医学院附属第四医院</w:t>
      </w:r>
    </w:p>
    <w:p>
      <w:pPr>
        <w:jc w:val="center"/>
        <w:rPr>
          <w:rFonts w:ascii="宋体" w:hAnsi="宋体"/>
          <w:b/>
          <w:sz w:val="36"/>
          <w:szCs w:val="36"/>
        </w:rPr>
      </w:pPr>
      <w:r>
        <w:rPr>
          <w:rFonts w:hint="eastAsia" w:ascii="宋体" w:hAnsi="宋体"/>
          <w:b/>
          <w:sz w:val="36"/>
          <w:szCs w:val="36"/>
        </w:rPr>
        <w:t>南门停车系统建设项目招标文件</w:t>
      </w:r>
    </w:p>
    <w:p>
      <w:pPr>
        <w:autoSpaceDE w:val="0"/>
        <w:autoSpaceDN w:val="0"/>
        <w:adjustRightInd w:val="0"/>
        <w:spacing w:line="360" w:lineRule="auto"/>
        <w:jc w:val="center"/>
        <w:rPr>
          <w:rFonts w:ascii="宋体" w:hAnsi="宋体"/>
          <w:b/>
          <w:bCs/>
          <w:sz w:val="30"/>
          <w:szCs w:val="30"/>
          <w:lang w:val="zh-CN"/>
        </w:rPr>
      </w:pPr>
      <w:r>
        <w:rPr>
          <w:rFonts w:hint="eastAsia" w:ascii="宋体" w:hAnsi="宋体"/>
          <w:b/>
          <w:bCs/>
          <w:sz w:val="30"/>
          <w:szCs w:val="30"/>
          <w:lang w:val="zh-CN"/>
        </w:rPr>
        <w:t>第一章 招标公告</w:t>
      </w:r>
    </w:p>
    <w:p>
      <w:pPr>
        <w:spacing w:line="360" w:lineRule="auto"/>
        <w:ind w:firstLine="480" w:firstLineChars="200"/>
        <w:rPr>
          <w:rFonts w:ascii="宋体" w:hAnsi="宋体"/>
          <w:sz w:val="24"/>
        </w:rPr>
      </w:pPr>
      <w:r>
        <w:rPr>
          <w:rFonts w:hint="eastAsia" w:ascii="宋体" w:hAnsi="宋体"/>
          <w:sz w:val="24"/>
        </w:rPr>
        <w:t>根据浙江大学医学院附属第四医院采购要求, 对我院浙江大学医学院附属第四医院南门停车系统建设项目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sz w:val="24"/>
          <w:u w:val="single"/>
        </w:rPr>
      </w:pPr>
      <w:r>
        <w:rPr>
          <w:rFonts w:hint="eastAsia" w:ascii="宋体" w:hAnsi="宋体"/>
          <w:sz w:val="24"/>
        </w:rPr>
        <w:t xml:space="preserve">项目编号: </w:t>
      </w:r>
      <w:r>
        <w:rPr>
          <w:rFonts w:hint="eastAsia" w:ascii="宋体" w:hAnsi="宋体"/>
          <w:sz w:val="24"/>
          <w:highlight w:val="none"/>
        </w:rPr>
        <w:t>ZSHQ-2023N</w:t>
      </w:r>
      <w:r>
        <w:rPr>
          <w:rFonts w:hint="eastAsia" w:ascii="宋体" w:hAnsi="宋体"/>
          <w:sz w:val="24"/>
          <w:highlight w:val="none"/>
          <w:lang w:val="en-US" w:eastAsia="zh-CN"/>
        </w:rPr>
        <w:t>15</w:t>
      </w:r>
    </w:p>
    <w:p>
      <w:pPr>
        <w:numPr>
          <w:ilvl w:val="0"/>
          <w:numId w:val="1"/>
        </w:numPr>
        <w:spacing w:line="360" w:lineRule="auto"/>
        <w:rPr>
          <w:rFonts w:ascii="宋体" w:hAnsi="宋体"/>
          <w:sz w:val="24"/>
        </w:rPr>
      </w:pPr>
      <w:r>
        <w:rPr>
          <w:rFonts w:hint="eastAsia" w:ascii="宋体" w:hAnsi="宋体"/>
          <w:sz w:val="24"/>
          <w:szCs w:val="24"/>
        </w:rPr>
        <w:t>采购组织类型：分散采购</w:t>
      </w:r>
    </w:p>
    <w:p>
      <w:pPr>
        <w:numPr>
          <w:ilvl w:val="0"/>
          <w:numId w:val="1"/>
        </w:numPr>
        <w:spacing w:line="360" w:lineRule="auto"/>
        <w:rPr>
          <w:rFonts w:ascii="宋体" w:hAnsi="宋体"/>
          <w:sz w:val="24"/>
        </w:rPr>
      </w:pPr>
      <w:r>
        <w:rPr>
          <w:rFonts w:hint="eastAsia" w:ascii="宋体" w:hAnsi="宋体"/>
          <w:sz w:val="24"/>
        </w:rPr>
        <w:t>采购方式：</w:t>
      </w:r>
      <w:r>
        <w:rPr>
          <w:rFonts w:hint="eastAsia" w:ascii="宋体" w:hAnsi="宋体"/>
          <w:color w:val="FF0000"/>
          <w:sz w:val="24"/>
        </w:rPr>
        <w:t>公开招标</w:t>
      </w:r>
    </w:p>
    <w:p>
      <w:pPr>
        <w:numPr>
          <w:ilvl w:val="0"/>
          <w:numId w:val="1"/>
        </w:numPr>
        <w:spacing w:line="360" w:lineRule="auto"/>
        <w:rPr>
          <w:rFonts w:ascii="宋体" w:hAnsi="宋体"/>
          <w:sz w:val="24"/>
        </w:rPr>
      </w:pPr>
      <w:r>
        <w:rPr>
          <w:rFonts w:ascii="宋体" w:hAnsi="宋体"/>
          <w:sz w:val="24"/>
        </w:rPr>
        <w:t>采购人</w:t>
      </w:r>
      <w:r>
        <w:rPr>
          <w:rFonts w:hint="eastAsia" w:ascii="宋体" w:hAnsi="宋体"/>
          <w:sz w:val="24"/>
        </w:rPr>
        <w:t>：</w:t>
      </w:r>
      <w:r>
        <w:rPr>
          <w:rFonts w:hint="eastAsia" w:ascii="宋体" w:hAnsi="宋体" w:cs="宋体"/>
          <w:kern w:val="0"/>
          <w:sz w:val="24"/>
          <w:szCs w:val="24"/>
        </w:rPr>
        <w:t>浙江大学医学院附属第四医院</w:t>
      </w:r>
    </w:p>
    <w:p>
      <w:pPr>
        <w:numPr>
          <w:ilvl w:val="0"/>
          <w:numId w:val="1"/>
        </w:numPr>
        <w:spacing w:line="360" w:lineRule="auto"/>
        <w:rPr>
          <w:rFonts w:ascii="宋体" w:hAnsi="宋体"/>
          <w:sz w:val="24"/>
        </w:rPr>
      </w:pPr>
      <w:r>
        <w:rPr>
          <w:rFonts w:hint="eastAsia" w:ascii="宋体" w:hAnsi="宋体"/>
          <w:sz w:val="24"/>
        </w:rPr>
        <w:t>采购内容：浙江大学医学院附属第四医院南门停车系统建设项目。</w:t>
      </w:r>
    </w:p>
    <w:p>
      <w:pPr>
        <w:numPr>
          <w:ilvl w:val="0"/>
          <w:numId w:val="1"/>
        </w:numPr>
        <w:spacing w:line="360" w:lineRule="auto"/>
        <w:rPr>
          <w:rFonts w:ascii="宋体" w:hAnsi="宋体"/>
          <w:sz w:val="24"/>
        </w:rPr>
      </w:pPr>
      <w:r>
        <w:rPr>
          <w:rFonts w:ascii="宋体" w:hAnsi="宋体"/>
          <w:sz w:val="24"/>
        </w:rPr>
        <w:t>采购预算</w:t>
      </w:r>
      <w:r>
        <w:rPr>
          <w:rFonts w:hint="eastAsia" w:ascii="宋体" w:hAnsi="宋体"/>
          <w:sz w:val="24"/>
        </w:rPr>
        <w:t>及最高限价：</w:t>
      </w:r>
      <w:r>
        <w:rPr>
          <w:rFonts w:hint="eastAsia" w:ascii="宋体" w:hAnsi="宋体"/>
          <w:b/>
          <w:sz w:val="24"/>
          <w:szCs w:val="24"/>
        </w:rPr>
        <w:t>本项目设最高限价</w:t>
      </w:r>
      <w:r>
        <w:rPr>
          <w:rFonts w:hint="eastAsia" w:ascii="宋体" w:hAnsi="宋体"/>
          <w:b/>
          <w:color w:val="FF0000"/>
          <w:sz w:val="24"/>
          <w:szCs w:val="24"/>
          <w:lang w:val="en-US" w:eastAsia="zh-CN"/>
        </w:rPr>
        <w:t>9.8</w:t>
      </w:r>
      <w:r>
        <w:rPr>
          <w:rFonts w:hint="eastAsia" w:ascii="宋体" w:hAnsi="宋体"/>
          <w:b/>
          <w:sz w:val="24"/>
          <w:szCs w:val="24"/>
        </w:rPr>
        <w:t>万，</w:t>
      </w:r>
      <w:r>
        <w:rPr>
          <w:rFonts w:ascii="宋体" w:hAnsi="宋体"/>
          <w:b/>
          <w:sz w:val="24"/>
          <w:szCs w:val="24"/>
        </w:rPr>
        <w:t>投标报价</w:t>
      </w:r>
      <w:r>
        <w:rPr>
          <w:rFonts w:hint="eastAsia" w:ascii="宋体" w:hAnsi="宋体"/>
          <w:b/>
          <w:sz w:val="24"/>
          <w:szCs w:val="24"/>
        </w:rPr>
        <w:t>高于</w:t>
      </w:r>
      <w:r>
        <w:rPr>
          <w:rFonts w:ascii="宋体" w:hAnsi="宋体"/>
          <w:b/>
          <w:sz w:val="24"/>
          <w:szCs w:val="24"/>
        </w:rPr>
        <w:t>最</w:t>
      </w:r>
      <w:r>
        <w:rPr>
          <w:rFonts w:hint="eastAsia" w:ascii="宋体" w:hAnsi="宋体"/>
          <w:b/>
          <w:sz w:val="24"/>
          <w:szCs w:val="24"/>
        </w:rPr>
        <w:t>高</w:t>
      </w:r>
      <w:r>
        <w:rPr>
          <w:rFonts w:ascii="宋体" w:hAnsi="宋体"/>
          <w:b/>
          <w:sz w:val="24"/>
          <w:szCs w:val="24"/>
        </w:rPr>
        <w:t>限价的，其投标均为无效标</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ascii="宋体" w:hAnsi="宋体" w:cs="宋体"/>
          <w:kern w:val="0"/>
          <w:sz w:val="24"/>
          <w:szCs w:val="24"/>
        </w:rPr>
        <w:t>评标</w:t>
      </w:r>
      <w:r>
        <w:rPr>
          <w:rFonts w:hint="eastAsia" w:ascii="宋体" w:hAnsi="宋体"/>
          <w:sz w:val="24"/>
        </w:rPr>
        <w:t>方法</w:t>
      </w:r>
      <w:r>
        <w:rPr>
          <w:rFonts w:hint="eastAsia" w:ascii="宋体" w:hAnsi="宋体" w:cs="宋体"/>
          <w:kern w:val="0"/>
          <w:sz w:val="24"/>
          <w:szCs w:val="24"/>
        </w:rPr>
        <w:t>：</w:t>
      </w:r>
      <w:r>
        <w:rPr>
          <w:rFonts w:ascii="宋体" w:hAnsi="宋体" w:cs="宋体"/>
          <w:kern w:val="0"/>
          <w:sz w:val="24"/>
          <w:szCs w:val="24"/>
        </w:rPr>
        <w:t>综合评分法</w:t>
      </w:r>
      <w:r>
        <w:rPr>
          <w:rFonts w:hint="eastAsia" w:ascii="宋体" w:hAnsi="宋体" w:cs="宋体"/>
          <w:kern w:val="0"/>
          <w:sz w:val="24"/>
          <w:szCs w:val="24"/>
        </w:rPr>
        <w:t>。</w:t>
      </w:r>
    </w:p>
    <w:p>
      <w:pPr>
        <w:numPr>
          <w:ilvl w:val="0"/>
          <w:numId w:val="1"/>
        </w:numPr>
        <w:spacing w:line="360" w:lineRule="auto"/>
        <w:rPr>
          <w:rFonts w:ascii="宋体" w:hAnsi="宋体"/>
          <w:sz w:val="24"/>
        </w:rPr>
      </w:pPr>
      <w:r>
        <w:rPr>
          <w:rFonts w:hint="eastAsia" w:ascii="宋体" w:hAnsi="宋体"/>
          <w:sz w:val="24"/>
        </w:rPr>
        <w:t>合作期限：</w:t>
      </w:r>
      <w:r>
        <w:rPr>
          <w:rFonts w:hint="eastAsia" w:ascii="宋体" w:hAnsi="宋体"/>
          <w:color w:val="FF0000"/>
          <w:sz w:val="24"/>
        </w:rPr>
        <w:t>一次性合作</w:t>
      </w:r>
      <w:r>
        <w:rPr>
          <w:rFonts w:ascii="宋体" w:hAnsi="宋体"/>
          <w:color w:val="FF0000"/>
          <w:sz w:val="24"/>
        </w:rPr>
        <w:t>。</w:t>
      </w:r>
    </w:p>
    <w:p>
      <w:pPr>
        <w:numPr>
          <w:ilvl w:val="0"/>
          <w:numId w:val="1"/>
        </w:numPr>
        <w:spacing w:line="360" w:lineRule="auto"/>
        <w:rPr>
          <w:rFonts w:ascii="宋体" w:hAnsi="宋体"/>
          <w:sz w:val="24"/>
        </w:rPr>
      </w:pPr>
      <w:r>
        <w:rPr>
          <w:rFonts w:hint="eastAsia" w:ascii="宋体" w:hAnsi="宋体"/>
          <w:sz w:val="24"/>
        </w:rPr>
        <w:t>投标单位的资格要求：</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1、国内具有独立法人资格。</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2、符合《中华人民共和国政府采购法》第二十二条对供应商的要求。</w:t>
      </w:r>
    </w:p>
    <w:p>
      <w:pPr>
        <w:pStyle w:val="28"/>
        <w:widowControl/>
        <w:spacing w:line="360" w:lineRule="auto"/>
        <w:ind w:left="480" w:firstLine="0" w:firstLineChars="0"/>
        <w:jc w:val="left"/>
        <w:rPr>
          <w:rFonts w:ascii="宋体" w:hAnsi="宋体" w:cs="宋体"/>
          <w:b/>
          <w:bCs/>
          <w:kern w:val="0"/>
          <w:sz w:val="24"/>
          <w:szCs w:val="24"/>
          <w:highlight w:val="none"/>
        </w:rPr>
      </w:pPr>
      <w:r>
        <w:rPr>
          <w:rFonts w:hint="eastAsia" w:ascii="宋体" w:hAnsi="宋体" w:cs="宋体"/>
          <w:b/>
          <w:bCs/>
          <w:kern w:val="0"/>
          <w:sz w:val="24"/>
          <w:szCs w:val="24"/>
          <w:highlight w:val="none"/>
        </w:rPr>
        <w:t>3、本项目不接受联合体投标。</w:t>
      </w:r>
    </w:p>
    <w:p>
      <w:pPr>
        <w:pStyle w:val="28"/>
        <w:widowControl/>
        <w:spacing w:line="360" w:lineRule="auto"/>
        <w:ind w:left="480" w:firstLine="0" w:firstLineChars="0"/>
        <w:jc w:val="left"/>
        <w:rPr>
          <w:rFonts w:ascii="宋体" w:hAnsi="宋体" w:cs="宋体"/>
          <w:kern w:val="0"/>
          <w:sz w:val="24"/>
          <w:szCs w:val="24"/>
        </w:rPr>
      </w:pPr>
      <w:r>
        <w:rPr>
          <w:rFonts w:hint="eastAsia" w:ascii="宋体" w:hAnsi="宋体" w:cs="宋体"/>
          <w:kern w:val="0"/>
          <w:sz w:val="24"/>
          <w:szCs w:val="24"/>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28"/>
        <w:widowControl/>
        <w:spacing w:line="360" w:lineRule="auto"/>
        <w:ind w:left="480" w:firstLine="0" w:firstLineChars="0"/>
        <w:jc w:val="left"/>
        <w:rPr>
          <w:rFonts w:ascii="宋体" w:hAnsi="宋体" w:cs="宋体"/>
          <w:b/>
          <w:bCs/>
          <w:kern w:val="0"/>
          <w:sz w:val="24"/>
          <w:szCs w:val="24"/>
          <w:highlight w:val="none"/>
        </w:rPr>
      </w:pPr>
      <w:r>
        <w:rPr>
          <w:rFonts w:hint="eastAsia" w:ascii="宋体" w:hAnsi="宋体" w:cs="宋体"/>
          <w:b/>
          <w:bCs/>
          <w:kern w:val="0"/>
          <w:sz w:val="24"/>
          <w:szCs w:val="24"/>
          <w:highlight w:val="none"/>
        </w:rPr>
        <w:t>5、该行业国家规定必备的资质、资格。</w:t>
      </w:r>
    </w:p>
    <w:p>
      <w:pPr>
        <w:pStyle w:val="28"/>
        <w:numPr>
          <w:ilvl w:val="0"/>
          <w:numId w:val="1"/>
        </w:numPr>
        <w:spacing w:line="360" w:lineRule="auto"/>
        <w:ind w:firstLineChars="0"/>
        <w:rPr>
          <w:rFonts w:ascii="宋体" w:hAnsi="宋体"/>
          <w:sz w:val="24"/>
        </w:rPr>
      </w:pPr>
      <w:r>
        <w:rPr>
          <w:rFonts w:hint="eastAsia" w:ascii="宋体" w:hAnsi="宋体"/>
          <w:sz w:val="24"/>
        </w:rPr>
        <w:t>招标文件发放方式：浙江大学医学院附属第四医院网站免费下载</w:t>
      </w:r>
    </w:p>
    <w:p>
      <w:pPr>
        <w:pStyle w:val="28"/>
        <w:numPr>
          <w:ilvl w:val="0"/>
          <w:numId w:val="1"/>
        </w:numPr>
        <w:spacing w:line="360" w:lineRule="auto"/>
        <w:ind w:firstLineChars="0"/>
        <w:rPr>
          <w:rFonts w:ascii="宋体" w:hAnsi="宋体"/>
          <w:sz w:val="24"/>
        </w:rPr>
      </w:pPr>
      <w:r>
        <w:rPr>
          <w:rFonts w:hint="eastAsia" w:ascii="宋体" w:hAnsi="宋体"/>
          <w:sz w:val="24"/>
        </w:rPr>
        <w:t>报名方式</w:t>
      </w:r>
      <w:r>
        <w:rPr>
          <w:rFonts w:ascii="宋体" w:hAnsi="宋体"/>
          <w:sz w:val="24"/>
        </w:rPr>
        <w:t>：</w:t>
      </w:r>
      <w:r>
        <w:rPr>
          <w:rFonts w:hint="eastAsia" w:ascii="宋体" w:hAnsi="宋体"/>
          <w:sz w:val="24"/>
        </w:rPr>
        <w:t>投标单位必须于</w:t>
      </w:r>
      <w:r>
        <w:rPr>
          <w:rFonts w:hint="eastAsia" w:ascii="宋体" w:hAnsi="宋体"/>
          <w:sz w:val="24"/>
          <w:lang w:eastAsia="zh-CN"/>
        </w:rPr>
        <w:t>2023</w:t>
      </w:r>
      <w:r>
        <w:rPr>
          <w:rFonts w:hint="eastAsia" w:ascii="宋体" w:hAnsi="宋体"/>
          <w:sz w:val="24"/>
        </w:rPr>
        <w:t>年</w:t>
      </w:r>
      <w:r>
        <w:rPr>
          <w:rFonts w:hint="eastAsia" w:ascii="宋体" w:hAnsi="宋体" w:cs="Tahoma"/>
          <w:sz w:val="24"/>
          <w:lang w:val="en-US" w:eastAsia="zh-CN"/>
        </w:rPr>
        <w:t>9</w:t>
      </w:r>
      <w:r>
        <w:rPr>
          <w:rFonts w:hint="eastAsia" w:ascii="宋体" w:hAnsi="宋体"/>
          <w:sz w:val="24"/>
        </w:rPr>
        <w:t>月</w:t>
      </w:r>
      <w:r>
        <w:rPr>
          <w:rFonts w:hint="eastAsia" w:ascii="宋体" w:hAnsi="宋体"/>
          <w:sz w:val="24"/>
          <w:lang w:val="en-US" w:eastAsia="zh-CN"/>
        </w:rPr>
        <w:t>17</w:t>
      </w:r>
      <w:r>
        <w:rPr>
          <w:rFonts w:hint="eastAsia" w:ascii="宋体" w:hAnsi="宋体"/>
          <w:sz w:val="24"/>
        </w:rPr>
        <w:t>日17:00之前将</w:t>
      </w:r>
      <w:r>
        <w:rPr>
          <w:rFonts w:hint="eastAsia"/>
          <w:b/>
          <w:sz w:val="24"/>
        </w:rPr>
        <w:t>以下</w:t>
      </w:r>
      <w:r>
        <w:rPr>
          <w:b/>
          <w:sz w:val="24"/>
        </w:rPr>
        <w:t>报名资料</w:t>
      </w:r>
      <w:r>
        <w:fldChar w:fldCharType="begin"/>
      </w:r>
      <w:r>
        <w:instrText xml:space="preserve"> HYPERLINK "mailto:发送至邮箱zshqzb@163.com" </w:instrText>
      </w:r>
      <w:r>
        <w:fldChar w:fldCharType="separate"/>
      </w:r>
      <w:r>
        <w:rPr>
          <w:rStyle w:val="20"/>
          <w:rFonts w:hint="eastAsia" w:ascii="宋体" w:hAnsi="宋体"/>
          <w:sz w:val="24"/>
        </w:rPr>
        <w:t>发送至邮箱</w:t>
      </w:r>
      <w:r>
        <w:rPr>
          <w:rStyle w:val="20"/>
          <w:rFonts w:ascii="宋体" w:hAnsi="宋体"/>
          <w:b/>
          <w:sz w:val="24"/>
        </w:rPr>
        <w:t>zshqzb@163.com</w:t>
      </w:r>
      <w:r>
        <w:rPr>
          <w:rStyle w:val="20"/>
          <w:rFonts w:ascii="宋体" w:hAnsi="宋体"/>
          <w:b/>
          <w:sz w:val="24"/>
        </w:rPr>
        <w:fldChar w:fldCharType="end"/>
      </w:r>
      <w:r>
        <w:rPr>
          <w:rFonts w:hint="eastAsia" w:ascii="宋体" w:hAnsi="宋体"/>
          <w:b/>
          <w:sz w:val="24"/>
        </w:rPr>
        <w:t>（邮件标题以“投标项目+投标单位”格式命名），</w:t>
      </w:r>
      <w:r>
        <w:rPr>
          <w:rFonts w:hint="eastAsia" w:ascii="宋体" w:hAnsi="宋体"/>
          <w:sz w:val="24"/>
        </w:rPr>
        <w:t>复印件加盖公章的原件在开标当天补交。</w:t>
      </w:r>
    </w:p>
    <w:p>
      <w:pPr>
        <w:pStyle w:val="28"/>
        <w:numPr>
          <w:ilvl w:val="0"/>
          <w:numId w:val="2"/>
        </w:numPr>
        <w:spacing w:line="360" w:lineRule="auto"/>
        <w:ind w:firstLineChars="0"/>
        <w:rPr>
          <w:rFonts w:ascii="宋体" w:hAnsi="宋体"/>
          <w:sz w:val="24"/>
        </w:rPr>
      </w:pPr>
      <w:r>
        <w:rPr>
          <w:b/>
          <w:sz w:val="24"/>
        </w:rPr>
        <w:t>单位营业执照</w:t>
      </w:r>
      <w:r>
        <w:rPr>
          <w:rFonts w:hint="eastAsia" w:ascii="宋体" w:hAnsi="宋体"/>
          <w:sz w:val="24"/>
        </w:rPr>
        <w:t>（加盖单位公章 红章）；</w:t>
      </w:r>
    </w:p>
    <w:p>
      <w:pPr>
        <w:pStyle w:val="28"/>
        <w:numPr>
          <w:ilvl w:val="0"/>
          <w:numId w:val="2"/>
        </w:numPr>
        <w:spacing w:line="360" w:lineRule="auto"/>
        <w:ind w:firstLineChars="0"/>
        <w:rPr>
          <w:rFonts w:ascii="宋体" w:hAnsi="宋体"/>
          <w:sz w:val="24"/>
        </w:rPr>
      </w:pPr>
      <w:r>
        <w:rPr>
          <w:rFonts w:hint="eastAsia" w:ascii="宋体" w:hAnsi="宋体"/>
          <w:sz w:val="24"/>
        </w:rPr>
        <w:t>企业法定代表人或授权委托书及被委托人身份证复印件（加盖单位公章）；</w:t>
      </w:r>
    </w:p>
    <w:p>
      <w:pPr>
        <w:pStyle w:val="28"/>
        <w:numPr>
          <w:ilvl w:val="0"/>
          <w:numId w:val="2"/>
        </w:numPr>
        <w:spacing w:line="360" w:lineRule="auto"/>
        <w:ind w:firstLineChars="0"/>
        <w:rPr>
          <w:rFonts w:ascii="宋体" w:hAnsi="宋体"/>
          <w:sz w:val="24"/>
        </w:rPr>
      </w:pPr>
      <w:r>
        <w:rPr>
          <w:rFonts w:hint="eastAsia" w:ascii="宋体" w:hAnsi="宋体"/>
          <w:sz w:val="24"/>
        </w:rPr>
        <w:t>投标人联系单（含电话、邮箱等）。</w:t>
      </w:r>
    </w:p>
    <w:p>
      <w:pPr>
        <w:pStyle w:val="28"/>
        <w:numPr>
          <w:ilvl w:val="0"/>
          <w:numId w:val="1"/>
        </w:numPr>
        <w:spacing w:line="360" w:lineRule="auto"/>
        <w:ind w:firstLineChars="0"/>
        <w:rPr>
          <w:rFonts w:ascii="宋体" w:hAnsi="宋体"/>
          <w:sz w:val="24"/>
        </w:rPr>
      </w:pPr>
      <w:r>
        <w:rPr>
          <w:rFonts w:hint="eastAsia" w:ascii="宋体" w:hAnsi="宋体"/>
          <w:sz w:val="24"/>
        </w:rPr>
        <w:t xml:space="preserve">投标时间和地点： </w:t>
      </w:r>
    </w:p>
    <w:p>
      <w:pPr>
        <w:spacing w:line="360" w:lineRule="auto"/>
        <w:ind w:left="480"/>
        <w:rPr>
          <w:rFonts w:ascii="宋体" w:hAnsi="宋体"/>
          <w:sz w:val="24"/>
        </w:rPr>
      </w:pPr>
      <w:r>
        <w:rPr>
          <w:rFonts w:hint="eastAsia" w:ascii="宋体" w:hAnsi="宋体"/>
          <w:sz w:val="24"/>
        </w:rPr>
        <w:t>投标单位应于</w:t>
      </w:r>
      <w:r>
        <w:rPr>
          <w:rFonts w:hint="eastAsia" w:ascii="宋体" w:hAnsi="宋体"/>
          <w:sz w:val="24"/>
          <w:u w:val="single"/>
          <w:lang w:eastAsia="zh-CN"/>
        </w:rPr>
        <w:t>2023</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18</w:t>
      </w:r>
      <w:r>
        <w:rPr>
          <w:rFonts w:hint="eastAsia" w:ascii="宋体" w:hAnsi="宋体"/>
          <w:sz w:val="24"/>
          <w:u w:val="single"/>
        </w:rPr>
        <w:t>日</w:t>
      </w:r>
      <w:r>
        <w:rPr>
          <w:rFonts w:ascii="宋体" w:hAnsi="宋体"/>
          <w:sz w:val="24"/>
          <w:u w:val="single"/>
        </w:rPr>
        <w:t>9</w:t>
      </w:r>
      <w:r>
        <w:rPr>
          <w:rFonts w:hint="eastAsia" w:ascii="宋体" w:hAnsi="宋体"/>
          <w:sz w:val="24"/>
          <w:u w:val="single"/>
        </w:rPr>
        <w:t>:00前</w:t>
      </w:r>
      <w:r>
        <w:rPr>
          <w:rFonts w:hint="eastAsia" w:ascii="宋体" w:hAnsi="宋体"/>
          <w:sz w:val="24"/>
        </w:rPr>
        <w:t>将投标文件密封交到投标地点。</w:t>
      </w:r>
    </w:p>
    <w:p>
      <w:pPr>
        <w:spacing w:line="360" w:lineRule="auto"/>
        <w:ind w:left="480"/>
        <w:rPr>
          <w:rFonts w:ascii="宋体" w:hAnsi="宋体"/>
          <w:sz w:val="24"/>
        </w:rPr>
      </w:pPr>
      <w:r>
        <w:rPr>
          <w:rFonts w:hint="eastAsia" w:ascii="宋体" w:hAnsi="宋体"/>
          <w:sz w:val="24"/>
        </w:rPr>
        <w:t>投标地点：快递邮寄或开标当天投标至浙江大学医学院附属第四医院行政楼104室。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开标时间和地点：</w:t>
      </w:r>
    </w:p>
    <w:p>
      <w:pPr>
        <w:spacing w:line="360" w:lineRule="auto"/>
        <w:ind w:left="480"/>
        <w:rPr>
          <w:rFonts w:ascii="宋体" w:hAnsi="宋体"/>
          <w:sz w:val="24"/>
        </w:rPr>
      </w:pPr>
      <w:r>
        <w:rPr>
          <w:rFonts w:hint="eastAsia" w:ascii="宋体" w:hAnsi="宋体"/>
          <w:sz w:val="24"/>
        </w:rPr>
        <w:t>开标时间：</w:t>
      </w:r>
      <w:r>
        <w:rPr>
          <w:rFonts w:hint="eastAsia" w:ascii="宋体" w:hAnsi="宋体"/>
          <w:sz w:val="24"/>
          <w:u w:val="single"/>
          <w:lang w:eastAsia="zh-CN"/>
        </w:rPr>
        <w:t>2023</w:t>
      </w:r>
      <w:r>
        <w:rPr>
          <w:rFonts w:hint="eastAsia" w:ascii="宋体" w:hAnsi="宋体"/>
          <w:sz w:val="24"/>
          <w:u w:val="single"/>
        </w:rPr>
        <w:t>年</w:t>
      </w:r>
      <w:r>
        <w:rPr>
          <w:rFonts w:hint="eastAsia" w:ascii="宋体" w:hAnsi="宋体"/>
          <w:sz w:val="24"/>
          <w:u w:val="single"/>
          <w:lang w:val="en-US" w:eastAsia="zh-CN"/>
        </w:rPr>
        <w:t>9</w:t>
      </w:r>
      <w:r>
        <w:rPr>
          <w:rFonts w:hint="eastAsia" w:ascii="宋体" w:hAnsi="宋体"/>
          <w:sz w:val="24"/>
          <w:u w:val="single"/>
        </w:rPr>
        <w:t>月</w:t>
      </w:r>
      <w:r>
        <w:rPr>
          <w:rFonts w:hint="eastAsia" w:ascii="宋体" w:hAnsi="宋体"/>
          <w:sz w:val="24"/>
          <w:u w:val="single"/>
          <w:lang w:val="en-US" w:eastAsia="zh-CN"/>
        </w:rPr>
        <w:t>18</w:t>
      </w:r>
      <w:r>
        <w:rPr>
          <w:rFonts w:hint="eastAsia" w:ascii="宋体" w:hAnsi="宋体"/>
          <w:sz w:val="24"/>
          <w:u w:val="single"/>
        </w:rPr>
        <w:t>日  上午</w:t>
      </w:r>
      <w:r>
        <w:rPr>
          <w:rFonts w:ascii="宋体" w:hAnsi="宋体"/>
          <w:sz w:val="24"/>
          <w:u w:val="single"/>
        </w:rPr>
        <w:t>9</w:t>
      </w:r>
      <w:r>
        <w:rPr>
          <w:rFonts w:hint="eastAsia" w:ascii="宋体" w:hAnsi="宋体"/>
          <w:sz w:val="24"/>
          <w:u w:val="single"/>
        </w:rPr>
        <w:t xml:space="preserve">:00 </w:t>
      </w:r>
    </w:p>
    <w:p>
      <w:pPr>
        <w:spacing w:line="360" w:lineRule="auto"/>
        <w:ind w:left="480"/>
        <w:rPr>
          <w:rFonts w:ascii="宋体" w:hAnsi="宋体"/>
          <w:sz w:val="24"/>
        </w:rPr>
      </w:pPr>
      <w:r>
        <w:rPr>
          <w:rFonts w:hint="eastAsia" w:ascii="宋体" w:hAnsi="宋体"/>
          <w:sz w:val="24"/>
        </w:rPr>
        <w:t>开标地点：浙江大学医学院附属第四医院行政楼104室</w:t>
      </w:r>
    </w:p>
    <w:p>
      <w:pPr>
        <w:numPr>
          <w:ilvl w:val="0"/>
          <w:numId w:val="1"/>
        </w:numPr>
        <w:tabs>
          <w:tab w:val="left" w:pos="426"/>
          <w:tab w:val="clear" w:pos="480"/>
        </w:tabs>
        <w:spacing w:line="360" w:lineRule="auto"/>
        <w:rPr>
          <w:rFonts w:ascii="宋体" w:hAnsi="宋体"/>
          <w:sz w:val="24"/>
        </w:rPr>
      </w:pPr>
      <w:r>
        <w:rPr>
          <w:rFonts w:hint="eastAsia" w:ascii="宋体" w:hAnsi="宋体"/>
          <w:sz w:val="24"/>
        </w:rPr>
        <w:t>联系地址和电话：</w:t>
      </w:r>
    </w:p>
    <w:p>
      <w:pPr>
        <w:spacing w:line="360" w:lineRule="auto"/>
        <w:ind w:left="480"/>
        <w:rPr>
          <w:rFonts w:ascii="宋体" w:hAnsi="宋体"/>
          <w:sz w:val="24"/>
        </w:rPr>
      </w:pPr>
      <w:r>
        <w:rPr>
          <w:rFonts w:hint="eastAsia" w:ascii="宋体" w:hAnsi="宋体"/>
          <w:sz w:val="24"/>
        </w:rPr>
        <w:t>地  址：浙江大学医学院附属第四医院行政楼104室</w:t>
      </w:r>
    </w:p>
    <w:p>
      <w:pPr>
        <w:spacing w:line="360" w:lineRule="auto"/>
        <w:ind w:left="480"/>
        <w:rPr>
          <w:rFonts w:ascii="宋体" w:hAnsi="宋体"/>
          <w:sz w:val="24"/>
        </w:rPr>
      </w:pPr>
      <w:r>
        <w:rPr>
          <w:rFonts w:hint="eastAsia" w:ascii="宋体" w:hAnsi="宋体"/>
          <w:sz w:val="24"/>
        </w:rPr>
        <w:t>联系人：</w:t>
      </w:r>
      <w:r>
        <w:rPr>
          <w:rFonts w:hint="eastAsia" w:ascii="宋体" w:hAnsi="宋体"/>
          <w:sz w:val="24"/>
          <w:lang w:val="en-US" w:eastAsia="zh-CN"/>
        </w:rPr>
        <w:t>黄</w:t>
      </w:r>
      <w:r>
        <w:rPr>
          <w:rFonts w:hint="eastAsia" w:ascii="宋体" w:hAnsi="宋体"/>
          <w:sz w:val="24"/>
        </w:rPr>
        <w:t xml:space="preserve">老师 </w:t>
      </w:r>
    </w:p>
    <w:p>
      <w:pPr>
        <w:spacing w:line="360" w:lineRule="auto"/>
        <w:ind w:left="480"/>
        <w:rPr>
          <w:rFonts w:ascii="宋体" w:hAnsi="宋体"/>
          <w:sz w:val="24"/>
          <w:u w:val="single"/>
        </w:rPr>
      </w:pPr>
      <w:r>
        <w:rPr>
          <w:rFonts w:hint="eastAsia" w:ascii="宋体" w:hAnsi="宋体"/>
          <w:sz w:val="24"/>
        </w:rPr>
        <w:t>联系电话：</w:t>
      </w:r>
      <w:r>
        <w:rPr>
          <w:rFonts w:hint="eastAsia" w:ascii="宋体" w:hAnsi="宋体"/>
          <w:sz w:val="24"/>
          <w:u w:val="single"/>
        </w:rPr>
        <w:t xml:space="preserve"> 0579-89935103</w:t>
      </w:r>
    </w:p>
    <w:p>
      <w:pPr>
        <w:widowControl/>
        <w:spacing w:line="420" w:lineRule="atLeast"/>
        <w:rPr>
          <w:rFonts w:ascii="宋体" w:hAnsi="宋体"/>
          <w:sz w:val="24"/>
        </w:rPr>
      </w:pPr>
      <w:r>
        <w:rPr>
          <w:rFonts w:ascii="宋体" w:hAnsi="宋体"/>
          <w:sz w:val="24"/>
        </w:rPr>
        <w:t>十五</w:t>
      </w:r>
      <w:r>
        <w:rPr>
          <w:rFonts w:hint="eastAsia" w:ascii="宋体" w:hAnsi="宋体"/>
          <w:sz w:val="24"/>
        </w:rPr>
        <w:t>、</w:t>
      </w:r>
      <w:r>
        <w:rPr>
          <w:rFonts w:ascii="宋体" w:hAnsi="宋体"/>
          <w:sz w:val="24"/>
        </w:rPr>
        <w:t>其他</w:t>
      </w:r>
    </w:p>
    <w:p>
      <w:pPr>
        <w:widowControl/>
        <w:spacing w:line="420" w:lineRule="atLeast"/>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w:t>
      </w:r>
      <w:r>
        <w:rPr>
          <w:rFonts w:ascii="宋体" w:hAnsi="宋体"/>
          <w:sz w:val="24"/>
        </w:rPr>
        <w:t>“★”标记系指必须满足不能负偏离或必须应答的条款。如不能响应</w:t>
      </w:r>
      <w:r>
        <w:rPr>
          <w:rFonts w:hint="eastAsia" w:ascii="宋体" w:hAnsi="宋体"/>
          <w:sz w:val="24"/>
        </w:rPr>
        <w:t>，</w:t>
      </w:r>
      <w:r>
        <w:rPr>
          <w:rFonts w:ascii="宋体" w:hAnsi="宋体"/>
          <w:sz w:val="24"/>
        </w:rPr>
        <w:t>作废标处理</w:t>
      </w:r>
      <w:r>
        <w:rPr>
          <w:rFonts w:hint="eastAsia" w:ascii="宋体" w:hAnsi="宋体"/>
          <w:sz w:val="24"/>
        </w:rPr>
        <w:t>。</w:t>
      </w: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ind w:firstLine="480"/>
        <w:rPr>
          <w:rFonts w:ascii="宋体" w:hAnsi="宋体" w:cs="宋体"/>
          <w:color w:val="555555"/>
          <w:kern w:val="0"/>
          <w:sz w:val="24"/>
          <w:szCs w:val="24"/>
        </w:rPr>
      </w:pPr>
    </w:p>
    <w:p>
      <w:pPr>
        <w:widowControl/>
        <w:spacing w:line="420" w:lineRule="atLeast"/>
        <w:rPr>
          <w:rFonts w:hint="eastAsia" w:ascii="宋体" w:hAnsi="宋体" w:cs="宋体"/>
          <w:color w:val="555555"/>
          <w:kern w:val="0"/>
          <w:sz w:val="24"/>
          <w:szCs w:val="24"/>
        </w:rPr>
      </w:pPr>
    </w:p>
    <w:p>
      <w:pPr>
        <w:autoSpaceDE w:val="0"/>
        <w:autoSpaceDN w:val="0"/>
        <w:adjustRightInd w:val="0"/>
        <w:spacing w:line="360" w:lineRule="auto"/>
        <w:jc w:val="center"/>
        <w:rPr>
          <w:rFonts w:ascii="宋体" w:hAnsi="宋体"/>
          <w:b/>
          <w:bCs/>
          <w:sz w:val="30"/>
          <w:szCs w:val="30"/>
          <w:lang w:val="zh-CN"/>
        </w:rPr>
      </w:pPr>
      <w:r>
        <w:rPr>
          <w:rFonts w:ascii="宋体" w:hAnsi="宋体"/>
          <w:b/>
          <w:bCs/>
          <w:sz w:val="30"/>
          <w:szCs w:val="30"/>
          <w:lang w:val="zh-CN"/>
        </w:rPr>
        <w:t>第二章</w:t>
      </w:r>
      <w:r>
        <w:rPr>
          <w:rFonts w:hint="eastAsia" w:ascii="宋体" w:hAnsi="宋体"/>
          <w:b/>
          <w:bCs/>
          <w:sz w:val="30"/>
          <w:szCs w:val="30"/>
          <w:lang w:val="zh-CN"/>
        </w:rPr>
        <w:t xml:space="preserve"> </w:t>
      </w:r>
      <w:r>
        <w:rPr>
          <w:rFonts w:ascii="宋体" w:hAnsi="宋体"/>
          <w:b/>
          <w:bCs/>
          <w:sz w:val="30"/>
          <w:szCs w:val="30"/>
          <w:lang w:val="zh-CN"/>
        </w:rPr>
        <w:t>投标须知</w:t>
      </w:r>
    </w:p>
    <w:p>
      <w:pPr>
        <w:widowControl/>
        <w:spacing w:line="420" w:lineRule="atLeast"/>
        <w:rPr>
          <w:rFonts w:ascii="宋体" w:hAnsi="宋体"/>
          <w:sz w:val="24"/>
          <w:szCs w:val="21"/>
        </w:rPr>
      </w:pPr>
      <w:r>
        <w:rPr>
          <w:rFonts w:ascii="宋体" w:hAnsi="宋体"/>
          <w:sz w:val="24"/>
          <w:szCs w:val="21"/>
        </w:rPr>
        <w:t>1、适用范围</w:t>
      </w:r>
    </w:p>
    <w:p>
      <w:pPr>
        <w:widowControl/>
        <w:spacing w:line="420" w:lineRule="atLeast"/>
        <w:ind w:firstLine="480"/>
        <w:rPr>
          <w:rFonts w:ascii="宋体" w:hAnsi="宋体"/>
          <w:sz w:val="24"/>
          <w:szCs w:val="21"/>
        </w:rPr>
      </w:pPr>
      <w:r>
        <w:rPr>
          <w:rFonts w:ascii="宋体" w:hAnsi="宋体"/>
          <w:sz w:val="24"/>
          <w:szCs w:val="21"/>
        </w:rPr>
        <w:t>1.1 本招标文件仅适用于本次招标采购所叙述的服务项目。</w:t>
      </w:r>
    </w:p>
    <w:p>
      <w:pPr>
        <w:widowControl/>
        <w:spacing w:line="420" w:lineRule="atLeast"/>
        <w:rPr>
          <w:rFonts w:ascii="宋体" w:hAnsi="宋体"/>
          <w:sz w:val="24"/>
          <w:szCs w:val="21"/>
        </w:rPr>
      </w:pPr>
      <w:r>
        <w:rPr>
          <w:rFonts w:ascii="宋体" w:hAnsi="宋体"/>
          <w:sz w:val="24"/>
          <w:szCs w:val="21"/>
        </w:rPr>
        <w:t>2、定义</w:t>
      </w:r>
    </w:p>
    <w:p>
      <w:pPr>
        <w:widowControl/>
        <w:spacing w:line="420" w:lineRule="atLeast"/>
        <w:ind w:firstLine="480"/>
        <w:rPr>
          <w:rFonts w:ascii="宋体" w:hAnsi="宋体"/>
          <w:sz w:val="24"/>
          <w:szCs w:val="21"/>
        </w:rPr>
      </w:pPr>
      <w:r>
        <w:rPr>
          <w:rFonts w:ascii="宋体" w:hAnsi="宋体"/>
          <w:sz w:val="24"/>
          <w:szCs w:val="21"/>
        </w:rPr>
        <w:t>2.1采购人：系指</w:t>
      </w:r>
      <w:r>
        <w:rPr>
          <w:rFonts w:hint="eastAsia" w:ascii="宋体" w:hAnsi="宋体"/>
          <w:sz w:val="24"/>
          <w:szCs w:val="21"/>
        </w:rPr>
        <w:t>浙江大学医学院附属第四医院</w:t>
      </w:r>
      <w:r>
        <w:rPr>
          <w:rFonts w:ascii="宋体" w:hAnsi="宋体"/>
          <w:sz w:val="24"/>
          <w:szCs w:val="21"/>
        </w:rPr>
        <w:t>。</w:t>
      </w:r>
    </w:p>
    <w:p>
      <w:pPr>
        <w:widowControl/>
        <w:spacing w:line="420" w:lineRule="atLeast"/>
        <w:ind w:firstLine="480"/>
        <w:rPr>
          <w:rFonts w:ascii="宋体" w:hAnsi="宋体"/>
          <w:sz w:val="24"/>
          <w:szCs w:val="21"/>
        </w:rPr>
      </w:pPr>
      <w:r>
        <w:rPr>
          <w:rFonts w:ascii="宋体" w:hAnsi="宋体"/>
          <w:sz w:val="24"/>
          <w:szCs w:val="21"/>
        </w:rPr>
        <w:t>2.2投标人：系指符合采购公告要求的投标供应商。</w:t>
      </w:r>
    </w:p>
    <w:p>
      <w:pPr>
        <w:widowControl/>
        <w:spacing w:line="420" w:lineRule="atLeast"/>
        <w:ind w:firstLine="480"/>
        <w:rPr>
          <w:rFonts w:ascii="宋体" w:hAnsi="宋体"/>
          <w:sz w:val="24"/>
          <w:szCs w:val="21"/>
        </w:rPr>
      </w:pPr>
      <w:r>
        <w:rPr>
          <w:rFonts w:ascii="宋体" w:hAnsi="宋体"/>
          <w:sz w:val="24"/>
          <w:szCs w:val="21"/>
        </w:rPr>
        <w:t>2.3服务：系指招标文件规定投标人须承担的运输、技术支持、培训、维修保养及其它类似的服务。</w:t>
      </w:r>
    </w:p>
    <w:p>
      <w:pPr>
        <w:widowControl/>
        <w:spacing w:line="420" w:lineRule="atLeast"/>
        <w:ind w:firstLine="480"/>
        <w:rPr>
          <w:rFonts w:ascii="宋体" w:hAnsi="宋体"/>
          <w:sz w:val="24"/>
          <w:szCs w:val="21"/>
        </w:rPr>
      </w:pPr>
      <w:r>
        <w:rPr>
          <w:rFonts w:ascii="宋体" w:hAnsi="宋体"/>
          <w:sz w:val="24"/>
          <w:szCs w:val="21"/>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sz w:val="24"/>
          <w:szCs w:val="21"/>
        </w:rPr>
      </w:pPr>
      <w:r>
        <w:rPr>
          <w:rFonts w:ascii="宋体" w:hAnsi="宋体"/>
          <w:sz w:val="24"/>
          <w:szCs w:val="21"/>
        </w:rPr>
        <w:t>2.5甲方：即采购人，在招投标阶段称为采购人，在签订和执行合同阶段称为甲方。</w:t>
      </w:r>
    </w:p>
    <w:p>
      <w:pPr>
        <w:widowControl/>
        <w:spacing w:line="420" w:lineRule="atLeast"/>
        <w:ind w:firstLine="480"/>
        <w:rPr>
          <w:rFonts w:ascii="宋体" w:hAnsi="宋体"/>
          <w:sz w:val="24"/>
          <w:szCs w:val="21"/>
        </w:rPr>
      </w:pPr>
      <w:r>
        <w:rPr>
          <w:rFonts w:ascii="宋体" w:hAnsi="宋体"/>
          <w:sz w:val="24"/>
          <w:szCs w:val="21"/>
        </w:rPr>
        <w:t>2.6乙方：在招投标阶段称为投标人，中标后在签订和执行合同阶段称为乙方。</w:t>
      </w:r>
    </w:p>
    <w:p>
      <w:pPr>
        <w:widowControl/>
        <w:spacing w:line="420" w:lineRule="atLeast"/>
        <w:ind w:firstLine="480"/>
        <w:rPr>
          <w:rFonts w:ascii="宋体" w:hAnsi="宋体"/>
          <w:sz w:val="24"/>
          <w:szCs w:val="21"/>
        </w:rPr>
      </w:pPr>
      <w:r>
        <w:rPr>
          <w:rFonts w:ascii="宋体" w:hAnsi="宋体"/>
          <w:sz w:val="24"/>
          <w:szCs w:val="21"/>
        </w:rPr>
        <w:t>2.7“原产地”是指货物开采、生长或生产、或提供有关服务的来源地。</w:t>
      </w:r>
    </w:p>
    <w:p>
      <w:pPr>
        <w:widowControl/>
        <w:spacing w:line="420" w:lineRule="atLeast"/>
        <w:ind w:firstLine="480"/>
        <w:rPr>
          <w:rFonts w:ascii="宋体" w:hAnsi="宋体"/>
          <w:sz w:val="24"/>
          <w:szCs w:val="21"/>
        </w:rPr>
      </w:pPr>
      <w:r>
        <w:rPr>
          <w:rFonts w:ascii="宋体" w:hAnsi="宋体"/>
          <w:sz w:val="24"/>
          <w:szCs w:val="21"/>
        </w:rPr>
        <w:t>2.8“★”标记系指必须满足不能负偏离或必须应答的条款。</w:t>
      </w:r>
    </w:p>
    <w:p>
      <w:pPr>
        <w:widowControl/>
        <w:spacing w:line="420" w:lineRule="atLeast"/>
        <w:rPr>
          <w:rFonts w:ascii="宋体" w:hAnsi="宋体"/>
          <w:sz w:val="24"/>
          <w:szCs w:val="21"/>
        </w:rPr>
      </w:pPr>
      <w:r>
        <w:rPr>
          <w:rFonts w:ascii="宋体" w:hAnsi="宋体"/>
          <w:sz w:val="24"/>
          <w:szCs w:val="21"/>
        </w:rPr>
        <w:t>3、合格的投标人</w:t>
      </w:r>
    </w:p>
    <w:p>
      <w:pPr>
        <w:widowControl/>
        <w:spacing w:line="420" w:lineRule="atLeast"/>
        <w:ind w:firstLine="480"/>
        <w:rPr>
          <w:rFonts w:ascii="宋体" w:hAnsi="宋体"/>
          <w:sz w:val="24"/>
          <w:szCs w:val="21"/>
        </w:rPr>
      </w:pPr>
      <w:r>
        <w:rPr>
          <w:rFonts w:ascii="宋体" w:hAnsi="宋体"/>
          <w:sz w:val="24"/>
          <w:szCs w:val="21"/>
        </w:rPr>
        <w:t>3.1具有独立法人资格。</w:t>
      </w:r>
    </w:p>
    <w:p>
      <w:pPr>
        <w:widowControl/>
        <w:spacing w:line="420" w:lineRule="atLeast"/>
        <w:ind w:firstLine="480"/>
        <w:rPr>
          <w:rFonts w:ascii="宋体" w:hAnsi="宋体"/>
          <w:sz w:val="24"/>
          <w:szCs w:val="21"/>
        </w:rPr>
      </w:pPr>
      <w:r>
        <w:rPr>
          <w:rFonts w:ascii="宋体" w:hAnsi="宋体"/>
          <w:sz w:val="24"/>
          <w:szCs w:val="21"/>
        </w:rPr>
        <w:t>3.2法律、行政法规规定的其它条件。</w:t>
      </w:r>
    </w:p>
    <w:p>
      <w:pPr>
        <w:widowControl/>
        <w:spacing w:line="420" w:lineRule="atLeast"/>
        <w:ind w:firstLine="480"/>
        <w:rPr>
          <w:rFonts w:ascii="宋体" w:hAnsi="宋体"/>
          <w:sz w:val="24"/>
          <w:szCs w:val="21"/>
        </w:rPr>
      </w:pPr>
      <w:r>
        <w:rPr>
          <w:rFonts w:ascii="宋体" w:hAnsi="宋体"/>
          <w:sz w:val="24"/>
          <w:szCs w:val="21"/>
        </w:rPr>
        <w:t>3.3 该行业国家规定必备的资质、资格。</w:t>
      </w:r>
    </w:p>
    <w:p>
      <w:pPr>
        <w:widowControl/>
        <w:spacing w:line="420" w:lineRule="atLeast"/>
        <w:ind w:firstLine="480"/>
        <w:rPr>
          <w:rFonts w:ascii="宋体" w:hAnsi="宋体"/>
          <w:sz w:val="24"/>
          <w:szCs w:val="21"/>
        </w:rPr>
      </w:pPr>
      <w:r>
        <w:rPr>
          <w:rFonts w:ascii="宋体" w:hAnsi="宋体"/>
          <w:sz w:val="24"/>
          <w:szCs w:val="21"/>
        </w:rPr>
        <w:t>3.4采购公告中要求的条件。</w:t>
      </w:r>
    </w:p>
    <w:p>
      <w:pPr>
        <w:widowControl/>
        <w:spacing w:line="420" w:lineRule="atLeast"/>
        <w:rPr>
          <w:rFonts w:ascii="宋体" w:hAnsi="宋体"/>
          <w:sz w:val="24"/>
          <w:szCs w:val="21"/>
        </w:rPr>
      </w:pPr>
      <w:r>
        <w:rPr>
          <w:rFonts w:ascii="宋体" w:hAnsi="宋体"/>
          <w:sz w:val="24"/>
          <w:szCs w:val="21"/>
        </w:rPr>
        <w:t>4、保证</w:t>
      </w:r>
    </w:p>
    <w:p>
      <w:pPr>
        <w:widowControl/>
        <w:spacing w:line="420" w:lineRule="atLeast"/>
        <w:ind w:firstLine="480"/>
        <w:rPr>
          <w:rFonts w:ascii="宋体" w:hAnsi="宋体"/>
          <w:sz w:val="24"/>
          <w:szCs w:val="21"/>
        </w:rPr>
      </w:pPr>
      <w:r>
        <w:rPr>
          <w:rFonts w:ascii="宋体" w:hAnsi="宋体"/>
          <w:sz w:val="24"/>
          <w:szCs w:val="21"/>
        </w:rPr>
        <w:t>4.1投标单位应保证所提交给招标机构和采购人的资料和数据是真实的。</w:t>
      </w:r>
    </w:p>
    <w:p>
      <w:pPr>
        <w:widowControl/>
        <w:spacing w:line="420" w:lineRule="atLeast"/>
        <w:rPr>
          <w:rFonts w:ascii="宋体" w:hAnsi="宋体"/>
          <w:sz w:val="24"/>
          <w:szCs w:val="21"/>
        </w:rPr>
      </w:pPr>
      <w:r>
        <w:rPr>
          <w:rFonts w:ascii="宋体" w:hAnsi="宋体"/>
          <w:sz w:val="24"/>
          <w:szCs w:val="21"/>
        </w:rPr>
        <w:t xml:space="preserve">5、现场勘察 </w:t>
      </w:r>
    </w:p>
    <w:p>
      <w:pPr>
        <w:widowControl/>
        <w:spacing w:line="420" w:lineRule="atLeast"/>
        <w:ind w:firstLine="480"/>
        <w:rPr>
          <w:rFonts w:ascii="宋体" w:hAnsi="宋体"/>
          <w:sz w:val="24"/>
          <w:szCs w:val="21"/>
        </w:rPr>
      </w:pPr>
      <w:r>
        <w:rPr>
          <w:rFonts w:ascii="宋体" w:hAnsi="宋体"/>
          <w:sz w:val="24"/>
          <w:szCs w:val="21"/>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sz w:val="24"/>
          <w:szCs w:val="21"/>
        </w:rPr>
      </w:pPr>
      <w:r>
        <w:rPr>
          <w:rFonts w:ascii="宋体" w:hAnsi="宋体"/>
          <w:sz w:val="24"/>
          <w:szCs w:val="21"/>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sz w:val="24"/>
          <w:szCs w:val="21"/>
        </w:rPr>
      </w:pPr>
      <w:r>
        <w:rPr>
          <w:rFonts w:ascii="宋体" w:hAnsi="宋体"/>
          <w:sz w:val="24"/>
          <w:szCs w:val="21"/>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sz w:val="24"/>
          <w:szCs w:val="21"/>
        </w:rPr>
      </w:pPr>
      <w:r>
        <w:rPr>
          <w:rFonts w:ascii="宋体" w:hAnsi="宋体"/>
          <w:sz w:val="24"/>
          <w:szCs w:val="21"/>
        </w:rPr>
        <w:t>5.4现场踏勘完毕，将认为投标人己了解现场情况，并充分理解了为之所承担的风险、义务和责任。</w:t>
      </w:r>
    </w:p>
    <w:p>
      <w:pPr>
        <w:widowControl/>
        <w:spacing w:line="420" w:lineRule="atLeast"/>
        <w:rPr>
          <w:rFonts w:ascii="宋体" w:hAnsi="宋体"/>
          <w:sz w:val="24"/>
          <w:szCs w:val="21"/>
        </w:rPr>
      </w:pPr>
      <w:r>
        <w:rPr>
          <w:rFonts w:ascii="宋体" w:hAnsi="宋体"/>
          <w:sz w:val="24"/>
          <w:szCs w:val="21"/>
        </w:rPr>
        <w:t>6、联合体投标</w:t>
      </w:r>
    </w:p>
    <w:p>
      <w:pPr>
        <w:widowControl/>
        <w:spacing w:line="420" w:lineRule="atLeast"/>
        <w:ind w:firstLine="480"/>
        <w:rPr>
          <w:rFonts w:ascii="宋体" w:hAnsi="宋体"/>
          <w:sz w:val="24"/>
          <w:szCs w:val="21"/>
        </w:rPr>
      </w:pPr>
      <w:r>
        <w:rPr>
          <w:rFonts w:ascii="宋体" w:hAnsi="宋体"/>
          <w:sz w:val="24"/>
          <w:szCs w:val="21"/>
        </w:rPr>
        <w:t>本项目不接受联合体投标。</w:t>
      </w:r>
    </w:p>
    <w:p>
      <w:pPr>
        <w:widowControl/>
        <w:spacing w:line="420" w:lineRule="atLeast"/>
        <w:rPr>
          <w:rFonts w:ascii="宋体" w:hAnsi="宋体"/>
          <w:sz w:val="24"/>
          <w:szCs w:val="21"/>
        </w:rPr>
      </w:pPr>
      <w:r>
        <w:rPr>
          <w:rFonts w:ascii="宋体" w:hAnsi="宋体"/>
          <w:sz w:val="24"/>
          <w:szCs w:val="21"/>
        </w:rPr>
        <w:t>7、投标人发生下列情况之一时，除严格依法依规进行处理外，还将通报市信用管理部门，列入严重失信名单：</w:t>
      </w:r>
    </w:p>
    <w:p>
      <w:pPr>
        <w:widowControl/>
        <w:spacing w:line="420" w:lineRule="atLeast"/>
        <w:ind w:firstLine="480"/>
        <w:rPr>
          <w:rFonts w:ascii="宋体" w:hAnsi="宋体"/>
          <w:sz w:val="24"/>
          <w:szCs w:val="21"/>
        </w:rPr>
      </w:pPr>
      <w:r>
        <w:rPr>
          <w:rFonts w:ascii="宋体" w:hAnsi="宋体"/>
          <w:sz w:val="24"/>
          <w:szCs w:val="21"/>
        </w:rPr>
        <w:t>（1）投标人在规定的投标有效期内撤回投标或放弃中标的；</w:t>
      </w:r>
    </w:p>
    <w:p>
      <w:pPr>
        <w:widowControl/>
        <w:spacing w:line="420" w:lineRule="atLeast"/>
        <w:ind w:firstLine="480"/>
        <w:rPr>
          <w:rFonts w:ascii="宋体" w:hAnsi="宋体"/>
          <w:sz w:val="24"/>
          <w:szCs w:val="21"/>
        </w:rPr>
      </w:pPr>
      <w:r>
        <w:rPr>
          <w:rFonts w:ascii="宋体" w:hAnsi="宋体"/>
          <w:sz w:val="24"/>
          <w:szCs w:val="21"/>
        </w:rPr>
        <w:t>（2）有意串标或提供虚假材料者的；</w:t>
      </w:r>
    </w:p>
    <w:p>
      <w:pPr>
        <w:widowControl/>
        <w:spacing w:line="420" w:lineRule="atLeast"/>
        <w:ind w:firstLine="480"/>
        <w:rPr>
          <w:rFonts w:ascii="宋体" w:hAnsi="宋体"/>
          <w:sz w:val="24"/>
          <w:szCs w:val="21"/>
        </w:rPr>
      </w:pPr>
      <w:r>
        <w:rPr>
          <w:rFonts w:ascii="宋体" w:hAnsi="宋体"/>
          <w:sz w:val="24"/>
          <w:szCs w:val="21"/>
        </w:rPr>
        <w:t>（3）中标人在收到中标通知书后，因自身原因不能在投标有效期内和采购人签订合同。</w:t>
      </w:r>
    </w:p>
    <w:p>
      <w:pPr>
        <w:widowControl/>
        <w:spacing w:line="420" w:lineRule="atLeast"/>
        <w:ind w:firstLine="480"/>
        <w:rPr>
          <w:rFonts w:ascii="宋体" w:hAnsi="宋体"/>
          <w:sz w:val="24"/>
          <w:szCs w:val="21"/>
        </w:rPr>
      </w:pPr>
      <w:r>
        <w:rPr>
          <w:rFonts w:ascii="宋体" w:hAnsi="宋体"/>
          <w:sz w:val="24"/>
          <w:szCs w:val="21"/>
        </w:rPr>
        <w:t>（4）中标人未在规定时间缴纳招标代理费的。</w:t>
      </w:r>
    </w:p>
    <w:p>
      <w:pPr>
        <w:widowControl/>
        <w:spacing w:line="420" w:lineRule="atLeast"/>
        <w:ind w:firstLine="480"/>
        <w:rPr>
          <w:rFonts w:ascii="宋体" w:hAnsi="宋体"/>
          <w:sz w:val="24"/>
          <w:szCs w:val="21"/>
        </w:rPr>
      </w:pPr>
      <w:r>
        <w:rPr>
          <w:rFonts w:ascii="宋体" w:hAnsi="宋体"/>
          <w:sz w:val="24"/>
          <w:szCs w:val="21"/>
        </w:rPr>
        <w:t>（5）中标供应商在标后履约过程中未按合同约定的期限和要求履约的。</w:t>
      </w:r>
    </w:p>
    <w:p>
      <w:pPr>
        <w:widowControl/>
        <w:spacing w:line="420" w:lineRule="atLeast"/>
        <w:ind w:firstLine="480"/>
        <w:rPr>
          <w:rFonts w:ascii="宋体" w:hAnsi="宋体"/>
          <w:sz w:val="24"/>
          <w:szCs w:val="21"/>
        </w:rPr>
      </w:pPr>
      <w:r>
        <w:rPr>
          <w:rFonts w:ascii="宋体" w:hAnsi="宋体"/>
          <w:sz w:val="24"/>
          <w:szCs w:val="21"/>
        </w:rPr>
        <w:t>（6）因中标供应商原因在标后履约过程中擅自终止合同的。</w:t>
      </w:r>
    </w:p>
    <w:p>
      <w:pPr>
        <w:widowControl/>
        <w:spacing w:line="420" w:lineRule="atLeast"/>
        <w:ind w:firstLine="480"/>
        <w:rPr>
          <w:rFonts w:ascii="宋体" w:hAnsi="宋体"/>
          <w:sz w:val="24"/>
          <w:szCs w:val="21"/>
        </w:rPr>
      </w:pPr>
      <w:r>
        <w:rPr>
          <w:rFonts w:ascii="宋体" w:hAnsi="宋体"/>
          <w:sz w:val="24"/>
          <w:szCs w:val="21"/>
        </w:rPr>
        <w:t>（7）不符合招标文件要求的其他失信行为。</w:t>
      </w:r>
    </w:p>
    <w:p>
      <w:pPr>
        <w:spacing w:line="360" w:lineRule="auto"/>
        <w:rPr>
          <w:b/>
          <w:sz w:val="36"/>
          <w:szCs w:val="36"/>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321" w:firstLineChars="100"/>
        <w:jc w:val="center"/>
        <w:rPr>
          <w:rFonts w:ascii="宋体" w:hAnsi="宋体"/>
          <w:b/>
          <w:sz w:val="32"/>
          <w:szCs w:val="32"/>
        </w:rPr>
      </w:pPr>
      <w:r>
        <w:rPr>
          <w:rFonts w:hint="eastAsia" w:ascii="宋体" w:hAnsi="宋体"/>
          <w:b/>
          <w:sz w:val="32"/>
          <w:szCs w:val="32"/>
        </w:rPr>
        <w:t>第三章   项目概况及要求</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一、</w:t>
      </w:r>
      <w:r>
        <w:rPr>
          <w:rFonts w:ascii="宋体" w:hAnsi="宋体" w:cs="宋体"/>
          <w:b/>
          <w:bCs/>
          <w:sz w:val="24"/>
          <w:szCs w:val="24"/>
        </w:rPr>
        <w:t>项目</w:t>
      </w:r>
      <w:r>
        <w:rPr>
          <w:rFonts w:hint="eastAsia" w:ascii="宋体" w:hAnsi="宋体" w:cs="宋体"/>
          <w:b/>
          <w:bCs/>
          <w:sz w:val="24"/>
          <w:szCs w:val="24"/>
        </w:rPr>
        <w:t>概况</w:t>
      </w:r>
    </w:p>
    <w:p>
      <w:pPr>
        <w:spacing w:line="360" w:lineRule="auto"/>
        <w:ind w:firstLine="480" w:firstLineChars="200"/>
        <w:rPr>
          <w:rFonts w:hint="eastAsia" w:ascii="宋体" w:hAnsi="宋体"/>
          <w:sz w:val="24"/>
          <w:szCs w:val="20"/>
        </w:rPr>
      </w:pPr>
      <w:r>
        <w:rPr>
          <w:rFonts w:hint="eastAsia" w:ascii="宋体" w:hAnsi="宋体"/>
          <w:sz w:val="24"/>
          <w:szCs w:val="20"/>
        </w:rPr>
        <w:t>浙江大学医学院附属第四医院（以下简称“浙大四院”），随着车牌识别、自助扣费、无感支付等技术的深入，无人值守的概念逐步成熟，并成为停车场行业建设的主要目标。</w:t>
      </w:r>
      <w:r>
        <w:rPr>
          <w:rFonts w:hint="eastAsia" w:ascii="宋体" w:hAnsi="宋体"/>
          <w:sz w:val="24"/>
          <w:szCs w:val="20"/>
          <w:lang w:val="en-US" w:eastAsia="zh-CN"/>
        </w:rPr>
        <w:t>现</w:t>
      </w:r>
      <w:r>
        <w:rPr>
          <w:rFonts w:hint="eastAsia" w:ascii="宋体" w:hAnsi="宋体"/>
          <w:sz w:val="24"/>
          <w:szCs w:val="20"/>
        </w:rPr>
        <w:t>为满足浙大四院</w:t>
      </w:r>
      <w:r>
        <w:rPr>
          <w:rFonts w:hint="eastAsia" w:ascii="宋体" w:hAnsi="宋体"/>
          <w:sz w:val="24"/>
          <w:szCs w:val="20"/>
          <w:lang w:val="en-US" w:eastAsia="zh-CN"/>
        </w:rPr>
        <w:t>出入口</w:t>
      </w:r>
      <w:r>
        <w:rPr>
          <w:rFonts w:hint="eastAsia" w:ascii="宋体" w:hAnsi="宋体" w:eastAsia="宋体" w:cs="宋体"/>
          <w:sz w:val="24"/>
          <w:highlight w:val="none"/>
        </w:rPr>
        <w:t>智慧停车</w:t>
      </w:r>
      <w:r>
        <w:rPr>
          <w:rFonts w:hint="eastAsia" w:ascii="宋体" w:hAnsi="宋体" w:cs="宋体"/>
          <w:sz w:val="24"/>
          <w:highlight w:val="none"/>
          <w:lang w:val="en-US" w:eastAsia="zh-CN"/>
        </w:rPr>
        <w:t>管理的</w:t>
      </w:r>
      <w:r>
        <w:rPr>
          <w:rFonts w:hint="eastAsia" w:ascii="宋体" w:hAnsi="宋体"/>
          <w:sz w:val="24"/>
          <w:szCs w:val="20"/>
        </w:rPr>
        <w:t>需求，</w:t>
      </w:r>
      <w:r>
        <w:rPr>
          <w:rFonts w:hint="eastAsia" w:ascii="宋体" w:hAnsi="宋体"/>
          <w:sz w:val="24"/>
          <w:szCs w:val="20"/>
          <w:lang w:val="en-US" w:eastAsia="zh-CN"/>
        </w:rPr>
        <w:t>对浙大四院南门新增1套车辆出入口设备，并</w:t>
      </w:r>
      <w:r>
        <w:rPr>
          <w:rFonts w:hint="eastAsia" w:ascii="宋体" w:hAnsi="宋体"/>
          <w:sz w:val="24"/>
          <w:szCs w:val="20"/>
        </w:rPr>
        <w:t>对原东门2</w:t>
      </w:r>
      <w:r>
        <w:rPr>
          <w:rFonts w:hint="eastAsia" w:ascii="宋体" w:hAnsi="宋体"/>
          <w:sz w:val="24"/>
          <w:szCs w:val="20"/>
          <w:lang w:val="en-US" w:eastAsia="zh-CN"/>
        </w:rPr>
        <w:t>个</w:t>
      </w:r>
      <w:r>
        <w:rPr>
          <w:rFonts w:hint="eastAsia" w:ascii="宋体" w:hAnsi="宋体"/>
          <w:sz w:val="24"/>
          <w:szCs w:val="20"/>
        </w:rPr>
        <w:t>出口</w:t>
      </w:r>
      <w:r>
        <w:rPr>
          <w:rFonts w:hint="eastAsia" w:ascii="宋体" w:hAnsi="宋体"/>
          <w:sz w:val="24"/>
          <w:szCs w:val="20"/>
          <w:lang w:val="en-US" w:eastAsia="zh-CN"/>
        </w:rPr>
        <w:t>设备进</w:t>
      </w:r>
      <w:r>
        <w:rPr>
          <w:rFonts w:hint="eastAsia" w:ascii="宋体" w:hAnsi="宋体"/>
          <w:sz w:val="24"/>
          <w:szCs w:val="20"/>
        </w:rPr>
        <w:t>行</w:t>
      </w:r>
      <w:r>
        <w:rPr>
          <w:rFonts w:hint="eastAsia" w:ascii="宋体" w:hAnsi="宋体"/>
          <w:sz w:val="24"/>
          <w:szCs w:val="20"/>
          <w:lang w:val="en-US" w:eastAsia="zh-CN"/>
        </w:rPr>
        <w:t>移机安装</w:t>
      </w:r>
      <w:r>
        <w:rPr>
          <w:rFonts w:hint="eastAsia" w:ascii="宋体" w:hAnsi="宋体"/>
          <w:sz w:val="24"/>
          <w:szCs w:val="20"/>
        </w:rPr>
        <w:t>。</w:t>
      </w:r>
    </w:p>
    <w:p>
      <w:pPr>
        <w:numPr>
          <w:ilvl w:val="0"/>
          <w:numId w:val="3"/>
        </w:numPr>
        <w:spacing w:line="360" w:lineRule="auto"/>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招标货物一览表</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555"/>
        <w:gridCol w:w="6189"/>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数字道闸</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ascii="宋体" w:hAnsi="宋体" w:eastAsia="宋体"/>
                <w:szCs w:val="21"/>
              </w:rPr>
            </w:pPr>
            <w:r>
              <w:rPr>
                <w:rFonts w:hint="eastAsia"/>
                <w:lang w:val="en-US" w:eastAsia="zh-CN"/>
              </w:rPr>
              <w:t>电机功率：150W；</w:t>
            </w:r>
            <w:r>
              <w:rPr>
                <w:rFonts w:hint="eastAsia"/>
                <w:lang w:val="en-US" w:eastAsia="zh-CN"/>
              </w:rPr>
              <w:br w:type="textWrapping"/>
            </w:r>
            <w:r>
              <w:rPr>
                <w:rFonts w:hint="eastAsia"/>
                <w:lang w:val="en-US" w:eastAsia="zh-CN"/>
              </w:rPr>
              <w:t>2、电源电压：AC220V±10%，50Hz；</w:t>
            </w:r>
            <w:r>
              <w:rPr>
                <w:rFonts w:hint="eastAsia"/>
                <w:lang w:val="en-US" w:eastAsia="zh-CN"/>
              </w:rPr>
              <w:br w:type="textWrapping"/>
            </w:r>
            <w:r>
              <w:rPr>
                <w:rFonts w:hint="eastAsia"/>
                <w:lang w:val="en-US" w:eastAsia="zh-CN"/>
              </w:rPr>
              <w:t>3、使用环境温度需满足 -25℃～70℃；</w:t>
            </w:r>
            <w:r>
              <w:rPr>
                <w:rFonts w:hint="eastAsia"/>
                <w:lang w:val="en-US" w:eastAsia="zh-CN"/>
              </w:rPr>
              <w:br w:type="textWrapping"/>
            </w:r>
            <w:r>
              <w:rPr>
                <w:rFonts w:hint="eastAsia"/>
                <w:lang w:val="en-US" w:eastAsia="zh-CN"/>
              </w:rPr>
              <w:t>4、相对湿度：小于95%RH,无凝露；</w:t>
            </w:r>
            <w:r>
              <w:rPr>
                <w:rFonts w:hint="eastAsia"/>
                <w:lang w:val="en-US" w:eastAsia="zh-CN"/>
              </w:rPr>
              <w:br w:type="textWrapping"/>
            </w:r>
            <w:r>
              <w:rPr>
                <w:rFonts w:hint="eastAsia"/>
                <w:lang w:val="en-US" w:eastAsia="zh-CN"/>
              </w:rPr>
              <w:t>5、制作工艺：整机模具化、防伪化设计，批量化、工装化制造，质量需稳定可靠。机箱采用</w:t>
            </w:r>
            <w:r>
              <w:rPr>
                <w:rFonts w:hint="eastAsia"/>
                <w:lang w:val="en-US" w:eastAsia="zh-CN"/>
              </w:rPr>
              <w:br w:type="textWrapping"/>
            </w:r>
            <w:r>
              <w:rPr>
                <w:rFonts w:hint="eastAsia"/>
                <w:lang w:val="en-US" w:eastAsia="zh-CN"/>
              </w:rPr>
              <w:t>6、▲机箱采用厚度不低于2.07mm 金属钢制成，设备机身具有驱动和支撑栏杆相应的结构；栏杆机身箱体有锁止转置，开启需使用专用工具或钥匙；运行时的转速为高速、快速栏杆，需加装缓冲胶条、保护套等防护装置材料; （以公安部授权机构出具的检验报告复印件作为考评依据，并加盖投标人公章。）</w:t>
            </w:r>
            <w:r>
              <w:rPr>
                <w:rFonts w:hint="eastAsia"/>
                <w:lang w:val="en-US" w:eastAsia="zh-CN"/>
              </w:rPr>
              <w:br w:type="textWrapping"/>
            </w:r>
            <w:r>
              <w:rPr>
                <w:rFonts w:hint="eastAsia"/>
                <w:lang w:val="en-US" w:eastAsia="zh-CN"/>
              </w:rPr>
              <w:t>7、▲栏杆处于运行时设备产生的噪声小于75dB（以公安部授权机构出具的检验报告复印件作为考评依据，并加盖投标人公章。）</w:t>
            </w:r>
            <w:r>
              <w:rPr>
                <w:rFonts w:hint="eastAsia"/>
                <w:lang w:val="en-US" w:eastAsia="zh-CN"/>
              </w:rPr>
              <w:br w:type="textWrapping"/>
            </w:r>
            <w:r>
              <w:rPr>
                <w:rFonts w:hint="eastAsia"/>
                <w:lang w:val="en-US" w:eastAsia="zh-CN"/>
              </w:rPr>
              <w:t>8、▲道闸可通过APP实现遥控操作,遥控距离应≥30m；（以公安部授权机构出具的检验报告复印件作为考评依据，并加盖投标人公章。）</w:t>
            </w:r>
            <w:r>
              <w:rPr>
                <w:rFonts w:hint="eastAsia"/>
                <w:lang w:val="en-US" w:eastAsia="zh-CN"/>
              </w:rPr>
              <w:br w:type="textWrapping"/>
            </w:r>
            <w:r>
              <w:rPr>
                <w:rFonts w:hint="eastAsia"/>
                <w:lang w:val="en-US" w:eastAsia="zh-CN"/>
              </w:rPr>
              <w:t>9、▲外壳防护等级不低于 IP54；（以公安部授权机构出具的检验报告复印件作为考评依据，并加盖投标人公章。）</w:t>
            </w:r>
            <w:r>
              <w:rPr>
                <w:rFonts w:hint="eastAsia"/>
                <w:lang w:val="en-US" w:eastAsia="zh-CN"/>
              </w:rPr>
              <w:br w:type="textWrapping"/>
            </w:r>
            <w:r>
              <w:rPr>
                <w:rFonts w:hint="eastAsia"/>
                <w:lang w:val="en-US" w:eastAsia="zh-CN"/>
              </w:rPr>
              <w:t>10、▲为保证停车场快速通行要求，停车场出入口道闸起落时间（单程运行时间试验）控制在2秒以内。（以公安部授权机构出具的检验报告复印件作为考评依据，并加盖投标人公章。）</w:t>
            </w:r>
          </w:p>
          <w:p>
            <w:pPr>
              <w:keepNext w:val="0"/>
              <w:keepLines w:val="0"/>
              <w:widowControl/>
              <w:numPr>
                <w:ilvl w:val="0"/>
                <w:numId w:val="0"/>
              </w:numPr>
              <w:suppressLineNumbers w:val="0"/>
              <w:jc w:val="left"/>
              <w:textAlignment w:val="center"/>
              <w:rPr>
                <w:rFonts w:ascii="宋体" w:hAnsi="宋体" w:eastAsia="宋体"/>
                <w:szCs w:val="21"/>
              </w:rPr>
            </w:pPr>
            <w:r>
              <w:rPr>
                <w:rFonts w:hint="eastAsia"/>
                <w:lang w:val="en-US" w:eastAsia="zh-CN"/>
              </w:rPr>
              <w:t>11、</w:t>
            </w:r>
            <w:r>
              <w:rPr>
                <w:rFonts w:hint="eastAsia" w:ascii="宋体" w:hAnsi="宋体" w:eastAsia="宋体"/>
                <w:szCs w:val="21"/>
              </w:rPr>
              <w:t>▲通行安全功能：1）车辆检测信号为有车时，处于放行状态的栏杆应不改变状态，处于“放行”状态转变为“禁行”状态的栏杆应停止运行或自动返回到“放行”状态；栏杆从放行状态向进行状态转变过程遇阻时，宜自动返回放行状态或停止运行；2）设备的所有缝隙及运动（转动）部件应具备防止对人可能伤害的措施；3）设备可能被通行车辆碰撞或冲击的部位，不宜采用宜破碎飞溅的材料；4）当起杆或落杆单程运行的时间超过制造商预设值时，则栏杆应停止动作。（以公安部授权机构出具的检验报告复印件作为考评依据，并加盖投标人公章。）</w:t>
            </w:r>
          </w:p>
          <w:p>
            <w:pPr>
              <w:pStyle w:val="111"/>
              <w:widowControl/>
              <w:numPr>
                <w:ilvl w:val="0"/>
                <w:numId w:val="0"/>
              </w:numPr>
              <w:spacing w:line="360" w:lineRule="auto"/>
              <w:ind w:leftChars="0"/>
              <w:jc w:val="left"/>
              <w:rPr>
                <w:rFonts w:ascii="宋体" w:hAnsi="宋体" w:eastAsia="宋体"/>
                <w:szCs w:val="21"/>
              </w:rPr>
            </w:pPr>
            <w:r>
              <w:rPr>
                <w:rFonts w:hint="eastAsia" w:ascii="宋体" w:hAnsi="宋体"/>
                <w:szCs w:val="21"/>
                <w:lang w:val="en-US" w:eastAsia="zh-CN"/>
              </w:rPr>
              <w:t>12、</w:t>
            </w:r>
            <w:r>
              <w:rPr>
                <w:rFonts w:hint="eastAsia" w:ascii="宋体" w:hAnsi="宋体" w:eastAsia="宋体"/>
                <w:szCs w:val="21"/>
              </w:rPr>
              <w:t>▲电动机运转应有过负荷保护功能，包括过流保护、过压保护等，但不应仅适用熔断型保险丝实现保护。当出入口控制设备执行启闭动作的电动或电磁等部件短路时，进行任何开启、关闭操作都不得导致电源损坏，允许更换保险装置。（以公安部授权机构出具的检验报告复印件作为考评依据，并加盖投标人公章。）</w:t>
            </w:r>
          </w:p>
          <w:p>
            <w:pPr>
              <w:pStyle w:val="111"/>
              <w:widowControl/>
              <w:numPr>
                <w:ilvl w:val="0"/>
                <w:numId w:val="0"/>
              </w:numPr>
              <w:spacing w:line="360" w:lineRule="auto"/>
              <w:ind w:leftChars="0"/>
              <w:jc w:val="left"/>
              <w:rPr>
                <w:rFonts w:hint="default" w:eastAsia="宋体"/>
                <w:lang w:val="en-US" w:eastAsia="zh-CN"/>
              </w:rPr>
            </w:pPr>
            <w:r>
              <w:rPr>
                <w:rFonts w:hint="eastAsia" w:ascii="宋体" w:hAnsi="宋体"/>
                <w:szCs w:val="21"/>
                <w:lang w:val="en-US" w:eastAsia="zh-CN"/>
              </w:rPr>
              <w:t>13、</w:t>
            </w:r>
            <w:r>
              <w:rPr>
                <w:rFonts w:hint="eastAsia" w:ascii="宋体" w:hAnsi="宋体" w:eastAsia="宋体"/>
                <w:szCs w:val="21"/>
              </w:rPr>
              <w:t>▲设备需通过 GB/T 17626.2-2006 严酷等级 3 的静电抗扰度试验、GB/T 17626.2-2008 严酷等级 3 的电快速瞬变脉冲群抗扰度试验、2KV 的浪涌（冲击）抗扰度试验（以公安部授权机构出具的检验报告复印件作为考评依据，并加盖投标人公章。）</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地感处理器</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1、工作电压：AC220V；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2、工作温度：-25℃~+70℃；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3、额定功率：小于等于3W；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4、检测率：&gt;99.99%；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5、响应时间：小于等于100ms；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6、非机动车辆：支持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7、双路信号输出：双继电器输出，单个检测器可控制两台道闸（需现场供电稳定）；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8、工作地感量：80~500UH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9、连线长度：最长5m；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10、储运温度：-30℃~+80℃；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11、相对湿度：小于等于90%；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12、静电等级：满足GB/T17626.2规定的 3级测试标准；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13、介电强度：电源输入端与外壳之间的耐压&gt;1.5kv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14、平均无故障时间：5000小时；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15、灵敏度：高灵敏度、中灵敏度、低灵敏度（可根据项目现场情况和使用需要调节，适用于大、中、小型汽车和摩托车）；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车牌识别控制机</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ascii="宋体" w:hAnsi="宋体" w:eastAsia="宋体"/>
                <w:szCs w:val="21"/>
              </w:rPr>
            </w:pPr>
            <w:r>
              <w:rPr>
                <w:rFonts w:hint="eastAsia"/>
                <w:lang w:val="en-US" w:eastAsia="zh-CN"/>
              </w:rPr>
              <w:t>通信方式：TCP/IP（10M/100M自适应以太网）</w:t>
            </w:r>
            <w:r>
              <w:rPr>
                <w:rFonts w:hint="eastAsia"/>
                <w:lang w:val="en-US" w:eastAsia="zh-CN"/>
              </w:rPr>
              <w:br w:type="textWrapping"/>
            </w:r>
            <w:r>
              <w:rPr>
                <w:rFonts w:hint="eastAsia"/>
                <w:lang w:val="en-US" w:eastAsia="zh-CN"/>
              </w:rPr>
              <w:t>2、载波频率：满足GB/T 20851标准</w:t>
            </w:r>
            <w:r>
              <w:rPr>
                <w:rFonts w:hint="eastAsia"/>
                <w:lang w:val="en-US" w:eastAsia="zh-CN"/>
              </w:rPr>
              <w:br w:type="textWrapping"/>
            </w:r>
            <w:r>
              <w:rPr>
                <w:rFonts w:hint="eastAsia"/>
                <w:lang w:val="en-US" w:eastAsia="zh-CN"/>
              </w:rPr>
              <w:t>3、使用寿命不低于5年</w:t>
            </w:r>
            <w:r>
              <w:rPr>
                <w:rFonts w:hint="eastAsia"/>
                <w:lang w:val="en-US" w:eastAsia="zh-CN"/>
              </w:rPr>
              <w:br w:type="textWrapping"/>
            </w:r>
            <w:r>
              <w:rPr>
                <w:rFonts w:hint="eastAsia"/>
                <w:lang w:val="en-US" w:eastAsia="zh-CN"/>
              </w:rPr>
              <w:t>4、醒目ETC识别区：内置ETC天线</w:t>
            </w:r>
            <w:r>
              <w:rPr>
                <w:rFonts w:hint="eastAsia"/>
                <w:lang w:val="en-US" w:eastAsia="zh-CN"/>
              </w:rPr>
              <w:br w:type="textWrapping"/>
            </w:r>
            <w:r>
              <w:rPr>
                <w:rFonts w:hint="eastAsia"/>
                <w:lang w:val="en-US" w:eastAsia="zh-CN"/>
              </w:rPr>
              <w:t>5、LCD交互信息屏：18.5寸广告屏（自定义内容可在前端软件中设置）</w:t>
            </w:r>
            <w:r>
              <w:rPr>
                <w:rFonts w:hint="eastAsia"/>
                <w:lang w:val="en-US" w:eastAsia="zh-CN"/>
              </w:rPr>
              <w:br w:type="textWrapping"/>
            </w:r>
            <w:r>
              <w:rPr>
                <w:rFonts w:hint="eastAsia"/>
                <w:lang w:val="en-US" w:eastAsia="zh-CN"/>
              </w:rPr>
              <w:t>6、用户存储容量满足：20万条</w:t>
            </w:r>
            <w:r>
              <w:rPr>
                <w:rFonts w:hint="eastAsia"/>
                <w:lang w:val="en-US" w:eastAsia="zh-CN"/>
              </w:rPr>
              <w:br w:type="textWrapping"/>
            </w:r>
            <w:r>
              <w:rPr>
                <w:rFonts w:hint="eastAsia"/>
                <w:lang w:val="en-US" w:eastAsia="zh-CN"/>
              </w:rPr>
              <w:t>7、记录存储容量满足：20万条</w:t>
            </w:r>
            <w:r>
              <w:rPr>
                <w:rFonts w:hint="eastAsia"/>
                <w:lang w:val="en-US" w:eastAsia="zh-CN"/>
              </w:rPr>
              <w:br w:type="textWrapping"/>
            </w:r>
            <w:r>
              <w:rPr>
                <w:rFonts w:hint="eastAsia"/>
                <w:lang w:val="en-US" w:eastAsia="zh-CN"/>
              </w:rPr>
              <w:t>8、▲显示屏采用不低于18.5寸商业级LCD显示屏，支持自定义显示内容，屏幕亮度可达700cd/m2(投标人或投标产品厂商须提供相关内容的产品彩页，并加盖公章。）</w:t>
            </w:r>
            <w:r>
              <w:rPr>
                <w:rFonts w:hint="eastAsia"/>
                <w:lang w:val="en-US" w:eastAsia="zh-CN"/>
              </w:rPr>
              <w:br w:type="textWrapping"/>
            </w:r>
            <w:r>
              <w:rPr>
                <w:rFonts w:hint="eastAsia"/>
                <w:lang w:val="en-US" w:eastAsia="zh-CN"/>
              </w:rPr>
              <w:t>9、云台摄像机满足：电动云台变焦镜头（支持远程调节角度），像素不低于200万</w:t>
            </w:r>
            <w:r>
              <w:rPr>
                <w:rFonts w:hint="eastAsia"/>
                <w:lang w:val="en-US" w:eastAsia="zh-CN"/>
              </w:rPr>
              <w:br w:type="textWrapping"/>
            </w:r>
            <w:r>
              <w:rPr>
                <w:rFonts w:hint="eastAsia"/>
                <w:lang w:val="en-US" w:eastAsia="zh-CN"/>
              </w:rPr>
              <w:t>10、▲在天气晴朗无雾，号牌无遮挡、无污损的条件下进行测试，白天测试时的环境光照度应不低于200lx，晚上测试时辅助照明光照度应不高于100lx，车辆速度为(5～40)km/h范围内，单车道情况下，白天、夜晚各进行100次试验，车辆辆号牌识别准确率满足白天不低于：99.8%；夜间不低于：99.8%；（投标人或投标产品厂商须提供相关内容的第三方检测报告复印件，并加盖公章。）</w:t>
            </w:r>
            <w:r>
              <w:rPr>
                <w:rFonts w:hint="eastAsia"/>
                <w:lang w:val="en-US" w:eastAsia="zh-CN"/>
              </w:rPr>
              <w:br w:type="textWrapping"/>
            </w:r>
            <w:r>
              <w:rPr>
                <w:rFonts w:hint="eastAsia"/>
                <w:lang w:val="en-US" w:eastAsia="zh-CN"/>
              </w:rPr>
              <w:t>11、▲图库识别试验：（投标人或投标产品厂商须提供相关内容的第三方检测报告复印件，并加盖公章。）</w:t>
            </w:r>
            <w:r>
              <w:rPr>
                <w:rFonts w:hint="eastAsia"/>
                <w:lang w:val="en-US" w:eastAsia="zh-CN"/>
              </w:rPr>
              <w:br w:type="textWrapping"/>
            </w:r>
            <w:r>
              <w:rPr>
                <w:rFonts w:hint="eastAsia"/>
                <w:lang w:val="en-US" w:eastAsia="zh-CN"/>
              </w:rPr>
              <w:t>（1）以号牌识别用图库进行试验，包含白天1000 车辆号牌识辆车辆进场录像，号牌的图像水平分辨率不低于100 个像素点且不大于160 个像素点。</w:t>
            </w:r>
            <w:r>
              <w:rPr>
                <w:rFonts w:hint="eastAsia"/>
                <w:lang w:val="en-US" w:eastAsia="zh-CN"/>
              </w:rPr>
              <w:br w:type="textWrapping"/>
            </w:r>
            <w:r>
              <w:rPr>
                <w:rFonts w:hint="eastAsia"/>
                <w:lang w:val="en-US" w:eastAsia="zh-CN"/>
              </w:rPr>
              <w:t>白天车辆号牌识别准确率应不小于99.5% 。</w:t>
            </w:r>
            <w:r>
              <w:rPr>
                <w:rFonts w:hint="eastAsia"/>
                <w:lang w:val="en-US" w:eastAsia="zh-CN"/>
              </w:rPr>
              <w:br w:type="textWrapping"/>
            </w:r>
            <w:r>
              <w:rPr>
                <w:rFonts w:hint="eastAsia"/>
                <w:lang w:val="en-US" w:eastAsia="zh-CN"/>
              </w:rPr>
              <w:t>12、▲系统在线时应具有防重入重出功能（投标人或投标产品厂商须提供相关内容的第三方检测报告复印件，并加盖公章。）</w:t>
            </w:r>
            <w:r>
              <w:rPr>
                <w:rFonts w:hint="eastAsia"/>
                <w:lang w:val="en-US" w:eastAsia="zh-CN"/>
              </w:rPr>
              <w:br w:type="textWrapping"/>
            </w:r>
            <w:r>
              <w:rPr>
                <w:rFonts w:hint="eastAsia"/>
                <w:lang w:val="en-US" w:eastAsia="zh-CN"/>
              </w:rPr>
              <w:t>13、▲从车辆身份信息确认放行到挡车器开启的响应间试验时间应≤2s 。</w:t>
            </w:r>
          </w:p>
          <w:p>
            <w:pPr>
              <w:keepNext w:val="0"/>
              <w:keepLines w:val="0"/>
              <w:widowControl/>
              <w:numPr>
                <w:ilvl w:val="0"/>
                <w:numId w:val="0"/>
              </w:numPr>
              <w:suppressLineNumbers w:val="0"/>
              <w:jc w:val="left"/>
              <w:textAlignment w:val="center"/>
              <w:rPr>
                <w:rFonts w:ascii="宋体" w:hAnsi="宋体" w:eastAsia="宋体"/>
                <w:szCs w:val="21"/>
              </w:rPr>
            </w:pPr>
            <w:r>
              <w:rPr>
                <w:rFonts w:hint="eastAsia"/>
                <w:lang w:val="en-US" w:eastAsia="zh-CN"/>
              </w:rPr>
              <w:t>14、</w:t>
            </w:r>
            <w:r>
              <w:rPr>
                <w:rFonts w:hint="eastAsia" w:ascii="宋体" w:hAnsi="宋体" w:eastAsia="宋体"/>
                <w:szCs w:val="21"/>
              </w:rPr>
              <w:t>▲挡车功能：系统的出／入口部分应具有通过自动或人工控制挡车器，允许／禁止车辆通行的功能．并具有防砸车功能。（</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p>
            <w:pPr>
              <w:pStyle w:val="111"/>
              <w:numPr>
                <w:ilvl w:val="0"/>
                <w:numId w:val="0"/>
              </w:numPr>
              <w:spacing w:line="360" w:lineRule="auto"/>
              <w:ind w:leftChars="0"/>
              <w:jc w:val="left"/>
              <w:rPr>
                <w:rFonts w:ascii="宋体" w:hAnsi="宋体" w:eastAsia="宋体"/>
                <w:szCs w:val="21"/>
              </w:rPr>
            </w:pPr>
            <w:r>
              <w:rPr>
                <w:rFonts w:hint="eastAsia" w:ascii="宋体" w:hAnsi="宋体"/>
                <w:szCs w:val="21"/>
                <w:lang w:val="en-US" w:eastAsia="zh-CN"/>
              </w:rPr>
              <w:t>15、</w:t>
            </w:r>
            <w:r>
              <w:rPr>
                <w:rFonts w:hint="eastAsia" w:ascii="宋体" w:hAnsi="宋体" w:eastAsia="宋体"/>
                <w:szCs w:val="21"/>
              </w:rPr>
              <w:t>▲应急开启／关闭：在停电或系统不能正常工作时，应可以手动开启和关闭挡车器。（</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p>
            <w:pPr>
              <w:pStyle w:val="111"/>
              <w:numPr>
                <w:ilvl w:val="0"/>
                <w:numId w:val="0"/>
              </w:numPr>
              <w:spacing w:line="360" w:lineRule="auto"/>
              <w:ind w:leftChars="0"/>
              <w:jc w:val="left"/>
              <w:rPr>
                <w:rFonts w:ascii="宋体" w:hAnsi="宋体" w:eastAsia="宋体"/>
                <w:szCs w:val="21"/>
              </w:rPr>
            </w:pPr>
            <w:r>
              <w:rPr>
                <w:rFonts w:hint="eastAsia" w:ascii="宋体" w:hAnsi="宋体"/>
                <w:szCs w:val="21"/>
                <w:lang w:val="en-US" w:eastAsia="zh-CN"/>
              </w:rPr>
              <w:t>16、</w:t>
            </w:r>
            <w:r>
              <w:rPr>
                <w:rFonts w:hint="eastAsia" w:ascii="宋体" w:hAnsi="宋体" w:eastAsia="宋体"/>
                <w:szCs w:val="21"/>
              </w:rPr>
              <w:t>▲手动开启记录：未按规定流程识别车辆标识，或车辆标识识别失败的情况下，能手动开启挡车器，系统应自动记录发生时间、出／入通道号、操作员等信息。（</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Times New Roman"/>
                <w:color w:val="000000" w:themeColor="text1"/>
                <w:szCs w:val="21"/>
                <w:lang w:val="en-US" w:eastAsia="zh-CN"/>
                <w14:textFill>
                  <w14:solidFill>
                    <w14:schemeClr w14:val="tx1"/>
                  </w14:solidFill>
                </w14:textFill>
              </w:rPr>
              <w:t>17、</w:t>
            </w:r>
            <w:r>
              <w:rPr>
                <w:rFonts w:hint="eastAsia" w:ascii="宋体" w:hAnsi="宋体" w:eastAsia="宋体" w:cs="Times New Roman"/>
                <w:color w:val="000000" w:themeColor="text1"/>
                <w:szCs w:val="21"/>
                <w14:textFill>
                  <w14:solidFill>
                    <w14:schemeClr w14:val="tx1"/>
                  </w14:solidFill>
                </w14:textFill>
              </w:rPr>
              <w:t>▲车牌识别设备须内置车牌识别软件，可以智能识别车牌号码并显示，包括民用车牌、军牌、武警牌、使馆牌、大陆港澳牌；能识别车牌颜色并显示，包括黑牌、黄牌、蓝牌、白牌和绿牌。（</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出口控制终端</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1、工作电压：AC220V/50Hz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2、输入电源 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3、工作电流 ＜4A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4、工作温度 -25～70℃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5、储运温度 -30～75℃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6、工作湿度需满足≤95%不凝露（常温下）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7、使用寿命需≥10万小时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8.平均无故障时间至少满足5000小时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9、外壳防护等级：IP54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10、防雷级别：有三级防雷保护措施。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11、设备需支持语音可视对讲、刷卡国功能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w:t>
            </w:r>
            <w:r>
              <w:rPr>
                <w:rFonts w:hint="eastAsia" w:ascii="宋体" w:hAnsi="宋体" w:eastAsia="宋体"/>
                <w:color w:val="000000" w:themeColor="text1"/>
                <w:kern w:val="0"/>
                <w:szCs w:val="21"/>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屏幕类型支持大于8寸的LCD液晶显示屏，显示效果清晰细腻，大幅提高交互效率及交互体验；</w:t>
            </w:r>
            <w:r>
              <w:rPr>
                <w:rFonts w:hint="eastAsia"/>
                <w:lang w:val="en-US" w:eastAsia="zh-CN"/>
              </w:rPr>
              <w:t>(投标人或投标产品厂商须提供相关内容的产品彩页，并加盖公章。）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13、设备支持当面付功能，内置当面付读头，支持当面付被扫支付，可解决车主手机无信号时离线付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14、室外扫码距离范围满足1-1.5m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15、需支持卡片种类IC卡/CPU卡/二代身份证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16、读卡响应时间满足IC卡＜0.2s；CPU卡＜0.3s；二代身份证＜0.3s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17、读卡距离 IC卡：≥5cm；CPU卡：≥3cm；二代身份证0~3cm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18、内置摄像头，像素不低于130万像素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19、通讯方式 TCP/IP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20、集成自研音视频，穿透率、智能降噪率提高30%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21、支持远程呼叫功能，可实现一键呼叫管理处进行可视对讲，全方位协助解决车主问题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22、支持前端车主通过交互卫士显示屏自视（画中画）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23、支持机动车和非机动车混道、分道管理场景，实现非机动车（摩托车、电动车）刷卡进出计费，机动车车牌或扫码进出入</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ETC网关</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8通道ETC网关</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数字道闸</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数字道闸和辅件拆装（</w:t>
            </w:r>
            <w:r>
              <w:rPr>
                <w:rFonts w:hint="eastAsia" w:ascii="宋体" w:hAnsi="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t>旧设备重新安装</w:t>
            </w:r>
            <w:r>
              <w:rPr>
                <w:rFonts w:hint="eastAsia" w:ascii="宋体" w:hAnsi="宋体" w:cs="宋体"/>
                <w:i w:val="0"/>
                <w:iCs w:val="0"/>
                <w:color w:val="000000"/>
                <w:kern w:val="0"/>
                <w:sz w:val="22"/>
                <w:szCs w:val="22"/>
                <w:u w:val="none"/>
                <w:lang w:val="en-US" w:eastAsia="zh-CN" w:bidi="ar"/>
              </w:rPr>
              <w:t>后，设备不含质保</w:t>
            </w:r>
            <w:r>
              <w:rPr>
                <w:rFonts w:hint="eastAsia" w:ascii="宋体" w:hAnsi="宋体" w:eastAsia="宋体" w:cs="宋体"/>
                <w:i w:val="0"/>
                <w:iCs w:val="0"/>
                <w:color w:val="000000"/>
                <w:kern w:val="0"/>
                <w:sz w:val="22"/>
                <w:szCs w:val="22"/>
                <w:u w:val="none"/>
                <w:lang w:val="en-US" w:eastAsia="zh-CN" w:bidi="ar"/>
              </w:rPr>
              <w:t>）</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地感处理器</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1、工作电压：AC220V；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2、工作温度：-25℃~+70℃；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3、额定功率：小于等于3W；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4、检测率：&gt;99.99%；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5、响应时间：小于等于100ms；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6、非机动车辆：支持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7、双路信号输出：双继电器输出，单个检测器可控制两台道闸（需现场供电稳定）；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8、工作地感量：80~500UH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9、连线长度：最长5m；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10、储运温度：-30℃~+80℃；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11、相对湿度：小于等于90%；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12、静电等级：满足GB/T17626.2规定的 3级测试标准；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13、介电强度：电源输入端与外壳之间的耐压&gt;1.5kv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14、平均无故障时间：5000小时；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15、灵敏度：高灵敏度、中灵敏度、低灵敏度（可根据项目现场情况和使用需要调节，适用于大、中、小型汽车和摩托车）；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车牌识别控制机</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ascii="宋体" w:hAnsi="宋体" w:eastAsia="宋体"/>
                <w:szCs w:val="21"/>
              </w:rPr>
            </w:pPr>
            <w:r>
              <w:rPr>
                <w:rFonts w:hint="eastAsia"/>
                <w:lang w:val="en-US" w:eastAsia="zh-CN"/>
              </w:rPr>
              <w:t>通信方式：TCP/IP（10M/100M自适应以太网）</w:t>
            </w:r>
            <w:r>
              <w:rPr>
                <w:rFonts w:hint="eastAsia"/>
                <w:lang w:val="en-US" w:eastAsia="zh-CN"/>
              </w:rPr>
              <w:br w:type="textWrapping"/>
            </w:r>
            <w:r>
              <w:rPr>
                <w:rFonts w:hint="eastAsia"/>
                <w:lang w:val="en-US" w:eastAsia="zh-CN"/>
              </w:rPr>
              <w:t>2、载波频率：满足GB/T 20851标准</w:t>
            </w:r>
            <w:r>
              <w:rPr>
                <w:rFonts w:hint="eastAsia"/>
                <w:lang w:val="en-US" w:eastAsia="zh-CN"/>
              </w:rPr>
              <w:br w:type="textWrapping"/>
            </w:r>
            <w:r>
              <w:rPr>
                <w:rFonts w:hint="eastAsia"/>
                <w:lang w:val="en-US" w:eastAsia="zh-CN"/>
              </w:rPr>
              <w:t>3、使用寿命不低于5年</w:t>
            </w:r>
            <w:r>
              <w:rPr>
                <w:rFonts w:hint="eastAsia"/>
                <w:lang w:val="en-US" w:eastAsia="zh-CN"/>
              </w:rPr>
              <w:br w:type="textWrapping"/>
            </w:r>
            <w:r>
              <w:rPr>
                <w:rFonts w:hint="eastAsia"/>
                <w:lang w:val="en-US" w:eastAsia="zh-CN"/>
              </w:rPr>
              <w:t>4、醒目ETC识别区：内置ETC天线</w:t>
            </w:r>
            <w:r>
              <w:rPr>
                <w:rFonts w:hint="eastAsia"/>
                <w:lang w:val="en-US" w:eastAsia="zh-CN"/>
              </w:rPr>
              <w:br w:type="textWrapping"/>
            </w:r>
            <w:r>
              <w:rPr>
                <w:rFonts w:hint="eastAsia"/>
                <w:lang w:val="en-US" w:eastAsia="zh-CN"/>
              </w:rPr>
              <w:t>5、LCD交互信息屏：18.5寸广告屏（自定义内容可在前端软件中设置）</w:t>
            </w:r>
            <w:r>
              <w:rPr>
                <w:rFonts w:hint="eastAsia"/>
                <w:lang w:val="en-US" w:eastAsia="zh-CN"/>
              </w:rPr>
              <w:br w:type="textWrapping"/>
            </w:r>
            <w:r>
              <w:rPr>
                <w:rFonts w:hint="eastAsia"/>
                <w:lang w:val="en-US" w:eastAsia="zh-CN"/>
              </w:rPr>
              <w:t>6、用户存储容量满足：20万条</w:t>
            </w:r>
            <w:r>
              <w:rPr>
                <w:rFonts w:hint="eastAsia"/>
                <w:lang w:val="en-US" w:eastAsia="zh-CN"/>
              </w:rPr>
              <w:br w:type="textWrapping"/>
            </w:r>
            <w:r>
              <w:rPr>
                <w:rFonts w:hint="eastAsia"/>
                <w:lang w:val="en-US" w:eastAsia="zh-CN"/>
              </w:rPr>
              <w:t>7、记录存储容量满足：20万条</w:t>
            </w:r>
            <w:r>
              <w:rPr>
                <w:rFonts w:hint="eastAsia"/>
                <w:lang w:val="en-US" w:eastAsia="zh-CN"/>
              </w:rPr>
              <w:br w:type="textWrapping"/>
            </w:r>
            <w:r>
              <w:rPr>
                <w:rFonts w:hint="eastAsia"/>
                <w:lang w:val="en-US" w:eastAsia="zh-CN"/>
              </w:rPr>
              <w:t>8、▲显示屏采用不低于18.5寸商业级LCD显示屏，支持自定义显示内容，屏幕亮度可达700cd/m2(投标人或投标产品厂商须提供相关内容的产品彩页，并加盖公章。）</w:t>
            </w:r>
            <w:r>
              <w:rPr>
                <w:rFonts w:hint="eastAsia"/>
                <w:lang w:val="en-US" w:eastAsia="zh-CN"/>
              </w:rPr>
              <w:br w:type="textWrapping"/>
            </w:r>
            <w:r>
              <w:rPr>
                <w:rFonts w:hint="eastAsia"/>
                <w:lang w:val="en-US" w:eastAsia="zh-CN"/>
              </w:rPr>
              <w:t>9、云台摄像机满足：电动云台变焦镜头（支持远程调节角度），像素不低于200万</w:t>
            </w:r>
            <w:r>
              <w:rPr>
                <w:rFonts w:hint="eastAsia"/>
                <w:lang w:val="en-US" w:eastAsia="zh-CN"/>
              </w:rPr>
              <w:br w:type="textWrapping"/>
            </w:r>
            <w:r>
              <w:rPr>
                <w:rFonts w:hint="eastAsia"/>
                <w:lang w:val="en-US" w:eastAsia="zh-CN"/>
              </w:rPr>
              <w:t>10、▲在天气晴朗无雾，号牌无遮挡、无污损的条件下进行测试，白天测试时的环境光照度应不低于200lx，晚上测试时辅助照明光照度应不高于100lx，车辆速度为(5～40)km/h范围内，单车道情况下，白天、夜晚各进行100次试验，车辆辆号牌识别准确率满足白天不低于：99.8%；夜间不低于：99.8%；（投标人或投标产品厂商须提供相关内容的第三方检测报告复印件，并加盖公章。）</w:t>
            </w:r>
            <w:r>
              <w:rPr>
                <w:rFonts w:hint="eastAsia"/>
                <w:lang w:val="en-US" w:eastAsia="zh-CN"/>
              </w:rPr>
              <w:br w:type="textWrapping"/>
            </w:r>
            <w:r>
              <w:rPr>
                <w:rFonts w:hint="eastAsia"/>
                <w:lang w:val="en-US" w:eastAsia="zh-CN"/>
              </w:rPr>
              <w:t>11、▲图库识别试验：（投标人或投标产品厂商须提供相关内容的第三方检测报告复印件，并加盖公章。）</w:t>
            </w:r>
            <w:r>
              <w:rPr>
                <w:rFonts w:hint="eastAsia"/>
                <w:lang w:val="en-US" w:eastAsia="zh-CN"/>
              </w:rPr>
              <w:br w:type="textWrapping"/>
            </w:r>
            <w:r>
              <w:rPr>
                <w:rFonts w:hint="eastAsia"/>
                <w:lang w:val="en-US" w:eastAsia="zh-CN"/>
              </w:rPr>
              <w:t>（1）以号牌识别用图库进行试验，包含白天1000 车辆号牌识辆车辆进场录像，号牌的图像水平分辨率不低于100 个像素点且不大于160 个像素点。</w:t>
            </w:r>
            <w:r>
              <w:rPr>
                <w:rFonts w:hint="eastAsia"/>
                <w:lang w:val="en-US" w:eastAsia="zh-CN"/>
              </w:rPr>
              <w:br w:type="textWrapping"/>
            </w:r>
            <w:r>
              <w:rPr>
                <w:rFonts w:hint="eastAsia"/>
                <w:lang w:val="en-US" w:eastAsia="zh-CN"/>
              </w:rPr>
              <w:t>白天车辆号牌识别准确率应不小于99.5% 。</w:t>
            </w:r>
            <w:r>
              <w:rPr>
                <w:rFonts w:hint="eastAsia"/>
                <w:lang w:val="en-US" w:eastAsia="zh-CN"/>
              </w:rPr>
              <w:br w:type="textWrapping"/>
            </w:r>
            <w:r>
              <w:rPr>
                <w:rFonts w:hint="eastAsia"/>
                <w:lang w:val="en-US" w:eastAsia="zh-CN"/>
              </w:rPr>
              <w:t>12、▲系统在线时应具有防重入重出功能（投标人或投标产品厂商须提供相关内容的第三方检测报告复印件，并加盖公章。）</w:t>
            </w:r>
            <w:r>
              <w:rPr>
                <w:rFonts w:hint="eastAsia"/>
                <w:lang w:val="en-US" w:eastAsia="zh-CN"/>
              </w:rPr>
              <w:br w:type="textWrapping"/>
            </w:r>
            <w:r>
              <w:rPr>
                <w:rFonts w:hint="eastAsia"/>
                <w:lang w:val="en-US" w:eastAsia="zh-CN"/>
              </w:rPr>
              <w:t>13、▲从车辆身份信息确认放行到挡车器开启的响应间试验时间应≤2s 。</w:t>
            </w:r>
          </w:p>
          <w:p>
            <w:pPr>
              <w:keepNext w:val="0"/>
              <w:keepLines w:val="0"/>
              <w:widowControl/>
              <w:numPr>
                <w:ilvl w:val="0"/>
                <w:numId w:val="0"/>
              </w:numPr>
              <w:suppressLineNumbers w:val="0"/>
              <w:jc w:val="left"/>
              <w:textAlignment w:val="center"/>
              <w:rPr>
                <w:rFonts w:ascii="宋体" w:hAnsi="宋体" w:eastAsia="宋体"/>
                <w:szCs w:val="21"/>
              </w:rPr>
            </w:pPr>
            <w:r>
              <w:rPr>
                <w:rFonts w:hint="eastAsia"/>
                <w:lang w:val="en-US" w:eastAsia="zh-CN"/>
              </w:rPr>
              <w:t>14、</w:t>
            </w:r>
            <w:r>
              <w:rPr>
                <w:rFonts w:hint="eastAsia" w:ascii="宋体" w:hAnsi="宋体" w:eastAsia="宋体"/>
                <w:szCs w:val="21"/>
              </w:rPr>
              <w:t>▲挡车功能：系统的出／入口部分应具有通过自动或人工控制挡车器，允许／禁止车辆通行的功能．并具有防砸车功能。（</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p>
            <w:pPr>
              <w:pStyle w:val="111"/>
              <w:numPr>
                <w:ilvl w:val="0"/>
                <w:numId w:val="0"/>
              </w:numPr>
              <w:spacing w:line="360" w:lineRule="auto"/>
              <w:ind w:leftChars="0"/>
              <w:jc w:val="left"/>
              <w:rPr>
                <w:rFonts w:ascii="宋体" w:hAnsi="宋体" w:eastAsia="宋体"/>
                <w:szCs w:val="21"/>
              </w:rPr>
            </w:pPr>
            <w:r>
              <w:rPr>
                <w:rFonts w:hint="eastAsia" w:ascii="宋体" w:hAnsi="宋体"/>
                <w:szCs w:val="21"/>
                <w:lang w:val="en-US" w:eastAsia="zh-CN"/>
              </w:rPr>
              <w:t>15、</w:t>
            </w:r>
            <w:r>
              <w:rPr>
                <w:rFonts w:hint="eastAsia" w:ascii="宋体" w:hAnsi="宋体" w:eastAsia="宋体"/>
                <w:szCs w:val="21"/>
              </w:rPr>
              <w:t>▲应急开启／关闭：在停电或系统不能正常工作时，应可以手动开启和关闭挡车器。（</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p>
            <w:pPr>
              <w:pStyle w:val="111"/>
              <w:numPr>
                <w:ilvl w:val="0"/>
                <w:numId w:val="0"/>
              </w:numPr>
              <w:spacing w:line="360" w:lineRule="auto"/>
              <w:ind w:leftChars="0"/>
              <w:jc w:val="left"/>
              <w:rPr>
                <w:rFonts w:ascii="宋体" w:hAnsi="宋体" w:eastAsia="宋体"/>
                <w:szCs w:val="21"/>
              </w:rPr>
            </w:pPr>
            <w:r>
              <w:rPr>
                <w:rFonts w:hint="eastAsia" w:ascii="宋体" w:hAnsi="宋体"/>
                <w:szCs w:val="21"/>
                <w:lang w:val="en-US" w:eastAsia="zh-CN"/>
              </w:rPr>
              <w:t>16、</w:t>
            </w:r>
            <w:r>
              <w:rPr>
                <w:rFonts w:hint="eastAsia" w:ascii="宋体" w:hAnsi="宋体" w:eastAsia="宋体"/>
                <w:szCs w:val="21"/>
              </w:rPr>
              <w:t>▲手动开启记录：未按规定流程识别车辆标识，或车辆标识识别失败的情况下，能手动开启挡车器，系统应自动记录发生时间、出／入通道号、操作员等信息。（</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p>
            <w:pPr>
              <w:pStyle w:val="111"/>
              <w:numPr>
                <w:ilvl w:val="0"/>
                <w:numId w:val="0"/>
              </w:numPr>
              <w:spacing w:line="360" w:lineRule="auto"/>
              <w:ind w:leftChars="0"/>
              <w:jc w:val="left"/>
              <w:rPr>
                <w:rFonts w:hint="eastAsia"/>
              </w:rPr>
            </w:pPr>
            <w:r>
              <w:rPr>
                <w:rFonts w:hint="eastAsia" w:ascii="宋体" w:hAnsi="宋体" w:eastAsia="宋体" w:cs="Times New Roman"/>
                <w:color w:val="000000" w:themeColor="text1"/>
                <w:szCs w:val="21"/>
                <w:lang w:val="en-US" w:eastAsia="zh-CN"/>
                <w14:textFill>
                  <w14:solidFill>
                    <w14:schemeClr w14:val="tx1"/>
                  </w14:solidFill>
                </w14:textFill>
              </w:rPr>
              <w:t>17、</w:t>
            </w:r>
            <w:r>
              <w:rPr>
                <w:rFonts w:hint="eastAsia" w:ascii="宋体" w:hAnsi="宋体" w:eastAsia="宋体" w:cs="Times New Roman"/>
                <w:color w:val="000000" w:themeColor="text1"/>
                <w:szCs w:val="21"/>
                <w14:textFill>
                  <w14:solidFill>
                    <w14:schemeClr w14:val="tx1"/>
                  </w14:solidFill>
                </w14:textFill>
              </w:rPr>
              <w:t>▲车牌识别设备须内置车牌识别软件，可以智能识别车牌号码并显示，包括民用车牌、军牌、武警牌、使馆牌、大陆港澳牌；能识别车牌颜色并显示，包括黑牌、黄牌、蓝牌、白牌和绿牌。（</w:t>
            </w:r>
            <w:r>
              <w:rPr>
                <w:rFonts w:hint="eastAsia" w:ascii="宋体" w:hAnsi="宋体" w:eastAsia="宋体"/>
                <w:color w:val="000000" w:themeColor="text1"/>
                <w:szCs w:val="21"/>
                <w14:textFill>
                  <w14:solidFill>
                    <w14:schemeClr w14:val="tx1"/>
                  </w14:solidFill>
                </w14:textFill>
              </w:rPr>
              <w:t>投标人或投标产品厂商须提供相关内容的第三方检测报告复印件，并加盖公章。）</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辅助摄像机</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1、工作电压：AC220V±10%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2、工作温度：-25℃-+70℃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3、储运温度：-30℃-+75℃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4、相对湿度：需≤95%  无凝露（常温下）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5、防雷级别：需满足三级防雷保护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6、通讯方式：需采用TCP/IP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7、外壳防护等级应不低于IPx4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8、一体式模具成型机架，有效杜绝人为性掰动摄像机，同时高清摄像机内嵌式安装，有效防尘、防水雾的损耗。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9、能与NVR联动，实现录像存储、无牌车抓拍等功能。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10、内置摄像机规格：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1)采用不低于200万象素摄像机；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2)分辨率：1080P、720P；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3)可支持调节角度：上、下、左、右可调范围15度；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11、内置补光灯规格：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1)补光灯开/关控制：光敏自动控制；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2)补光距离：5米处光照大于50 Lux；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3)可支持调节角度：上、下、左、右可调范围15度；</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停车场管理软件</w:t>
            </w:r>
          </w:p>
        </w:tc>
        <w:tc>
          <w:tcPr>
            <w:tcW w:w="2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可定制多种收费模式方案；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2、系统主界面显示进出场监控画面，保持动态，车辆出入时自动拍摄，收费操作完成后恢复动态监控。窗口可最小化，不影响收费功能及档车器功能停止运行。可实时检测档车器运行状态；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3、具有分级管理权限、视频车牌识别、满位状态提醒功能、实时监控图像对比、系统统计生成费用、收费标准、资金管理、报表统计、结算端口、查询、更改资料、资料打印等功能；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4、下发管理权限功能：管理功能中区分权限，管理员可设置添加、修改用户功能等设置，操作员只能查询车主信息（只读）功能。可支持由集中管控平台平台下发同步操作员信息权限。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5、设置交接班功能：交班内容中要有值班出场车辆数量、收费金额、手动放行车辆数量、场内车辆停放数量、值班操作员姓名等内容的体现。便于下一班操作员掌握场内车辆的停放情况及交接。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6、手动开闸应设置有特殊车辆放行（警车、消防车、公司车辆等）。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7、系统具有车牌模糊匹配功能，当车辆出场时出现识别错误，软件可以提供相似车牌查询，操作员可手动选择匹配车牌计费出场。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8、车牌纠正功能：当管理员发现入场车辆识别错误，可以通过软件纠正识别错误的车牌。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9、软件可以根据车流量需求手动设置剩余停车车位，并有时效管理，到时后自动恢复默认停车场剩余车位数。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10、系统支持TTS语音，支持出入口语音自定义修改；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11、支持扩展自助缴费功能，配合自助缴费机可实现车主自主缴费。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12、支持夜间月卡功能，夜间月卡名称类型可在套管中设置，该月卡功能区别于普通月卡。只能在指定的时间为免费停放（该免费时段用户可自定义设置），其他时间段停车按照普通月卡车计费；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13、支持断网管理功能：1)断网后白名单车辆出入口可自动识别放行；2)断网后可使用移动设备、通过4G/5G网络在出口收费；3)断网后出口处可在确认缴费结果后人工遥控器放行；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14、支持与充电桩硬件产品对接，实现“场、桩、位”一体化管理，支持充电、停车、占位费用一体化融合结算，在车场出口时一笔支付。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当停车场满位时，系统具有排队等待入场功能，流程如下：车场满位后，1号通道车辆识别入场时，系统识别后提示：“车位已满，请等待”，软件系统开始计时。若2号通道也出现入场排队，系统同样提示：“车位已满，请等待”，并开始计时。当场内有空余车位时，优先放行等待较长时间的车辆，并提示入场信息，记录入场时间。在各个收费界面文字显示多个入口的排队等待时间，如：“*号口入场排队时间：**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16.软件可以根据车流量需求手动设置剩余停车车位，并有时效管理，到时后自动恢复默认停车场剩余车位数。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17、支持道路F杆大屏实时显示剩余车位功能。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18、系统支持出口信息屏显示识别的车牌信息及收费金额，并语音播报缴费金额，进出口语音提示（可设置是医疗系统或一般模式、无声模式）和LED显示内容（可同步设置是医疗系统或一般模式、无声模式显示）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19、支持停车场岗亭无人值守，当有车主遇到不能进出场的时候可以按设备上的呼叫按钮和云坐席客服人员视频通话，协助车主进出场。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20、▲需提供管理软件的著作权证明文件并加盖投标人公章。</w:t>
            </w:r>
          </w:p>
          <w:p>
            <w:pPr>
              <w:numPr>
                <w:ilvl w:val="0"/>
                <w:numId w:val="7"/>
              </w:numPr>
              <w:spacing w:line="360" w:lineRule="auto"/>
              <w:rPr>
                <w:rFonts w:ascii="宋体" w:hAnsi="宋体" w:eastAsia="宋体"/>
                <w:bCs/>
                <w:color w:val="000000"/>
                <w:szCs w:val="21"/>
                <w:lang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bCs/>
                <w:color w:val="000000"/>
                <w:szCs w:val="21"/>
                <w:lang w:bidi="ar"/>
              </w:rPr>
              <w:t>平台</w:t>
            </w:r>
            <w:r>
              <w:rPr>
                <w:rFonts w:hint="eastAsia" w:ascii="宋体" w:hAnsi="宋体"/>
                <w:bCs/>
                <w:color w:val="000000"/>
                <w:szCs w:val="21"/>
                <w:lang w:val="en-US" w:eastAsia="zh-CN" w:bidi="ar"/>
              </w:rPr>
              <w:t>管理软件</w:t>
            </w:r>
            <w:r>
              <w:rPr>
                <w:rFonts w:hint="eastAsia" w:ascii="宋体" w:hAnsi="宋体" w:eastAsia="宋体"/>
                <w:bCs/>
                <w:color w:val="000000"/>
                <w:szCs w:val="21"/>
                <w:lang w:bidi="ar"/>
              </w:rPr>
              <w:t>要求具有强大的聚合支付能力，除了目前主流的微信、支付宝等第三方支付外，还需要能根据公司财务合作需求，灵活扩充各银行在线支付渠道。除在线支付方式外，还要求接入主流无感支付服务商，须有</w:t>
            </w:r>
            <w:r>
              <w:rPr>
                <w:rFonts w:ascii="宋体" w:hAnsi="宋体" w:eastAsia="宋体"/>
                <w:bCs/>
                <w:color w:val="000000"/>
                <w:szCs w:val="21"/>
                <w:lang w:bidi="ar"/>
              </w:rPr>
              <w:t>央行颁发支付牌照证书支撑。投标人须提供支付牌照证书复印件</w:t>
            </w:r>
            <w:r>
              <w:rPr>
                <w:rFonts w:hint="eastAsia" w:ascii="宋体" w:hAnsi="宋体" w:eastAsia="宋体" w:cs="宋体"/>
                <w:i w:val="0"/>
                <w:iCs w:val="0"/>
                <w:color w:val="000000"/>
                <w:kern w:val="0"/>
                <w:sz w:val="22"/>
                <w:szCs w:val="22"/>
                <w:u w:val="none"/>
                <w:lang w:val="en-US" w:eastAsia="zh-CN" w:bidi="ar"/>
              </w:rPr>
              <w:t>并加盖投标单位公章</w:t>
            </w:r>
            <w:r>
              <w:rPr>
                <w:rFonts w:ascii="宋体" w:hAnsi="宋体" w:eastAsia="宋体"/>
                <w:bCs/>
                <w:color w:val="000000"/>
                <w:szCs w:val="21"/>
                <w:lang w:bidi="ar"/>
              </w:rPr>
              <w:t>。</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w:t>
            </w:r>
            <w:r>
              <w:rPr>
                <w:rFonts w:hint="eastAsia" w:ascii="宋体" w:hAnsi="宋体" w:cs="宋体"/>
                <w:b/>
                <w:bCs/>
                <w:color w:val="FF0000"/>
                <w:kern w:val="0"/>
                <w:sz w:val="24"/>
                <w:szCs w:val="24"/>
              </w:rPr>
              <w:t>★</w:t>
            </w:r>
            <w:r>
              <w:rPr>
                <w:rFonts w:hint="eastAsia" w:ascii="宋体" w:hAnsi="宋体" w:eastAsia="宋体" w:cs="宋体"/>
                <w:i w:val="0"/>
                <w:iCs w:val="0"/>
                <w:color w:val="000000"/>
                <w:kern w:val="0"/>
                <w:sz w:val="22"/>
                <w:szCs w:val="22"/>
                <w:u w:val="none"/>
                <w:lang w:val="en-US" w:eastAsia="zh-CN" w:bidi="ar"/>
              </w:rPr>
              <w:t>投标产品需与招标单位已有停车管理系统无缝对接，提供无缝对接承诺书并加盖投标单位公章。</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优惠券系统</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可以按照时间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全免等设置不同优惠模式。</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管理中心电脑</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I7\16G\1T\23.8寸显示器</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交换机、网线、电源线、光纤、管材等</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安全岛</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定制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基础</w:t>
            </w:r>
            <w:r>
              <w:rPr>
                <w:rFonts w:hint="eastAsia" w:ascii="宋体" w:hAnsi="宋体" w:cs="宋体"/>
                <w:i w:val="0"/>
                <w:iCs w:val="0"/>
                <w:color w:val="000000"/>
                <w:kern w:val="0"/>
                <w:sz w:val="22"/>
                <w:szCs w:val="22"/>
                <w:u w:val="none"/>
                <w:lang w:val="en-US" w:eastAsia="zh-CN" w:bidi="ar"/>
              </w:rPr>
              <w:t>支模、</w:t>
            </w:r>
            <w:r>
              <w:rPr>
                <w:rFonts w:hint="eastAsia" w:ascii="宋体" w:hAnsi="宋体" w:eastAsia="宋体" w:cs="宋体"/>
                <w:i w:val="0"/>
                <w:iCs w:val="0"/>
                <w:color w:val="000000"/>
                <w:kern w:val="0"/>
                <w:sz w:val="22"/>
                <w:szCs w:val="22"/>
                <w:u w:val="none"/>
                <w:lang w:val="en-US" w:eastAsia="zh-CN" w:bidi="ar"/>
              </w:rPr>
              <w:t>浇筑</w:t>
            </w:r>
            <w:r>
              <w:rPr>
                <w:rFonts w:hint="eastAsia" w:ascii="宋体" w:hAnsi="宋体" w:cs="宋体"/>
                <w:i w:val="0"/>
                <w:iCs w:val="0"/>
                <w:color w:val="000000"/>
                <w:kern w:val="0"/>
                <w:sz w:val="22"/>
                <w:szCs w:val="22"/>
                <w:u w:val="none"/>
                <w:lang w:val="en-US" w:eastAsia="zh-CN" w:bidi="ar"/>
              </w:rPr>
              <w:t>等）</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安全岛刷漆</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定制（含以前的安全岛刷漆）</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设备安装调试</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设备安装调试</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防撞柱/雪糕桶</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防撞柱/雪糕桶（含安装）</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减速带</w:t>
            </w:r>
          </w:p>
        </w:tc>
        <w:tc>
          <w:tcPr>
            <w:tcW w:w="2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2500*200*70mm（含安装）</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bl>
    <w:p>
      <w:pPr>
        <w:numPr>
          <w:ilvl w:val="0"/>
          <w:numId w:val="0"/>
        </w:numPr>
        <w:spacing w:line="360" w:lineRule="auto"/>
        <w:rPr>
          <w:rFonts w:hint="eastAsia" w:ascii="宋体" w:hAnsi="宋体" w:cs="宋体"/>
          <w:b/>
          <w:bCs/>
          <w:sz w:val="24"/>
          <w:szCs w:val="24"/>
          <w:highlight w:val="yellow"/>
          <w:lang w:val="zh-CN"/>
        </w:rPr>
      </w:pPr>
    </w:p>
    <w:p>
      <w:pPr>
        <w:spacing w:line="360" w:lineRule="auto"/>
        <w:ind w:firstLine="482" w:firstLineChars="200"/>
        <w:rPr>
          <w:rFonts w:ascii="宋体" w:hAnsi="宋体" w:cs="宋体"/>
          <w:b/>
          <w:bCs/>
          <w:sz w:val="24"/>
          <w:szCs w:val="24"/>
          <w:lang w:val="zh-CN"/>
        </w:rPr>
      </w:pPr>
    </w:p>
    <w:p>
      <w:pPr>
        <w:pStyle w:val="2"/>
        <w:spacing w:line="360" w:lineRule="auto"/>
        <w:ind w:firstLine="482" w:firstLineChars="200"/>
        <w:rPr>
          <w:rFonts w:hAnsi="宋体" w:cs="Times New Roman"/>
          <w:b/>
          <w:bCs/>
          <w:color w:val="FF0000"/>
          <w:sz w:val="24"/>
          <w:szCs w:val="24"/>
        </w:rPr>
      </w:pPr>
      <w:r>
        <w:rPr>
          <w:rFonts w:hint="eastAsia" w:hAnsi="宋体"/>
          <w:b/>
          <w:color w:val="FF0000"/>
          <w:sz w:val="24"/>
          <w:szCs w:val="24"/>
          <w:lang w:val="en-US" w:eastAsia="zh-CN"/>
        </w:rPr>
        <w:t>三</w:t>
      </w:r>
      <w:r>
        <w:rPr>
          <w:rFonts w:hint="eastAsia" w:hAnsi="宋体"/>
          <w:b/>
          <w:color w:val="FF0000"/>
          <w:sz w:val="24"/>
          <w:szCs w:val="24"/>
        </w:rPr>
        <w:t>、</w:t>
      </w:r>
      <w:r>
        <w:rPr>
          <w:rFonts w:hAnsi="宋体" w:cs="Times New Roman"/>
          <w:b/>
          <w:bCs/>
          <w:color w:val="FF0000"/>
          <w:sz w:val="24"/>
          <w:szCs w:val="24"/>
        </w:rPr>
        <w:t>验收标准</w:t>
      </w:r>
    </w:p>
    <w:p>
      <w:pPr>
        <w:pStyle w:val="2"/>
        <w:spacing w:line="360" w:lineRule="auto"/>
        <w:ind w:firstLine="482" w:firstLineChars="201"/>
        <w:rPr>
          <w:rFonts w:hAnsi="宋体"/>
          <w:color w:val="FF0000"/>
          <w:sz w:val="24"/>
          <w:szCs w:val="24"/>
        </w:rPr>
      </w:pPr>
      <w:r>
        <w:rPr>
          <w:rFonts w:hAnsi="宋体"/>
          <w:color w:val="FF0000"/>
          <w:sz w:val="24"/>
          <w:szCs w:val="24"/>
        </w:rPr>
        <w:t>根据中华人民共和国现行技术标准，按招标文件以及合同规定的验收评定标准等规范，由采购人根据《政府采购合同履约和验收管理办法（暂行）》（义招管办【2008】32号）文件要求和</w:t>
      </w:r>
      <w:r>
        <w:rPr>
          <w:rFonts w:hAnsi="宋体"/>
          <w:color w:val="FF0000"/>
          <w:sz w:val="24"/>
          <w:szCs w:val="24"/>
          <w:highlight w:val="none"/>
        </w:rPr>
        <w:t>《</w:t>
      </w:r>
      <w:r>
        <w:rPr>
          <w:rFonts w:hint="eastAsia" w:hAnsi="宋体"/>
          <w:color w:val="FF0000"/>
          <w:sz w:val="24"/>
          <w:szCs w:val="24"/>
          <w:highlight w:val="none"/>
        </w:rPr>
        <w:t>义乌市关于规范政府采购管理的若干意见</w:t>
      </w:r>
      <w:r>
        <w:rPr>
          <w:rFonts w:hAnsi="宋体"/>
          <w:color w:val="FF0000"/>
          <w:sz w:val="24"/>
          <w:szCs w:val="24"/>
          <w:highlight w:val="none"/>
        </w:rPr>
        <w:t>》（义政办发【2017】102号）</w:t>
      </w:r>
      <w:r>
        <w:rPr>
          <w:rFonts w:hAnsi="宋体"/>
          <w:color w:val="FF0000"/>
          <w:sz w:val="24"/>
          <w:szCs w:val="24"/>
        </w:rPr>
        <w:t>要求，组织验收。</w:t>
      </w:r>
    </w:p>
    <w:p>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四</w:t>
      </w:r>
      <w:r>
        <w:rPr>
          <w:rFonts w:hint="eastAsia" w:ascii="宋体" w:hAnsi="宋体" w:cs="宋体"/>
          <w:b/>
          <w:bCs/>
          <w:sz w:val="24"/>
          <w:szCs w:val="24"/>
        </w:rPr>
        <w:t>、付款方式</w:t>
      </w:r>
    </w:p>
    <w:p>
      <w:pPr>
        <w:pStyle w:val="2"/>
        <w:spacing w:line="360" w:lineRule="auto"/>
        <w:ind w:firstLine="480"/>
        <w:rPr>
          <w:rFonts w:ascii="宋体" w:hAnsi="宋体"/>
          <w:color w:val="FF0000"/>
          <w:sz w:val="24"/>
          <w:szCs w:val="24"/>
        </w:rPr>
      </w:pPr>
      <w:r>
        <w:rPr>
          <w:rFonts w:hint="eastAsia" w:hAnsi="宋体"/>
          <w:color w:val="FF0000"/>
          <w:sz w:val="24"/>
          <w:szCs w:val="24"/>
          <w:lang w:val="en-US" w:eastAsia="zh-CN"/>
        </w:rPr>
        <w:t>改造升级</w:t>
      </w:r>
      <w:r>
        <w:rPr>
          <w:rFonts w:hAnsi="宋体"/>
          <w:color w:val="FF0000"/>
          <w:sz w:val="24"/>
          <w:szCs w:val="24"/>
        </w:rPr>
        <w:t>完成并验收合格</w:t>
      </w:r>
      <w:r>
        <w:rPr>
          <w:rFonts w:hint="eastAsia" w:hAnsi="宋体"/>
          <w:color w:val="FF0000"/>
          <w:sz w:val="24"/>
          <w:szCs w:val="24"/>
        </w:rPr>
        <w:t>后</w:t>
      </w:r>
      <w:r>
        <w:rPr>
          <w:rFonts w:hAnsi="宋体"/>
          <w:color w:val="FF0000"/>
          <w:sz w:val="24"/>
          <w:szCs w:val="24"/>
        </w:rPr>
        <w:t>30</w:t>
      </w:r>
      <w:r>
        <w:rPr>
          <w:rFonts w:hint="eastAsia" w:hAnsi="宋体"/>
          <w:color w:val="FF0000"/>
          <w:sz w:val="24"/>
          <w:szCs w:val="24"/>
        </w:rPr>
        <w:t>个工作日内支付实际货款总价的9</w:t>
      </w:r>
      <w:r>
        <w:rPr>
          <w:rFonts w:hint="eastAsia" w:hAnsi="宋体"/>
          <w:color w:val="FF0000"/>
          <w:sz w:val="24"/>
          <w:szCs w:val="24"/>
          <w:lang w:val="en-US" w:eastAsia="zh-CN"/>
        </w:rPr>
        <w:t>5</w:t>
      </w:r>
      <w:r>
        <w:rPr>
          <w:rFonts w:hint="eastAsia" w:hAnsi="宋体"/>
          <w:color w:val="FF0000"/>
          <w:sz w:val="24"/>
          <w:szCs w:val="24"/>
        </w:rPr>
        <w:t>%。货款总价的5%，在质保期满无质量问题后</w:t>
      </w:r>
      <w:r>
        <w:rPr>
          <w:rFonts w:hAnsi="宋体"/>
          <w:color w:val="FF0000"/>
          <w:sz w:val="24"/>
          <w:szCs w:val="24"/>
        </w:rPr>
        <w:t>30</w:t>
      </w:r>
      <w:r>
        <w:rPr>
          <w:rFonts w:hint="eastAsia" w:hAnsi="宋体"/>
          <w:color w:val="FF0000"/>
          <w:sz w:val="24"/>
          <w:szCs w:val="24"/>
        </w:rPr>
        <w:t>个工作日内支付。</w:t>
      </w:r>
    </w:p>
    <w:p>
      <w:pPr>
        <w:spacing w:line="420" w:lineRule="exact"/>
        <w:rPr>
          <w:rFonts w:ascii="宋体" w:hAnsi="宋体"/>
          <w:b/>
          <w:color w:val="FF0000"/>
          <w:sz w:val="24"/>
          <w:szCs w:val="24"/>
        </w:rPr>
      </w:pPr>
    </w:p>
    <w:p>
      <w:pPr>
        <w:spacing w:line="420" w:lineRule="exact"/>
        <w:ind w:firstLine="482" w:firstLineChars="200"/>
        <w:rPr>
          <w:rFonts w:ascii="宋体" w:hAnsi="宋体"/>
          <w:b/>
          <w:color w:val="FF0000"/>
          <w:sz w:val="24"/>
          <w:szCs w:val="24"/>
        </w:rPr>
      </w:pPr>
      <w:r>
        <w:rPr>
          <w:rFonts w:hint="eastAsia" w:ascii="宋体" w:hAnsi="宋体"/>
          <w:b/>
          <w:color w:val="FF0000"/>
          <w:sz w:val="24"/>
          <w:szCs w:val="24"/>
          <w:lang w:val="en-US" w:eastAsia="zh-CN"/>
        </w:rPr>
        <w:t>五</w:t>
      </w:r>
      <w:r>
        <w:rPr>
          <w:rFonts w:hint="eastAsia" w:ascii="宋体" w:hAnsi="宋体"/>
          <w:b/>
          <w:color w:val="FF0000"/>
          <w:sz w:val="24"/>
          <w:szCs w:val="24"/>
        </w:rPr>
        <w:t>、</w:t>
      </w:r>
      <w:r>
        <w:rPr>
          <w:rFonts w:ascii="宋体" w:hAnsi="宋体"/>
          <w:b/>
          <w:color w:val="FF0000"/>
          <w:sz w:val="24"/>
          <w:szCs w:val="24"/>
        </w:rPr>
        <w:t>质保期及售后服务</w:t>
      </w:r>
    </w:p>
    <w:p>
      <w:pPr>
        <w:spacing w:line="360" w:lineRule="auto"/>
        <w:ind w:firstLine="480" w:firstLineChars="200"/>
        <w:rPr>
          <w:rFonts w:ascii="新宋体" w:hAnsi="新宋体" w:eastAsia="新宋体"/>
          <w:szCs w:val="21"/>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olor w:val="FF0000"/>
          <w:sz w:val="24"/>
          <w:szCs w:val="24"/>
          <w:highlight w:val="none"/>
        </w:rPr>
        <w:t>供方须对合同中规定的提供</w:t>
      </w:r>
      <w:r>
        <w:rPr>
          <w:rFonts w:hint="eastAsia" w:ascii="宋体" w:hAnsi="宋体"/>
          <w:color w:val="FF0000"/>
          <w:sz w:val="24"/>
          <w:szCs w:val="24"/>
          <w:highlight w:val="none"/>
          <w:u w:val="single"/>
        </w:rPr>
        <w:t xml:space="preserve"> 验收合格次日起厂家质保不少于</w:t>
      </w:r>
      <w:r>
        <w:rPr>
          <w:rFonts w:hint="eastAsia" w:ascii="宋体" w:hAnsi="宋体"/>
          <w:b/>
          <w:bCs/>
          <w:color w:val="FF0000"/>
          <w:sz w:val="24"/>
          <w:szCs w:val="24"/>
          <w:highlight w:val="none"/>
          <w:u w:val="single"/>
          <w:lang w:val="en-US" w:eastAsia="zh-CN"/>
        </w:rPr>
        <w:t>两</w:t>
      </w:r>
      <w:r>
        <w:rPr>
          <w:rFonts w:hint="eastAsia" w:ascii="宋体" w:hAnsi="宋体"/>
          <w:b/>
          <w:bCs/>
          <w:color w:val="FF0000"/>
          <w:sz w:val="24"/>
          <w:szCs w:val="24"/>
          <w:highlight w:val="none"/>
          <w:u w:val="single"/>
        </w:rPr>
        <w:t>年</w:t>
      </w:r>
      <w:r>
        <w:rPr>
          <w:rFonts w:hint="eastAsia" w:ascii="新宋体" w:hAnsi="新宋体" w:eastAsia="新宋体"/>
          <w:szCs w:val="21"/>
          <w:highlight w:val="none"/>
        </w:rPr>
        <w:t>，时间从项目验收合格之日起计算。质保期内供方须免费负责修理和替换任何由于产品自身的质量问题造成的损坏，并负责有关费用，但不可抗力（如火灾、雷击、台风、暴雨、地震等）造成的事件除外。供方不能修理和不能调换，按不能交货处理。如因需方使用不当造成故障，供方负责包修、包换或者包退，费用双方另行协商。维修过程中供方提供的材料色泽等应与原来的保持一致。质保期内的服务，不收取任何上门费。</w:t>
      </w:r>
    </w:p>
    <w:p>
      <w:pPr>
        <w:spacing w:line="360" w:lineRule="auto"/>
        <w:ind w:firstLine="420" w:firstLineChars="200"/>
        <w:rPr>
          <w:rFonts w:hint="eastAsia" w:ascii="宋体" w:hAnsi="宋体" w:cs="宋体"/>
          <w:sz w:val="24"/>
          <w:szCs w:val="24"/>
          <w:highlight w:val="none"/>
        </w:rPr>
      </w:pPr>
      <w:r>
        <w:rPr>
          <w:rFonts w:hint="eastAsia" w:ascii="新宋体" w:hAnsi="新宋体" w:eastAsia="新宋体"/>
          <w:szCs w:val="21"/>
          <w:highlight w:val="none"/>
          <w:lang w:val="en-US" w:eastAsia="zh-CN"/>
        </w:rPr>
        <w:t>2</w:t>
      </w:r>
      <w:r>
        <w:rPr>
          <w:rFonts w:hint="eastAsia" w:ascii="新宋体" w:hAnsi="新宋体" w:eastAsia="新宋体"/>
          <w:szCs w:val="21"/>
          <w:highlight w:val="none"/>
        </w:rPr>
        <w:t>、在质保期内，在设备出现故障是</w:t>
      </w:r>
      <w:r>
        <w:rPr>
          <w:rFonts w:ascii="新宋体" w:hAnsi="新宋体" w:eastAsia="新宋体"/>
          <w:szCs w:val="21"/>
          <w:highlight w:val="none"/>
        </w:rPr>
        <w:t>1</w:t>
      </w:r>
      <w:r>
        <w:rPr>
          <w:rFonts w:hint="eastAsia" w:ascii="新宋体" w:hAnsi="新宋体" w:eastAsia="新宋体"/>
          <w:szCs w:val="21"/>
          <w:highlight w:val="none"/>
        </w:rPr>
        <w:t>小时内给予响应，保障到场响应时间小于2小时，故障修复完成时间不大于</w:t>
      </w:r>
      <w:r>
        <w:rPr>
          <w:rFonts w:ascii="新宋体" w:hAnsi="新宋体" w:eastAsia="新宋体"/>
          <w:szCs w:val="21"/>
          <w:highlight w:val="none"/>
        </w:rPr>
        <w:t>24</w:t>
      </w:r>
      <w:r>
        <w:rPr>
          <w:rFonts w:hint="eastAsia" w:ascii="新宋体" w:hAnsi="新宋体" w:eastAsia="新宋体"/>
          <w:szCs w:val="21"/>
          <w:highlight w:val="none"/>
        </w:rPr>
        <w:t>小时内，如在2</w:t>
      </w:r>
      <w:r>
        <w:rPr>
          <w:rFonts w:ascii="新宋体" w:hAnsi="新宋体" w:eastAsia="新宋体"/>
          <w:szCs w:val="21"/>
          <w:highlight w:val="none"/>
        </w:rPr>
        <w:t>4小时内不能及时修复的，则提供不低于同档次备用设备服务，不影响用户使用。</w:t>
      </w:r>
    </w:p>
    <w:p>
      <w:pPr>
        <w:pStyle w:val="2"/>
        <w:spacing w:line="360" w:lineRule="auto"/>
        <w:rPr>
          <w:rFonts w:hAnsi="宋体"/>
          <w:color w:val="FF0000"/>
          <w:sz w:val="24"/>
          <w:szCs w:val="24"/>
        </w:rPr>
      </w:pPr>
    </w:p>
    <w:p>
      <w:pPr>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、其他</w:t>
      </w:r>
    </w:p>
    <w:p>
      <w:pPr>
        <w:spacing w:line="360" w:lineRule="auto"/>
        <w:ind w:firstLine="480" w:firstLineChars="200"/>
        <w:rPr>
          <w:rFonts w:ascii="宋体" w:hAnsi="宋体" w:cs="宋体"/>
          <w:sz w:val="24"/>
          <w:szCs w:val="24"/>
        </w:rPr>
      </w:pPr>
      <w:r>
        <w:rPr>
          <w:rFonts w:hint="eastAsia" w:ascii="宋体" w:hAnsi="宋体" w:cs="宋体"/>
          <w:sz w:val="24"/>
          <w:szCs w:val="24"/>
        </w:rPr>
        <w:t>1、中标人不得转包、分包。</w:t>
      </w:r>
    </w:p>
    <w:p>
      <w:pPr>
        <w:spacing w:line="360" w:lineRule="auto"/>
        <w:ind w:firstLine="480" w:firstLineChars="200"/>
        <w:rPr>
          <w:rFonts w:ascii="宋体" w:hAnsi="宋体" w:cs="宋体"/>
          <w:sz w:val="24"/>
          <w:szCs w:val="24"/>
        </w:rPr>
      </w:pPr>
      <w:r>
        <w:rPr>
          <w:rFonts w:ascii="宋体" w:hAnsi="宋体" w:cs="宋体"/>
          <w:sz w:val="24"/>
          <w:szCs w:val="24"/>
        </w:rPr>
        <w:t>4</w:t>
      </w:r>
      <w:r>
        <w:rPr>
          <w:rFonts w:hint="eastAsia" w:ascii="宋体" w:hAnsi="宋体" w:cs="宋体"/>
          <w:sz w:val="24"/>
          <w:szCs w:val="24"/>
        </w:rPr>
        <w:t>、投标方在投标前可以自行到现场进行实地踏勘，招标单位不另行组织现场勘察会。</w:t>
      </w:r>
    </w:p>
    <w:p>
      <w:pPr>
        <w:spacing w:line="360" w:lineRule="auto"/>
        <w:ind w:firstLine="480" w:firstLineChars="200"/>
        <w:rPr>
          <w:rFonts w:ascii="宋体" w:hAnsi="宋体" w:cs="宋体"/>
          <w:sz w:val="24"/>
          <w:szCs w:val="24"/>
        </w:rPr>
      </w:pPr>
      <w:r>
        <w:rPr>
          <w:rFonts w:ascii="宋体" w:hAnsi="宋体" w:cs="宋体"/>
          <w:sz w:val="24"/>
          <w:szCs w:val="24"/>
        </w:rPr>
        <w:t>5</w:t>
      </w:r>
      <w:r>
        <w:rPr>
          <w:rFonts w:hint="eastAsia" w:ascii="宋体" w:hAnsi="宋体" w:cs="宋体"/>
          <w:sz w:val="24"/>
          <w:szCs w:val="24"/>
        </w:rPr>
        <w:t>、投标单位报价时应以人民币为计算单位，报价总金额到元为止。报价中的管理费、利润、税费等其他费用由各参标单位自行考虑。本次招投标相关资料文件概不退还。</w:t>
      </w: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pStyle w:val="2"/>
        <w:spacing w:line="360" w:lineRule="auto"/>
        <w:rPr>
          <w:rFonts w:hAnsi="宋体"/>
          <w:color w:val="FF0000"/>
          <w:sz w:val="24"/>
          <w:szCs w:val="24"/>
        </w:rPr>
      </w:pPr>
    </w:p>
    <w:p>
      <w:pPr>
        <w:spacing w:line="360" w:lineRule="auto"/>
        <w:jc w:val="center"/>
        <w:rPr>
          <w:rFonts w:ascii="宋体" w:hAnsi="宋体"/>
          <w:b/>
          <w:sz w:val="32"/>
          <w:szCs w:val="32"/>
        </w:rPr>
      </w:pPr>
      <w:r>
        <w:rPr>
          <w:rFonts w:hint="eastAsia" w:ascii="宋体" w:hAnsi="宋体"/>
          <w:b/>
          <w:sz w:val="32"/>
          <w:szCs w:val="32"/>
        </w:rPr>
        <w:t>第四章   投标文件要求</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一、对投标文件的要求</w:t>
      </w:r>
    </w:p>
    <w:p>
      <w:pPr>
        <w:widowControl/>
        <w:spacing w:line="420" w:lineRule="atLeast"/>
        <w:ind w:firstLine="480"/>
        <w:rPr>
          <w:rFonts w:ascii="宋体" w:hAnsi="宋体" w:cs="宋体"/>
          <w:kern w:val="0"/>
          <w:sz w:val="24"/>
          <w:szCs w:val="24"/>
        </w:rPr>
      </w:pPr>
      <w:r>
        <w:rPr>
          <w:rFonts w:hint="eastAsia" w:ascii="宋体" w:hAnsi="宋体"/>
          <w:sz w:val="24"/>
          <w:szCs w:val="21"/>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kern w:val="0"/>
          <w:sz w:val="24"/>
          <w:szCs w:val="24"/>
        </w:rPr>
        <w:t>。</w:t>
      </w:r>
    </w:p>
    <w:p>
      <w:pPr>
        <w:widowControl/>
        <w:spacing w:line="420" w:lineRule="atLeast"/>
        <w:ind w:firstLine="480"/>
        <w:rPr>
          <w:rFonts w:ascii="宋体" w:hAnsi="宋体"/>
          <w:sz w:val="24"/>
          <w:szCs w:val="21"/>
        </w:rPr>
      </w:pPr>
      <w:r>
        <w:rPr>
          <w:rFonts w:ascii="宋体" w:hAnsi="宋体"/>
          <w:sz w:val="24"/>
          <w:szCs w:val="21"/>
        </w:rPr>
        <w:t>2</w:t>
      </w:r>
      <w:r>
        <w:rPr>
          <w:rFonts w:hint="eastAsia" w:ascii="宋体" w:hAnsi="宋体"/>
          <w:sz w:val="24"/>
          <w:szCs w:val="21"/>
        </w:rPr>
        <w:t>．</w:t>
      </w:r>
      <w:r>
        <w:rPr>
          <w:rFonts w:ascii="宋体" w:hAnsi="宋体"/>
          <w:sz w:val="24"/>
          <w:szCs w:val="21"/>
        </w:rPr>
        <w:t>在招标文件对技术要求中，投标人必须充分应答和满足用户的强制性的需求，如“★”等，否则将导致废标。</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二、投标文件的组成</w:t>
      </w:r>
    </w:p>
    <w:p>
      <w:pPr>
        <w:widowControl/>
        <w:spacing w:line="420" w:lineRule="atLeast"/>
        <w:ind w:firstLine="480"/>
        <w:rPr>
          <w:rFonts w:ascii="宋体" w:hAnsi="宋体" w:cs="宋体"/>
          <w:b/>
          <w:bCs/>
          <w:kern w:val="0"/>
          <w:sz w:val="24"/>
          <w:szCs w:val="24"/>
        </w:rPr>
      </w:pPr>
      <w:r>
        <w:rPr>
          <w:rFonts w:hint="eastAsia" w:ascii="宋体" w:hAnsi="宋体" w:cs="宋体"/>
          <w:b/>
          <w:bCs/>
          <w:kern w:val="0"/>
          <w:sz w:val="24"/>
          <w:szCs w:val="24"/>
        </w:rPr>
        <w:t>递交的投标文件应分为技术标和商务标，技术标为除商务报价外的所有内容，且技术标和商务标分开制作，并单独密封包装。</w:t>
      </w:r>
      <w:r>
        <w:rPr>
          <w:rFonts w:ascii="宋体" w:hAnsi="宋体" w:cs="宋体"/>
          <w:b/>
          <w:bCs/>
          <w:color w:val="FF0000"/>
          <w:kern w:val="0"/>
          <w:sz w:val="24"/>
          <w:szCs w:val="24"/>
        </w:rPr>
        <w:t>技术标（含资信与服务）不得含商务报价，否则作无效标处理。</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技术标：</w:t>
      </w:r>
    </w:p>
    <w:p>
      <w:pPr>
        <w:pStyle w:val="2"/>
        <w:spacing w:line="460" w:lineRule="exact"/>
        <w:ind w:firstLine="480" w:firstLineChars="200"/>
        <w:rPr>
          <w:rFonts w:hAnsi="宋体" w:cs="宋体"/>
          <w:kern w:val="0"/>
          <w:sz w:val="24"/>
          <w:szCs w:val="24"/>
        </w:rPr>
      </w:pPr>
      <w:r>
        <w:rPr>
          <w:rFonts w:hint="eastAsia" w:hAnsi="宋体" w:cs="宋体"/>
          <w:kern w:val="0"/>
          <w:sz w:val="24"/>
          <w:szCs w:val="24"/>
        </w:rPr>
        <w:t>应包括下列内容（包含但不仅限于以下）并应按顺序装订成册(复印件需加盖单位公章，提供的所有证书应在有效期内)</w:t>
      </w:r>
    </w:p>
    <w:p>
      <w:pPr>
        <w:pStyle w:val="2"/>
        <w:spacing w:line="460" w:lineRule="exact"/>
        <w:ind w:firstLine="480" w:firstLineChars="200"/>
        <w:rPr>
          <w:rFonts w:hAnsi="宋体" w:cs="宋体"/>
          <w:kern w:val="0"/>
          <w:sz w:val="24"/>
          <w:szCs w:val="24"/>
        </w:rPr>
      </w:pPr>
      <w:r>
        <w:rPr>
          <w:rFonts w:hint="eastAsia" w:hAnsi="宋体" w:cs="宋体"/>
          <w:kern w:val="0"/>
          <w:sz w:val="24"/>
          <w:szCs w:val="24"/>
        </w:rPr>
        <w:t>（1）营业执照副本（复印件加盖公章）；组织机构代码证副本（复印件加盖公章）、税务登记证副本（复印件加盖公章）；</w:t>
      </w:r>
    </w:p>
    <w:p>
      <w:pPr>
        <w:pStyle w:val="2"/>
        <w:spacing w:line="460" w:lineRule="exact"/>
        <w:ind w:firstLine="480" w:firstLineChars="200"/>
        <w:rPr>
          <w:rFonts w:hAnsi="宋体" w:cs="宋体"/>
          <w:kern w:val="0"/>
          <w:sz w:val="24"/>
          <w:szCs w:val="24"/>
        </w:rPr>
      </w:pPr>
      <w:r>
        <w:rPr>
          <w:rFonts w:hint="eastAsia" w:hAnsi="宋体" w:cs="宋体"/>
          <w:kern w:val="0"/>
          <w:sz w:val="24"/>
          <w:szCs w:val="24"/>
        </w:rPr>
        <w:t>（2）法人资格证明或法人代表授权书；</w:t>
      </w:r>
    </w:p>
    <w:p>
      <w:pPr>
        <w:pStyle w:val="2"/>
        <w:spacing w:line="460" w:lineRule="exact"/>
        <w:ind w:firstLine="480" w:firstLineChars="200"/>
        <w:rPr>
          <w:rFonts w:hAnsi="宋体" w:cs="宋体"/>
          <w:kern w:val="0"/>
          <w:sz w:val="24"/>
          <w:szCs w:val="24"/>
        </w:rPr>
      </w:pPr>
      <w:r>
        <w:rPr>
          <w:rFonts w:hint="eastAsia" w:hAnsi="宋体" w:cs="宋体"/>
          <w:kern w:val="0"/>
          <w:sz w:val="24"/>
          <w:szCs w:val="24"/>
        </w:rPr>
        <w:t>（3）法定代表人或授权代表的身份证（复印件）；</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（4）售后服务的及时性等保证措施。</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）对本次采购货物及供货服务的具体方案，包括供货方案、服务团队、常驻联系人等；</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）产品质量保证措施、产品的质量保证承诺；</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）售前、售后服务内容和服务承诺。</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8</w:t>
      </w:r>
      <w:r>
        <w:rPr>
          <w:rFonts w:hint="eastAsia" w:ascii="宋体" w:hAnsi="宋体" w:cs="宋体"/>
          <w:kern w:val="0"/>
          <w:sz w:val="24"/>
          <w:szCs w:val="24"/>
        </w:rPr>
        <w:t>）投标人能够给予招标人的其他优惠条件；</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9</w:t>
      </w:r>
      <w:r>
        <w:rPr>
          <w:rFonts w:hint="eastAsia" w:ascii="宋体" w:hAnsi="宋体" w:cs="宋体"/>
          <w:kern w:val="0"/>
          <w:sz w:val="24"/>
          <w:szCs w:val="24"/>
        </w:rPr>
        <w:t>）其他投标人认为应该提交给招标人的资料（如业绩）；</w:t>
      </w:r>
    </w:p>
    <w:p>
      <w:pPr>
        <w:widowControl/>
        <w:spacing w:line="420" w:lineRule="atLeast"/>
        <w:ind w:left="48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10</w:t>
      </w:r>
      <w:r>
        <w:rPr>
          <w:rFonts w:hint="eastAsia" w:ascii="宋体" w:hAnsi="宋体" w:cs="宋体"/>
          <w:kern w:val="0"/>
          <w:sz w:val="24"/>
          <w:szCs w:val="24"/>
        </w:rPr>
        <w:t>）各种能体现投标人实力的响应内容或有利于招标人的各种承诺等；</w:t>
      </w:r>
    </w:p>
    <w:p>
      <w:pPr>
        <w:widowControl/>
        <w:spacing w:line="420" w:lineRule="atLeast"/>
        <w:ind w:firstLine="480"/>
        <w:rPr>
          <w:rFonts w:hint="eastAsia" w:ascii="宋体" w:hAnsi="宋体" w:cs="宋体"/>
          <w:b/>
          <w:bCs/>
          <w:color w:val="FF0000"/>
          <w:kern w:val="0"/>
          <w:sz w:val="24"/>
          <w:szCs w:val="24"/>
        </w:rPr>
      </w:pPr>
      <w:r>
        <w:rPr>
          <w:rFonts w:hint="eastAsia" w:ascii="宋体" w:hAnsi="宋体" w:cs="宋体"/>
          <w:b/>
          <w:bCs/>
          <w:color w:val="FF0000"/>
          <w:kern w:val="0"/>
          <w:sz w:val="24"/>
          <w:szCs w:val="24"/>
        </w:rPr>
        <w:t>★</w:t>
      </w:r>
      <w:r>
        <w:rPr>
          <w:rFonts w:hint="eastAsia" w:ascii="宋体" w:hAnsi="宋体" w:cs="宋体"/>
          <w:b/>
          <w:bCs/>
          <w:color w:val="FF0000"/>
          <w:kern w:val="0"/>
          <w:sz w:val="24"/>
          <w:szCs w:val="24"/>
          <w:lang w:eastAsia="zh-CN"/>
        </w:rPr>
        <w:t>（</w:t>
      </w:r>
      <w:r>
        <w:rPr>
          <w:rFonts w:hint="eastAsia" w:ascii="宋体" w:hAnsi="宋体" w:cs="宋体"/>
          <w:b/>
          <w:bCs/>
          <w:color w:val="FF0000"/>
          <w:kern w:val="0"/>
          <w:sz w:val="24"/>
          <w:szCs w:val="24"/>
          <w:lang w:val="en-US" w:eastAsia="zh-CN"/>
        </w:rPr>
        <w:t>11</w:t>
      </w:r>
      <w:r>
        <w:rPr>
          <w:rFonts w:hint="eastAsia" w:ascii="宋体" w:hAnsi="宋体" w:cs="宋体"/>
          <w:b/>
          <w:bCs/>
          <w:color w:val="FF0000"/>
          <w:kern w:val="0"/>
          <w:sz w:val="24"/>
          <w:szCs w:val="24"/>
          <w:lang w:eastAsia="zh-CN"/>
        </w:rPr>
        <w:t>）</w:t>
      </w:r>
      <w:r>
        <w:rPr>
          <w:rFonts w:hint="eastAsia" w:ascii="宋体" w:hAnsi="宋体" w:cs="宋体"/>
          <w:b/>
          <w:bCs/>
          <w:color w:val="FF0000"/>
          <w:kern w:val="0"/>
          <w:sz w:val="24"/>
          <w:szCs w:val="24"/>
        </w:rPr>
        <w:t>投标产品需与招标单位已有停车</w:t>
      </w:r>
      <w:r>
        <w:rPr>
          <w:rFonts w:hint="eastAsia" w:ascii="宋体" w:hAnsi="宋体" w:cs="宋体"/>
          <w:b/>
          <w:bCs/>
          <w:color w:val="FF0000"/>
          <w:kern w:val="0"/>
          <w:sz w:val="24"/>
          <w:szCs w:val="24"/>
          <w:lang w:val="en-US" w:eastAsia="zh-CN"/>
        </w:rPr>
        <w:t>管理</w:t>
      </w:r>
      <w:r>
        <w:rPr>
          <w:rFonts w:hint="eastAsia" w:ascii="宋体" w:hAnsi="宋体" w:cs="宋体"/>
          <w:b/>
          <w:bCs/>
          <w:color w:val="FF0000"/>
          <w:kern w:val="0"/>
          <w:sz w:val="24"/>
          <w:szCs w:val="24"/>
        </w:rPr>
        <w:t>系统无缝对接，提供无缝对接承诺书并加盖</w:t>
      </w:r>
      <w:r>
        <w:rPr>
          <w:rFonts w:hint="eastAsia" w:ascii="宋体" w:hAnsi="宋体" w:cs="宋体"/>
          <w:b/>
          <w:bCs/>
          <w:color w:val="FF0000"/>
          <w:kern w:val="0"/>
          <w:sz w:val="24"/>
          <w:szCs w:val="24"/>
          <w:lang w:val="en-US" w:eastAsia="zh-CN"/>
        </w:rPr>
        <w:t>投标单位公章</w:t>
      </w:r>
      <w:r>
        <w:rPr>
          <w:rFonts w:hint="eastAsia" w:ascii="宋体" w:hAnsi="宋体" w:cs="宋体"/>
          <w:b/>
          <w:bCs/>
          <w:color w:val="FF0000"/>
          <w:kern w:val="0"/>
          <w:sz w:val="24"/>
          <w:szCs w:val="24"/>
        </w:rPr>
        <w:t>。</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商务标：</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（1）投标函（附件三）</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w:t>
      </w:r>
      <w:r>
        <w:rPr>
          <w:rFonts w:hint="eastAsia" w:ascii="宋体" w:hAnsi="宋体" w:cs="宋体"/>
          <w:color w:val="FF0000"/>
          <w:kern w:val="0"/>
          <w:sz w:val="24"/>
          <w:szCs w:val="24"/>
        </w:rPr>
        <w:t>报价一览表（附件五）</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FF0000"/>
          <w:kern w:val="0"/>
          <w:sz w:val="24"/>
          <w:szCs w:val="24"/>
        </w:rPr>
        <w:t>投标报价明细表（附件六）</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三、投标报价要求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1．投标均以人民币报价。</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kern w:val="0"/>
          <w:sz w:val="24"/>
          <w:szCs w:val="24"/>
        </w:rPr>
        <w:t>。</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投标文件报价出现前后不一致的，按照下列规定修正：</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大写金额和小写金额不一致的，以大写金额为准；</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单价金额小数点或者百分比有明显错位的，以开标一览表的总价为准，并修改单价；</w:t>
      </w:r>
    </w:p>
    <w:p>
      <w:pPr>
        <w:snapToGrid w:val="0"/>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总价金额与按单价汇总金额不一致的，以单价金额计算结果为准。</w:t>
      </w:r>
    </w:p>
    <w:p>
      <w:pPr>
        <w:pStyle w:val="2"/>
        <w:spacing w:line="420" w:lineRule="atLeast"/>
        <w:ind w:firstLine="480" w:firstLineChars="200"/>
        <w:rPr>
          <w:rFonts w:hAnsi="宋体" w:cs="宋体"/>
          <w:kern w:val="0"/>
          <w:sz w:val="24"/>
          <w:szCs w:val="24"/>
        </w:rPr>
      </w:pPr>
      <w:r>
        <w:rPr>
          <w:rFonts w:hAnsi="宋体" w:cs="宋体"/>
          <w:kern w:val="0"/>
          <w:sz w:val="24"/>
          <w:szCs w:val="24"/>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4．</w:t>
      </w:r>
      <w:r>
        <w:rPr>
          <w:rFonts w:ascii="宋体" w:hAnsi="宋体" w:cs="宋体"/>
          <w:kern w:val="0"/>
          <w:sz w:val="24"/>
          <w:szCs w:val="24"/>
        </w:rPr>
        <w:t>中标后，</w:t>
      </w:r>
      <w:r>
        <w:rPr>
          <w:rFonts w:ascii="宋体" w:hAnsi="宋体" w:cs="宋体"/>
          <w:b/>
          <w:kern w:val="0"/>
          <w:sz w:val="24"/>
          <w:szCs w:val="24"/>
        </w:rPr>
        <w:t>中标人所填写的单价在合同实施期间不因市场变化因素而变动</w:t>
      </w:r>
      <w:r>
        <w:rPr>
          <w:rFonts w:ascii="宋体" w:hAnsi="宋体" w:cs="宋体"/>
          <w:kern w:val="0"/>
          <w:sz w:val="24"/>
          <w:szCs w:val="24"/>
        </w:rPr>
        <w:t>；投标人在计算报价时应考虑一定的风险系数。</w:t>
      </w:r>
    </w:p>
    <w:p>
      <w:pPr>
        <w:spacing w:line="420" w:lineRule="atLeast"/>
        <w:ind w:firstLine="480" w:firstLineChars="200"/>
        <w:rPr>
          <w:rFonts w:ascii="宋体" w:hAnsi="宋体" w:cs="宋体"/>
          <w:kern w:val="0"/>
          <w:sz w:val="24"/>
          <w:szCs w:val="24"/>
        </w:rPr>
      </w:pPr>
      <w:r>
        <w:rPr>
          <w:rFonts w:hint="eastAsia" w:ascii="宋体" w:hAnsi="宋体" w:cs="宋体"/>
          <w:kern w:val="0"/>
          <w:sz w:val="24"/>
          <w:szCs w:val="24"/>
        </w:rPr>
        <w:t>5．</w:t>
      </w:r>
      <w:r>
        <w:rPr>
          <w:rFonts w:ascii="宋体" w:hAnsi="宋体" w:cs="宋体"/>
          <w:kern w:val="0"/>
          <w:sz w:val="24"/>
          <w:szCs w:val="24"/>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四、投标文件制作要求</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1．投标文件正本必须用不退色的墨水填写或打印，幅面规格A4并装订成册，副本可用复印件。</w:t>
      </w:r>
      <w:r>
        <w:rPr>
          <w:rFonts w:hint="eastAsia" w:ascii="宋体" w:hAnsi="宋体" w:cs="宋体"/>
          <w:color w:val="FF0000"/>
          <w:kern w:val="0"/>
          <w:sz w:val="24"/>
          <w:szCs w:val="24"/>
        </w:rPr>
        <w:t>投标文件须一式</w:t>
      </w:r>
      <w:r>
        <w:rPr>
          <w:rFonts w:ascii="宋体" w:hAnsi="宋体" w:cs="宋体"/>
          <w:color w:val="FF0000"/>
          <w:kern w:val="0"/>
          <w:sz w:val="24"/>
          <w:szCs w:val="24"/>
        </w:rPr>
        <w:t>2</w:t>
      </w:r>
      <w:r>
        <w:rPr>
          <w:rFonts w:hint="eastAsia" w:ascii="宋体" w:hAnsi="宋体" w:cs="宋体"/>
          <w:color w:val="FF0000"/>
          <w:kern w:val="0"/>
          <w:sz w:val="24"/>
          <w:szCs w:val="24"/>
        </w:rPr>
        <w:t>份（正本1份，副本</w:t>
      </w:r>
      <w:r>
        <w:rPr>
          <w:rFonts w:ascii="宋体" w:hAnsi="宋体" w:cs="宋体"/>
          <w:color w:val="FF0000"/>
          <w:kern w:val="0"/>
          <w:sz w:val="24"/>
          <w:szCs w:val="24"/>
        </w:rPr>
        <w:t>1</w:t>
      </w:r>
      <w:r>
        <w:rPr>
          <w:rFonts w:hint="eastAsia" w:ascii="宋体" w:hAnsi="宋体" w:cs="宋体"/>
          <w:color w:val="FF0000"/>
          <w:kern w:val="0"/>
          <w:sz w:val="24"/>
          <w:szCs w:val="24"/>
        </w:rPr>
        <w:t>份）</w:t>
      </w:r>
      <w:r>
        <w:rPr>
          <w:rFonts w:hint="eastAsia" w:ascii="宋体" w:hAnsi="宋体" w:cs="宋体"/>
          <w:kern w:val="0"/>
          <w:sz w:val="24"/>
          <w:szCs w:val="24"/>
        </w:rPr>
        <w:t>，分别加盖“正本”“副本”印章。正本与副本如有差别，以正本为准，责任由投标人自负。</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3．投标文件封面应标明“正本”或“副本”字样。</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4．</w:t>
      </w:r>
      <w:r>
        <w:rPr>
          <w:rFonts w:hint="eastAsia" w:ascii="宋体" w:hAnsi="宋体" w:cs="宋体"/>
          <w:b/>
          <w:bCs/>
          <w:color w:val="FF0000"/>
          <w:kern w:val="0"/>
          <w:sz w:val="24"/>
          <w:szCs w:val="24"/>
        </w:rPr>
        <w:t>技术标和商务标分开制作并单独密封包装</w:t>
      </w:r>
      <w:r>
        <w:rPr>
          <w:rFonts w:hint="eastAsia" w:ascii="宋体" w:hAnsi="宋体" w:cs="宋体"/>
          <w:b/>
          <w:bCs/>
          <w:kern w:val="0"/>
          <w:sz w:val="24"/>
          <w:szCs w:val="24"/>
        </w:rPr>
        <w:t>，全部投标文件应装入同一密封袋内，封口处应有投标人法定代表人或其授权代表签字并加盖投标单位公章；封面注明招标项目名称和编号，投标人的名称、地址、邮编、传真、联系电话、联系人。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kern w:val="0"/>
          <w:sz w:val="24"/>
          <w:szCs w:val="24"/>
        </w:rPr>
      </w:pPr>
      <w:r>
        <w:rPr>
          <w:rFonts w:hint="eastAsia" w:ascii="宋体" w:hAnsi="宋体" w:cs="宋体"/>
          <w:b/>
          <w:kern w:val="0"/>
          <w:sz w:val="24"/>
          <w:szCs w:val="24"/>
        </w:rPr>
        <w:t xml:space="preserve">    五 、投标文件的送达时间 </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1．开标地点即为投标文件的递交地点，招标人在投标截止时间前一小时内接收投标文件。</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2．投标截止时间即为开标时间，招标方将拒绝在投标截止时间后收到的投标文件。</w:t>
      </w:r>
    </w:p>
    <w:p>
      <w:pPr>
        <w:widowControl/>
        <w:spacing w:line="420" w:lineRule="atLeast"/>
        <w:ind w:firstLine="480"/>
        <w:rPr>
          <w:rFonts w:ascii="宋体" w:hAnsi="宋体" w:cs="宋体"/>
          <w:b/>
          <w:kern w:val="0"/>
          <w:sz w:val="24"/>
          <w:szCs w:val="24"/>
        </w:rPr>
      </w:pPr>
      <w:r>
        <w:rPr>
          <w:rFonts w:hint="eastAsia" w:ascii="宋体" w:hAnsi="宋体" w:cs="宋体"/>
          <w:b/>
          <w:kern w:val="0"/>
          <w:sz w:val="24"/>
          <w:szCs w:val="24"/>
        </w:rPr>
        <w:t>六、投标单位有下列情况之一的，</w:t>
      </w:r>
      <w:r>
        <w:rPr>
          <w:rFonts w:hint="eastAsia" w:ascii="宋体" w:hAnsi="宋体" w:cs="宋体"/>
          <w:b/>
          <w:kern w:val="0"/>
          <w:sz w:val="24"/>
          <w:szCs w:val="24"/>
          <w:lang w:val="en-GB"/>
        </w:rPr>
        <w:t>其投标将可能被拒绝或作无效投标处理：</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1、未在规定时间内将投标书送达规定地点的。</w:t>
      </w:r>
    </w:p>
    <w:p>
      <w:pPr>
        <w:widowControl/>
        <w:spacing w:line="420" w:lineRule="atLeast"/>
        <w:ind w:firstLine="480"/>
        <w:rPr>
          <w:sz w:val="24"/>
        </w:rPr>
      </w:pPr>
      <w:r>
        <w:rPr>
          <w:rFonts w:ascii="宋体" w:hAnsi="宋体" w:cs="宋体"/>
          <w:kern w:val="0"/>
          <w:sz w:val="24"/>
          <w:szCs w:val="24"/>
        </w:rPr>
        <w:t>2</w:t>
      </w:r>
      <w:r>
        <w:rPr>
          <w:rFonts w:hint="eastAsia" w:ascii="宋体" w:hAnsi="宋体" w:cs="宋体"/>
          <w:kern w:val="0"/>
          <w:sz w:val="24"/>
          <w:szCs w:val="24"/>
        </w:rPr>
        <w:t>、</w:t>
      </w:r>
      <w:r>
        <w:rPr>
          <w:sz w:val="24"/>
        </w:rPr>
        <w:t>投标文件未按规定密封的</w:t>
      </w:r>
      <w:r>
        <w:rPr>
          <w:rFonts w:hint="eastAsia"/>
          <w:sz w:val="24"/>
        </w:rPr>
        <w:t>。</w:t>
      </w:r>
    </w:p>
    <w:p>
      <w:pPr>
        <w:widowControl/>
        <w:spacing w:line="420" w:lineRule="atLeast"/>
        <w:ind w:firstLine="480"/>
        <w:rPr>
          <w:sz w:val="24"/>
        </w:rPr>
      </w:pPr>
      <w:r>
        <w:rPr>
          <w:rFonts w:hint="eastAsia"/>
          <w:sz w:val="24"/>
        </w:rPr>
        <w:t>3、</w:t>
      </w:r>
      <w:r>
        <w:rPr>
          <w:sz w:val="24"/>
        </w:rPr>
        <w:t>投标报价高于预算价或最高限价的</w:t>
      </w:r>
      <w:r>
        <w:rPr>
          <w:rFonts w:hint="eastAsia"/>
          <w:sz w:val="24"/>
        </w:rPr>
        <w:t>。</w:t>
      </w:r>
    </w:p>
    <w:p>
      <w:pPr>
        <w:widowControl/>
        <w:spacing w:line="420" w:lineRule="atLeast"/>
        <w:ind w:firstLine="480"/>
        <w:rPr>
          <w:rFonts w:ascii="宋体" w:hAnsi="宋体" w:cs="宋体"/>
          <w:b/>
          <w:color w:val="FF0000"/>
          <w:kern w:val="0"/>
          <w:sz w:val="24"/>
          <w:szCs w:val="24"/>
        </w:rPr>
      </w:pPr>
      <w:r>
        <w:rPr>
          <w:rFonts w:ascii="宋体" w:hAnsi="宋体" w:cs="宋体"/>
          <w:b/>
          <w:color w:val="FF0000"/>
          <w:kern w:val="0"/>
          <w:sz w:val="24"/>
          <w:szCs w:val="24"/>
        </w:rPr>
        <w:t>4</w:t>
      </w:r>
      <w:r>
        <w:rPr>
          <w:rFonts w:hint="eastAsia" w:ascii="宋体" w:hAnsi="宋体" w:cs="宋体"/>
          <w:b/>
          <w:color w:val="FF0000"/>
          <w:kern w:val="0"/>
          <w:sz w:val="24"/>
          <w:szCs w:val="24"/>
        </w:rPr>
        <w:t>、投标书未按规定密封或未按要求加盖公章或投标文件签署不符合要求的。</w:t>
      </w:r>
    </w:p>
    <w:p>
      <w:pPr>
        <w:widowControl/>
        <w:spacing w:line="420" w:lineRule="atLeast"/>
        <w:ind w:firstLine="480"/>
        <w:rPr>
          <w:rFonts w:ascii="宋体" w:hAnsi="宋体" w:cs="宋体"/>
          <w:b/>
          <w:color w:val="FF0000"/>
          <w:kern w:val="0"/>
          <w:sz w:val="24"/>
          <w:szCs w:val="24"/>
        </w:rPr>
      </w:pPr>
      <w:r>
        <w:rPr>
          <w:rFonts w:ascii="宋体" w:hAnsi="宋体" w:cs="宋体"/>
          <w:b/>
          <w:color w:val="FF0000"/>
          <w:kern w:val="0"/>
          <w:sz w:val="24"/>
          <w:szCs w:val="24"/>
        </w:rPr>
        <w:t>5</w:t>
      </w:r>
      <w:r>
        <w:rPr>
          <w:rFonts w:hint="eastAsia" w:ascii="宋体" w:hAnsi="宋体" w:cs="宋体"/>
          <w:b/>
          <w:color w:val="FF0000"/>
          <w:kern w:val="0"/>
          <w:sz w:val="24"/>
          <w:szCs w:val="24"/>
        </w:rPr>
        <w:t>、投标文件无法人代表签字或签字无法人代表有效委托的。</w:t>
      </w:r>
    </w:p>
    <w:p>
      <w:pPr>
        <w:widowControl/>
        <w:spacing w:line="420" w:lineRule="atLeast"/>
        <w:ind w:firstLine="480"/>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eastAsia="新宋体"/>
          <w:sz w:val="24"/>
        </w:rPr>
        <w:t>投标人的投标资格不符合招标文件的资格要求规定</w:t>
      </w:r>
      <w:r>
        <w:rPr>
          <w:kern w:val="0"/>
          <w:sz w:val="24"/>
        </w:rPr>
        <w:t>；未按招标文件规定提供相关文件，如资格说明、身份申明等；超出经营范围投标的</w:t>
      </w:r>
      <w:r>
        <w:rPr>
          <w:rFonts w:hint="eastAsia"/>
          <w:kern w:val="0"/>
          <w:sz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sz w:val="24"/>
        </w:rPr>
        <w:t>投标方的所投产品的数量不符合招标文件规定的</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kern w:val="0"/>
          <w:sz w:val="24"/>
          <w:szCs w:val="24"/>
        </w:rPr>
      </w:pPr>
      <w:r>
        <w:rPr>
          <w:rFonts w:ascii="宋体" w:hAnsi="宋体" w:cs="宋体"/>
          <w:kern w:val="0"/>
          <w:sz w:val="24"/>
          <w:szCs w:val="24"/>
        </w:rPr>
        <w:t>9</w:t>
      </w:r>
      <w:r>
        <w:rPr>
          <w:rFonts w:hint="eastAsia" w:ascii="宋体" w:hAnsi="宋体" w:cs="宋体"/>
          <w:kern w:val="0"/>
          <w:sz w:val="24"/>
          <w:szCs w:val="24"/>
        </w:rPr>
        <w:t>、</w:t>
      </w:r>
      <w:r>
        <w:rPr>
          <w:kern w:val="0"/>
          <w:sz w:val="24"/>
        </w:rPr>
        <w:t>投标文件不符合招标文件规定，未按规定格式填写的；或投标文件内容不全或关键字迹模糊、无法辨认的；或投标文件内容自相矛盾的</w:t>
      </w:r>
      <w:r>
        <w:rPr>
          <w:rFonts w:hint="eastAsia"/>
          <w:kern w:val="0"/>
          <w:sz w:val="24"/>
        </w:rPr>
        <w:t>。</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0</w:t>
      </w:r>
      <w:r>
        <w:rPr>
          <w:rFonts w:hint="eastAsia" w:ascii="宋体" w:hAnsi="宋体" w:cs="宋体"/>
          <w:kern w:val="0"/>
          <w:sz w:val="24"/>
          <w:szCs w:val="24"/>
        </w:rPr>
        <w:t>、投标文件中提供伪造、虚假材料的。</w:t>
      </w:r>
    </w:p>
    <w:p>
      <w:pPr>
        <w:widowControl/>
        <w:spacing w:line="420" w:lineRule="atLeast"/>
        <w:ind w:firstLine="480"/>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r>
        <w:rPr>
          <w:rFonts w:hint="eastAsia" w:ascii="宋体" w:hAnsi="宋体" w:cs="宋体"/>
          <w:kern w:val="0"/>
          <w:sz w:val="24"/>
          <w:szCs w:val="24"/>
        </w:rPr>
        <w:t>、</w:t>
      </w:r>
      <w:r>
        <w:rPr>
          <w:kern w:val="0"/>
          <w:sz w:val="24"/>
        </w:rPr>
        <w:t>借用或冒用他人名义或证件、涂改文件、伪造或编造投标文件的</w:t>
      </w:r>
      <w:r>
        <w:rPr>
          <w:rFonts w:hint="eastAsia"/>
          <w:kern w:val="0"/>
          <w:sz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12</w:t>
      </w:r>
      <w:r>
        <w:rPr>
          <w:rFonts w:hint="eastAsia" w:ascii="宋体" w:hAnsi="宋体" w:cs="宋体"/>
          <w:kern w:val="0"/>
          <w:sz w:val="24"/>
          <w:szCs w:val="24"/>
        </w:rPr>
        <w:t>、</w:t>
      </w:r>
      <w:r>
        <w:rPr>
          <w:rFonts w:ascii="宋体" w:hAnsi="宋体" w:cs="宋体"/>
          <w:kern w:val="0"/>
          <w:sz w:val="24"/>
          <w:szCs w:val="24"/>
        </w:rPr>
        <w:t>对本招标文件中打★号的条款未完全响应的</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13</w:t>
      </w:r>
      <w:r>
        <w:rPr>
          <w:rFonts w:hint="eastAsia" w:ascii="宋体" w:hAnsi="宋体" w:cs="宋体"/>
          <w:kern w:val="0"/>
          <w:sz w:val="24"/>
          <w:szCs w:val="24"/>
        </w:rPr>
        <w:t>、</w:t>
      </w:r>
      <w:r>
        <w:rPr>
          <w:rFonts w:ascii="宋体" w:hAnsi="宋体" w:cs="宋体"/>
          <w:kern w:val="0"/>
          <w:sz w:val="24"/>
          <w:szCs w:val="24"/>
        </w:rPr>
        <w:t>投标文件附有采购人不能接受的条件</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14</w:t>
      </w:r>
      <w:r>
        <w:rPr>
          <w:rFonts w:hint="eastAsia" w:ascii="宋体" w:hAnsi="宋体" w:cs="宋体"/>
          <w:kern w:val="0"/>
          <w:sz w:val="24"/>
          <w:szCs w:val="24"/>
        </w:rPr>
        <w:t>、</w:t>
      </w:r>
      <w:r>
        <w:rPr>
          <w:rFonts w:ascii="宋体" w:hAnsi="宋体" w:cs="宋体"/>
          <w:kern w:val="0"/>
          <w:sz w:val="24"/>
          <w:szCs w:val="24"/>
        </w:rPr>
        <w:t>技术标中体现或包含商务报价。</w:t>
      </w:r>
    </w:p>
    <w:p>
      <w:pPr>
        <w:widowControl/>
        <w:spacing w:line="420" w:lineRule="atLeast"/>
        <w:ind w:firstLine="480"/>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w:t>
      </w:r>
      <w:r>
        <w:rPr>
          <w:rFonts w:ascii="宋体" w:hAnsi="宋体" w:cs="宋体"/>
          <w:kern w:val="0"/>
          <w:sz w:val="24"/>
          <w:szCs w:val="24"/>
        </w:rPr>
        <w:t>若发现有意串标或提供虚假说明材料者</w:t>
      </w:r>
      <w:r>
        <w:rPr>
          <w:rFonts w:hint="eastAsia" w:ascii="宋体" w:hAnsi="宋体" w:cs="宋体"/>
          <w:kern w:val="0"/>
          <w:sz w:val="24"/>
          <w:szCs w:val="24"/>
        </w:rPr>
        <w:t>。</w:t>
      </w:r>
    </w:p>
    <w:p>
      <w:pPr>
        <w:widowControl/>
        <w:spacing w:line="420" w:lineRule="atLeast"/>
        <w:ind w:firstLine="480"/>
        <w:rPr>
          <w:rFonts w:ascii="宋体" w:hAnsi="宋体" w:cs="宋体"/>
          <w:kern w:val="0"/>
          <w:sz w:val="24"/>
          <w:szCs w:val="24"/>
        </w:rPr>
      </w:pPr>
      <w:r>
        <w:rPr>
          <w:rFonts w:ascii="宋体" w:hAnsi="宋体" w:cs="宋体"/>
          <w:kern w:val="0"/>
          <w:sz w:val="24"/>
          <w:szCs w:val="24"/>
        </w:rPr>
        <w:t>16</w:t>
      </w:r>
      <w:r>
        <w:rPr>
          <w:rFonts w:hint="eastAsia" w:ascii="宋体" w:hAnsi="宋体" w:cs="宋体"/>
          <w:kern w:val="0"/>
          <w:sz w:val="24"/>
          <w:szCs w:val="24"/>
        </w:rPr>
        <w:t>、</w:t>
      </w:r>
      <w:r>
        <w:rPr>
          <w:rFonts w:ascii="宋体" w:hAnsi="宋体" w:cs="宋体"/>
          <w:kern w:val="0"/>
          <w:sz w:val="24"/>
          <w:szCs w:val="24"/>
        </w:rPr>
        <w:t>评标小组认为技术或商务与招标文件偏离的部分过多，或在实质上不响应招标文件的</w:t>
      </w:r>
      <w:r>
        <w:rPr>
          <w:rFonts w:hint="eastAsia" w:ascii="宋体" w:hAnsi="宋体" w:cs="宋体"/>
          <w:kern w:val="0"/>
          <w:sz w:val="24"/>
          <w:szCs w:val="24"/>
        </w:rPr>
        <w:t>。</w:t>
      </w:r>
    </w:p>
    <w:p>
      <w:pPr>
        <w:widowControl/>
        <w:spacing w:line="420" w:lineRule="atLeast"/>
        <w:ind w:firstLine="480"/>
        <w:rPr>
          <w:rFonts w:ascii="宋体" w:hAnsi="宋体"/>
          <w:sz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hint="eastAsia"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widowControl/>
        <w:spacing w:line="420" w:lineRule="atLeast"/>
        <w:rPr>
          <w:rFonts w:ascii="宋体" w:hAnsi="宋体" w:cs="宋体"/>
          <w:color w:val="555555"/>
          <w:kern w:val="0"/>
          <w:sz w:val="24"/>
          <w:szCs w:val="24"/>
        </w:rPr>
      </w:pPr>
    </w:p>
    <w:p>
      <w:pPr>
        <w:spacing w:line="360" w:lineRule="auto"/>
        <w:jc w:val="center"/>
        <w:rPr>
          <w:rFonts w:ascii="宋体" w:hAnsi="宋体"/>
          <w:b/>
          <w:sz w:val="32"/>
          <w:szCs w:val="32"/>
        </w:rPr>
      </w:pPr>
      <w:r>
        <w:rPr>
          <w:rFonts w:hint="eastAsia" w:ascii="宋体" w:hAnsi="宋体"/>
          <w:b/>
          <w:sz w:val="32"/>
          <w:szCs w:val="32"/>
        </w:rPr>
        <w:t>第五章   评标办法</w:t>
      </w:r>
    </w:p>
    <w:p>
      <w:pPr>
        <w:adjustRightInd w:val="0"/>
        <w:snapToGrid w:val="0"/>
        <w:spacing w:line="360" w:lineRule="auto"/>
        <w:ind w:right="17" w:firstLine="480" w:firstLineChars="200"/>
        <w:rPr>
          <w:rFonts w:ascii="宋体" w:hAnsi="宋体"/>
          <w:sz w:val="24"/>
          <w:szCs w:val="24"/>
        </w:rPr>
      </w:pPr>
      <w:r>
        <w:rPr>
          <w:rFonts w:ascii="宋体" w:hAnsi="宋体"/>
          <w:sz w:val="24"/>
          <w:szCs w:val="24"/>
        </w:rPr>
        <w:t>根据《中华人民共和国政府采购法》和《中华人民共和国招标投标法》的有关规定，为更好地做到公开、公平、公正，结合本次招标的特点，特制定本评标办法。评标小组用</w:t>
      </w:r>
      <w:r>
        <w:rPr>
          <w:rFonts w:ascii="宋体" w:hAnsi="宋体"/>
          <w:color w:val="FF0000"/>
          <w:sz w:val="24"/>
          <w:szCs w:val="24"/>
        </w:rPr>
        <w:t>综合评分法</w:t>
      </w:r>
      <w:r>
        <w:rPr>
          <w:rFonts w:ascii="宋体" w:hAnsi="宋体"/>
          <w:sz w:val="24"/>
          <w:szCs w:val="24"/>
        </w:rPr>
        <w:t>对招标项目作出评标结论</w:t>
      </w:r>
      <w:r>
        <w:rPr>
          <w:rFonts w:hint="eastAsia" w:ascii="宋体" w:hAnsi="宋体"/>
          <w:sz w:val="24"/>
          <w:szCs w:val="24"/>
        </w:rPr>
        <w:t>。</w:t>
      </w:r>
    </w:p>
    <w:p>
      <w:pPr>
        <w:pStyle w:val="2"/>
        <w:spacing w:line="360" w:lineRule="auto"/>
        <w:rPr>
          <w:rFonts w:hAnsi="宋体"/>
          <w:b/>
          <w:bCs/>
          <w:sz w:val="24"/>
          <w:szCs w:val="24"/>
        </w:rPr>
      </w:pPr>
      <w:r>
        <w:rPr>
          <w:rFonts w:hint="eastAsia" w:hAnsi="宋体"/>
          <w:b/>
          <w:bCs/>
          <w:sz w:val="24"/>
          <w:szCs w:val="24"/>
        </w:rPr>
        <w:t>一</w:t>
      </w:r>
      <w:r>
        <w:rPr>
          <w:rFonts w:hAnsi="宋体"/>
          <w:b/>
          <w:bCs/>
          <w:sz w:val="24"/>
          <w:szCs w:val="24"/>
        </w:rPr>
        <w:t>、评审办法</w:t>
      </w:r>
    </w:p>
    <w:p>
      <w:pPr>
        <w:adjustRightInd w:val="0"/>
        <w:snapToGrid w:val="0"/>
        <w:spacing w:line="360" w:lineRule="auto"/>
        <w:ind w:firstLine="480" w:firstLineChars="200"/>
        <w:rPr>
          <w:rFonts w:ascii="宋体" w:hAnsi="宋体"/>
          <w:sz w:val="24"/>
          <w:szCs w:val="24"/>
        </w:rPr>
      </w:pPr>
      <w:r>
        <w:rPr>
          <w:rFonts w:ascii="宋体" w:hAnsi="宋体"/>
          <w:sz w:val="24"/>
          <w:szCs w:val="24"/>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sz w:val="24"/>
          <w:szCs w:val="24"/>
        </w:rPr>
      </w:pPr>
      <w:r>
        <w:rPr>
          <w:rFonts w:ascii="宋体" w:hAnsi="宋体"/>
          <w:b/>
          <w:sz w:val="24"/>
          <w:szCs w:val="24"/>
        </w:rPr>
        <w:t>每个投标人最终得分=商务报价分+技术分</w:t>
      </w:r>
    </w:p>
    <w:p>
      <w:pPr>
        <w:adjustRightInd w:val="0"/>
        <w:snapToGrid w:val="0"/>
        <w:spacing w:line="360" w:lineRule="auto"/>
        <w:rPr>
          <w:rFonts w:ascii="宋体" w:hAnsi="宋体"/>
          <w:sz w:val="24"/>
          <w:szCs w:val="24"/>
        </w:rPr>
      </w:pPr>
      <w:r>
        <w:rPr>
          <w:rFonts w:ascii="宋体"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sz w:val="24"/>
          <w:szCs w:val="24"/>
        </w:rPr>
        <w:t>。</w:t>
      </w:r>
    </w:p>
    <w:p>
      <w:pPr>
        <w:adjustRightInd w:val="0"/>
        <w:snapToGrid w:val="0"/>
        <w:spacing w:line="360" w:lineRule="auto"/>
        <w:rPr>
          <w:rFonts w:ascii="宋体" w:hAnsi="宋体"/>
          <w:b/>
          <w:sz w:val="24"/>
          <w:szCs w:val="24"/>
        </w:rPr>
      </w:pPr>
      <w:r>
        <w:rPr>
          <w:rFonts w:hint="eastAsia" w:ascii="宋体" w:hAnsi="宋体"/>
          <w:b/>
          <w:sz w:val="24"/>
          <w:szCs w:val="24"/>
        </w:rPr>
        <w:t>1、技术评审（总分</w:t>
      </w:r>
      <w:r>
        <w:rPr>
          <w:rFonts w:hint="eastAsia" w:ascii="宋体" w:hAnsi="宋体"/>
          <w:b/>
          <w:sz w:val="24"/>
          <w:szCs w:val="24"/>
          <w:highlight w:val="none"/>
          <w:lang w:val="en-US" w:eastAsia="zh-CN"/>
        </w:rPr>
        <w:t>70</w:t>
      </w:r>
      <w:r>
        <w:rPr>
          <w:rFonts w:hint="eastAsia" w:ascii="宋体" w:hAnsi="宋体"/>
          <w:b/>
          <w:sz w:val="24"/>
          <w:szCs w:val="24"/>
          <w:highlight w:val="none"/>
        </w:rPr>
        <w:t>分</w:t>
      </w:r>
      <w:r>
        <w:rPr>
          <w:rFonts w:hint="eastAsia" w:ascii="宋体" w:hAnsi="宋体"/>
          <w:b/>
          <w:sz w:val="24"/>
          <w:szCs w:val="24"/>
        </w:rPr>
        <w:t>）</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由评标专家负责对投标文件的技术部分采用记名方式各自评分。</w:t>
      </w:r>
      <w:r>
        <w:rPr>
          <w:rFonts w:hint="eastAsia" w:ascii="宋体" w:hAnsi="宋体" w:cs="黑体"/>
          <w:sz w:val="24"/>
          <w:szCs w:val="24"/>
        </w:rPr>
        <w:t>投标人的最终技术部分的得分</w:t>
      </w:r>
      <w:r>
        <w:rPr>
          <w:rFonts w:hint="eastAsia" w:ascii="宋体" w:hAnsi="宋体"/>
          <w:sz w:val="24"/>
          <w:szCs w:val="24"/>
        </w:rPr>
        <w:t>为全体评标专家评分的算术平均值。如某一份评分表中某一项评分，超过评分细则所规定的分值范围，则该张打分表无效。</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505"/>
        <w:gridCol w:w="6382"/>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38"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505"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评审内容</w:t>
            </w:r>
          </w:p>
        </w:tc>
        <w:tc>
          <w:tcPr>
            <w:tcW w:w="6382"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评分标准及分数</w:t>
            </w:r>
          </w:p>
        </w:tc>
        <w:tc>
          <w:tcPr>
            <w:tcW w:w="919" w:type="dxa"/>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38" w:type="dxa"/>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1</w:t>
            </w:r>
          </w:p>
        </w:tc>
        <w:tc>
          <w:tcPr>
            <w:tcW w:w="15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同类业绩</w:t>
            </w:r>
          </w:p>
        </w:tc>
        <w:tc>
          <w:tcPr>
            <w:tcW w:w="6382" w:type="dxa"/>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cs="宋体"/>
                <w:color w:val="000000"/>
                <w:kern w:val="0"/>
                <w:szCs w:val="21"/>
              </w:rPr>
              <w:t>投标人</w:t>
            </w:r>
            <w:r>
              <w:rPr>
                <w:color w:val="000000"/>
                <w:kern w:val="0"/>
                <w:szCs w:val="21"/>
              </w:rPr>
              <w:t>2020</w:t>
            </w:r>
            <w:r>
              <w:rPr>
                <w:rFonts w:hint="eastAsia" w:ascii="宋体" w:hAnsi="宋体" w:cs="宋体"/>
                <w:color w:val="000000"/>
                <w:kern w:val="0"/>
                <w:szCs w:val="21"/>
              </w:rPr>
              <w:t>年</w:t>
            </w:r>
            <w:r>
              <w:rPr>
                <w:color w:val="000000"/>
                <w:kern w:val="0"/>
                <w:szCs w:val="21"/>
              </w:rPr>
              <w:t>1</w:t>
            </w:r>
            <w:r>
              <w:rPr>
                <w:rFonts w:hint="eastAsia" w:ascii="宋体" w:hAnsi="宋体" w:cs="宋体"/>
                <w:color w:val="000000"/>
                <w:kern w:val="0"/>
                <w:szCs w:val="21"/>
              </w:rPr>
              <w:t>月</w:t>
            </w:r>
            <w:r>
              <w:rPr>
                <w:color w:val="000000"/>
                <w:kern w:val="0"/>
                <w:szCs w:val="21"/>
              </w:rPr>
              <w:t>1</w:t>
            </w:r>
            <w:r>
              <w:rPr>
                <w:rFonts w:hint="eastAsia" w:ascii="宋体" w:hAnsi="宋体" w:cs="宋体"/>
                <w:color w:val="000000"/>
                <w:kern w:val="0"/>
                <w:szCs w:val="21"/>
              </w:rPr>
              <w:t>日以来（</w:t>
            </w:r>
            <w:r>
              <w:rPr>
                <w:rFonts w:hint="eastAsia" w:ascii="宋体" w:hAnsi="宋体" w:eastAsia="宋体" w:cs="宋体"/>
                <w:color w:val="000000"/>
                <w:kern w:val="0"/>
                <w:szCs w:val="21"/>
              </w:rPr>
              <w:t>以合同签订日期为准）</w:t>
            </w:r>
            <w:r>
              <w:rPr>
                <w:rFonts w:hint="eastAsia" w:ascii="宋体" w:hAnsi="宋体" w:eastAsia="宋体" w:cs="宋体"/>
                <w:color w:val="000000"/>
                <w:kern w:val="0"/>
                <w:szCs w:val="21"/>
                <w:lang w:val="en-US" w:eastAsia="zh-CN"/>
              </w:rPr>
              <w:t>单个金额50万元以上的</w:t>
            </w:r>
            <w:r>
              <w:rPr>
                <w:rFonts w:hint="eastAsia" w:ascii="宋体" w:hAnsi="宋体" w:eastAsia="宋体" w:cs="宋体"/>
                <w:color w:val="000000"/>
                <w:kern w:val="0"/>
                <w:szCs w:val="21"/>
              </w:rPr>
              <w:t>停车管理系统案例得</w:t>
            </w: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分，最高得4.5分。有效业绩以评委判定为准。</w:t>
            </w:r>
          </w:p>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注：</w:t>
            </w:r>
            <w:r>
              <w:rPr>
                <w:rFonts w:hint="eastAsia" w:ascii="宋体" w:hAnsi="宋体" w:cs="宋体"/>
                <w:color w:val="000000"/>
                <w:kern w:val="0"/>
                <w:szCs w:val="21"/>
              </w:rPr>
              <w:t>须提供合同复印件</w:t>
            </w:r>
            <w:r>
              <w:rPr>
                <w:rFonts w:hint="eastAsia" w:ascii="宋体" w:hAnsi="宋体" w:cs="宋体"/>
                <w:color w:val="000000"/>
                <w:kern w:val="0"/>
                <w:szCs w:val="21"/>
                <w:lang w:val="en-US" w:eastAsia="zh-CN"/>
              </w:rPr>
              <w:t>,</w:t>
            </w:r>
            <w:r>
              <w:rPr>
                <w:rFonts w:hint="eastAsia" w:ascii="宋体" w:hAnsi="宋体" w:eastAsia="宋体" w:cs="宋体"/>
                <w:color w:val="000000"/>
                <w:kern w:val="0"/>
                <w:szCs w:val="21"/>
              </w:rPr>
              <w:t>原件备查</w:t>
            </w:r>
            <w:r>
              <w:rPr>
                <w:rFonts w:hint="eastAsia" w:ascii="宋体" w:hAnsi="宋体" w:eastAsia="宋体" w:cs="宋体"/>
                <w:color w:val="000000"/>
                <w:kern w:val="0"/>
                <w:szCs w:val="21"/>
                <w:lang w:val="en-US" w:eastAsia="zh-CN"/>
              </w:rPr>
              <w:t>,</w:t>
            </w:r>
            <w:r>
              <w:rPr>
                <w:rFonts w:hint="eastAsia" w:ascii="宋体" w:hAnsi="宋体" w:cs="宋体"/>
                <w:color w:val="000000"/>
                <w:kern w:val="0"/>
                <w:szCs w:val="21"/>
              </w:rPr>
              <w:t>未提供不得分。</w:t>
            </w:r>
          </w:p>
        </w:tc>
        <w:tc>
          <w:tcPr>
            <w:tcW w:w="919" w:type="dxa"/>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638" w:type="dxa"/>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2</w:t>
            </w:r>
          </w:p>
        </w:tc>
        <w:tc>
          <w:tcPr>
            <w:tcW w:w="15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技术要求</w:t>
            </w:r>
          </w:p>
        </w:tc>
        <w:tc>
          <w:tcPr>
            <w:tcW w:w="6382" w:type="dxa"/>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投标产品总体性能符合招标文件要求的得</w:t>
            </w:r>
            <w:r>
              <w:rPr>
                <w:rFonts w:hint="eastAsia"/>
                <w:color w:val="000000"/>
                <w:kern w:val="0"/>
                <w:szCs w:val="21"/>
                <w:lang w:val="en-US" w:eastAsia="zh-CN"/>
              </w:rPr>
              <w:t>4</w:t>
            </w:r>
            <w:r>
              <w:rPr>
                <w:color w:val="000000"/>
                <w:kern w:val="0"/>
                <w:szCs w:val="21"/>
              </w:rPr>
              <w:t>0</w:t>
            </w:r>
            <w:r>
              <w:rPr>
                <w:rFonts w:hint="eastAsia" w:ascii="宋体" w:hAnsi="宋体" w:cs="宋体"/>
                <w:color w:val="000000"/>
                <w:kern w:val="0"/>
                <w:szCs w:val="21"/>
              </w:rPr>
              <w:t>分，根据投标人投标文件中技术参数的负偏离情况，</w:t>
            </w:r>
            <w:r>
              <w:rPr>
                <w:rFonts w:hint="eastAsia" w:ascii="宋体" w:hAnsi="宋体" w:eastAsia="宋体" w:cs="宋体"/>
                <w:color w:val="000000"/>
                <w:kern w:val="0"/>
                <w:szCs w:val="21"/>
              </w:rPr>
              <w:t>标</w:t>
            </w:r>
            <w:r>
              <w:rPr>
                <w:rFonts w:hint="eastAsia" w:ascii="宋体" w:hAnsi="宋体" w:eastAsia="宋体" w:cs="宋体"/>
                <w:color w:val="000000"/>
                <w:kern w:val="0"/>
                <w:szCs w:val="21"/>
                <w:lang w:val="en-US" w:eastAsia="zh-CN"/>
              </w:rPr>
              <w:t>示“</w:t>
            </w:r>
            <w:r>
              <w:rPr>
                <w:rFonts w:hint="eastAsia" w:ascii="宋体" w:hAnsi="宋体" w:eastAsia="宋体" w:cs="宋体"/>
                <w:color w:val="000000"/>
                <w:kern w:val="0"/>
                <w:szCs w:val="21"/>
              </w:rPr>
              <w:t>★</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项</w:t>
            </w:r>
            <w:r>
              <w:rPr>
                <w:rFonts w:hint="eastAsia" w:ascii="宋体" w:hAnsi="宋体" w:eastAsia="宋体" w:cs="宋体"/>
                <w:color w:val="000000"/>
                <w:kern w:val="0"/>
                <w:szCs w:val="21"/>
              </w:rPr>
              <w:t>的参数为实质性要求，偏离将会被废标</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标示“▲”</w:t>
            </w:r>
            <w:r>
              <w:rPr>
                <w:rFonts w:hint="eastAsia" w:ascii="宋体" w:hAnsi="宋体" w:cs="宋体"/>
                <w:color w:val="000000"/>
                <w:kern w:val="0"/>
                <w:szCs w:val="21"/>
              </w:rPr>
              <w:t>项技术参数，每项负偏离扣</w:t>
            </w:r>
            <w:r>
              <w:rPr>
                <w:rFonts w:hint="eastAsia" w:ascii="宋体" w:hAnsi="宋体" w:cs="宋体"/>
                <w:color w:val="000000"/>
                <w:kern w:val="0"/>
                <w:szCs w:val="21"/>
                <w:lang w:val="en-US" w:eastAsia="zh-CN"/>
              </w:rPr>
              <w:t>3</w:t>
            </w:r>
            <w:r>
              <w:rPr>
                <w:rFonts w:hint="eastAsia" w:ascii="宋体" w:hAnsi="宋体" w:cs="宋体"/>
                <w:color w:val="000000"/>
                <w:kern w:val="0"/>
                <w:szCs w:val="21"/>
              </w:rPr>
              <w:t>分，未作标识的其他技术参数，每项负偏离扣</w:t>
            </w:r>
            <w:r>
              <w:rPr>
                <w:rFonts w:hint="eastAsia" w:ascii="宋体" w:hAnsi="宋体" w:cs="宋体"/>
                <w:color w:val="000000"/>
                <w:kern w:val="0"/>
                <w:szCs w:val="21"/>
                <w:lang w:val="en-US" w:eastAsia="zh-CN"/>
              </w:rPr>
              <w:t>1</w:t>
            </w:r>
            <w:r>
              <w:rPr>
                <w:rFonts w:hint="eastAsia" w:ascii="宋体" w:hAnsi="宋体" w:cs="宋体"/>
                <w:color w:val="000000"/>
                <w:kern w:val="0"/>
                <w:szCs w:val="21"/>
              </w:rPr>
              <w:t>分，扣完为止。</w:t>
            </w:r>
          </w:p>
          <w:p>
            <w:pPr>
              <w:widowControl/>
              <w:jc w:val="left"/>
              <w:rPr>
                <w:rFonts w:hint="eastAsia" w:ascii="宋体" w:hAnsi="宋体" w:cs="宋体"/>
                <w:color w:val="000000"/>
                <w:kern w:val="0"/>
                <w:szCs w:val="21"/>
              </w:rPr>
            </w:pPr>
            <w:r>
              <w:rPr>
                <w:rFonts w:hint="eastAsia" w:ascii="宋体" w:hAnsi="宋体" w:cs="宋体"/>
                <w:color w:val="000000"/>
                <w:kern w:val="0"/>
                <w:szCs w:val="21"/>
              </w:rPr>
              <w:t>注：未按招标文件要求提供相关证明材料的（如检测报告、软件界面截图等），该条技术参数在评审中将认定为负偏离。</w:t>
            </w:r>
          </w:p>
        </w:tc>
        <w:tc>
          <w:tcPr>
            <w:tcW w:w="919" w:type="dxa"/>
            <w:shd w:val="clear" w:color="auto" w:fill="auto"/>
            <w:vAlign w:val="center"/>
          </w:tcPr>
          <w:p>
            <w:pPr>
              <w:widowControl/>
              <w:jc w:val="center"/>
              <w:rPr>
                <w:rFonts w:eastAsia="等线"/>
                <w:color w:val="000000"/>
                <w:kern w:val="0"/>
                <w:szCs w:val="21"/>
              </w:rPr>
            </w:pPr>
            <w:r>
              <w:rPr>
                <w:rFonts w:hint="eastAsia" w:eastAsia="等线"/>
                <w:color w:val="000000"/>
                <w:kern w:val="0"/>
                <w:szCs w:val="21"/>
                <w:lang w:val="en-US" w:eastAsia="zh-CN"/>
              </w:rPr>
              <w:t>4</w:t>
            </w:r>
            <w:r>
              <w:rPr>
                <w:rFonts w:eastAsia="等线"/>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38" w:type="dxa"/>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3</w:t>
            </w:r>
          </w:p>
        </w:tc>
        <w:tc>
          <w:tcPr>
            <w:tcW w:w="1505" w:type="dxa"/>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施工组织方案</w:t>
            </w:r>
          </w:p>
        </w:tc>
        <w:tc>
          <w:tcPr>
            <w:tcW w:w="6382" w:type="dxa"/>
            <w:shd w:val="clear" w:color="auto" w:fill="auto"/>
            <w:vAlign w:val="center"/>
          </w:tcPr>
          <w:p>
            <w:pPr>
              <w:widowControl/>
              <w:numPr>
                <w:ilvl w:val="0"/>
                <w:numId w:val="8"/>
              </w:numPr>
              <w:jc w:val="left"/>
            </w:pPr>
            <w:r>
              <w:rPr>
                <w:rFonts w:hint="eastAsia"/>
              </w:rPr>
              <w:t>投标人供货、安装、调试、验收的方案和措施：方案和措施科学严谨、有效</w:t>
            </w:r>
            <w:r>
              <w:rPr>
                <w:rFonts w:hint="eastAsia"/>
                <w:lang w:val="en-US" w:eastAsia="zh-CN"/>
              </w:rPr>
              <w:t>性。0-5分</w:t>
            </w:r>
          </w:p>
          <w:p>
            <w:pPr>
              <w:widowControl/>
              <w:numPr>
                <w:ilvl w:val="0"/>
                <w:numId w:val="8"/>
              </w:numPr>
              <w:jc w:val="left"/>
            </w:pPr>
            <w:r>
              <w:rPr>
                <w:rFonts w:hint="eastAsia"/>
              </w:rPr>
              <w:t>根据投标人提供的培训方案（包括培训承诺、培训内容、师资安排、培训方式等内容）</w:t>
            </w:r>
            <w:r>
              <w:rPr>
                <w:rFonts w:hint="eastAsia"/>
                <w:lang w:eastAsia="zh-CN"/>
              </w:rPr>
              <w:t>。</w:t>
            </w:r>
            <w:r>
              <w:rPr>
                <w:rFonts w:hint="eastAsia"/>
                <w:lang w:val="en-US" w:eastAsia="zh-CN"/>
              </w:rPr>
              <w:t>0-5分</w:t>
            </w:r>
          </w:p>
        </w:tc>
        <w:tc>
          <w:tcPr>
            <w:tcW w:w="919" w:type="dxa"/>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8" w:type="dxa"/>
            <w:vMerge w:val="restart"/>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4</w:t>
            </w:r>
          </w:p>
        </w:tc>
        <w:tc>
          <w:tcPr>
            <w:tcW w:w="1505" w:type="dxa"/>
            <w:vMerge w:val="restar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投标人</w:t>
            </w:r>
            <w:r>
              <w:rPr>
                <w:rFonts w:hint="eastAsia" w:ascii="宋体" w:hAnsi="宋体" w:cs="宋体"/>
                <w:color w:val="000000"/>
                <w:kern w:val="0"/>
                <w:szCs w:val="21"/>
                <w:lang w:val="en-US" w:eastAsia="zh-CN"/>
              </w:rPr>
              <w:t>资质</w:t>
            </w:r>
          </w:p>
        </w:tc>
        <w:tc>
          <w:tcPr>
            <w:tcW w:w="6382" w:type="dxa"/>
            <w:vMerge w:val="restar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投标人具有</w:t>
            </w:r>
            <w:r>
              <w:rPr>
                <w:rFonts w:hint="eastAsia" w:ascii="宋体" w:hAnsi="宋体" w:cs="宋体"/>
                <w:color w:val="000000"/>
                <w:kern w:val="0"/>
                <w:szCs w:val="21"/>
                <w:lang w:val="en-US" w:eastAsia="zh-CN"/>
              </w:rPr>
              <w:t>高新技术企业证书、浙江省A级“守合同，重信用企业证书”企业证书</w:t>
            </w:r>
            <w:r>
              <w:rPr>
                <w:rFonts w:hint="eastAsia" w:ascii="宋体" w:hAnsi="宋体" w:cs="宋体"/>
                <w:color w:val="000000"/>
                <w:kern w:val="0"/>
                <w:szCs w:val="21"/>
              </w:rPr>
              <w:t>，每个证书得</w:t>
            </w:r>
            <w:r>
              <w:rPr>
                <w:rFonts w:hint="eastAsia" w:ascii="宋体" w:hAnsi="宋体" w:cs="宋体"/>
                <w:color w:val="000000"/>
                <w:kern w:val="0"/>
                <w:szCs w:val="21"/>
                <w:lang w:val="en-US" w:eastAsia="zh-CN"/>
              </w:rPr>
              <w:t>1.5</w:t>
            </w:r>
            <w:r>
              <w:rPr>
                <w:rFonts w:hint="eastAsia" w:ascii="宋体" w:hAnsi="宋体" w:cs="宋体"/>
                <w:color w:val="000000"/>
                <w:kern w:val="0"/>
                <w:szCs w:val="21"/>
              </w:rPr>
              <w:t>分，最高得</w:t>
            </w:r>
            <w:r>
              <w:rPr>
                <w:rFonts w:hint="eastAsia" w:ascii="宋体" w:hAnsi="宋体" w:cs="宋体"/>
                <w:color w:val="000000"/>
                <w:kern w:val="0"/>
                <w:szCs w:val="21"/>
                <w:lang w:val="en-US" w:eastAsia="zh-CN"/>
              </w:rPr>
              <w:t>3</w:t>
            </w:r>
            <w:r>
              <w:rPr>
                <w:rFonts w:hint="eastAsia" w:ascii="宋体" w:hAnsi="宋体" w:cs="宋体"/>
                <w:color w:val="000000"/>
                <w:kern w:val="0"/>
                <w:szCs w:val="21"/>
              </w:rPr>
              <w:t>分（需提供相关证书的复印件），未提供不得分。</w:t>
            </w:r>
          </w:p>
        </w:tc>
        <w:tc>
          <w:tcPr>
            <w:tcW w:w="919" w:type="dxa"/>
            <w:vMerge w:val="restart"/>
            <w:shd w:val="clear" w:color="auto" w:fill="auto"/>
            <w:vAlign w:val="center"/>
          </w:tcPr>
          <w:p>
            <w:pPr>
              <w:widowControl/>
              <w:tabs>
                <w:tab w:val="left" w:pos="264"/>
                <w:tab w:val="center" w:pos="411"/>
              </w:tabs>
              <w:ind w:firstLine="420" w:firstLineChars="200"/>
              <w:jc w:val="both"/>
              <w:rPr>
                <w:rFonts w:hint="default" w:eastAsia="等线"/>
                <w:color w:val="000000"/>
                <w:kern w:val="0"/>
                <w:szCs w:val="21"/>
                <w:lang w:val="en-US" w:eastAsia="zh-CN"/>
              </w:rPr>
            </w:pPr>
            <w:r>
              <w:rPr>
                <w:rFonts w:hint="eastAsia" w:eastAsia="等线"/>
                <w:color w:val="000000"/>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8" w:type="dxa"/>
            <w:vMerge w:val="continue"/>
            <w:vAlign w:val="center"/>
          </w:tcPr>
          <w:p>
            <w:pPr>
              <w:widowControl/>
              <w:jc w:val="left"/>
              <w:rPr>
                <w:rFonts w:eastAsia="等线"/>
                <w:color w:val="000000"/>
                <w:kern w:val="0"/>
                <w:szCs w:val="21"/>
              </w:rPr>
            </w:pPr>
          </w:p>
        </w:tc>
        <w:tc>
          <w:tcPr>
            <w:tcW w:w="1505" w:type="dxa"/>
            <w:vMerge w:val="continue"/>
            <w:vAlign w:val="center"/>
          </w:tcPr>
          <w:p>
            <w:pPr>
              <w:widowControl/>
              <w:jc w:val="left"/>
              <w:rPr>
                <w:rFonts w:ascii="宋体" w:hAnsi="宋体" w:cs="宋体"/>
                <w:color w:val="000000"/>
                <w:kern w:val="0"/>
                <w:szCs w:val="21"/>
              </w:rPr>
            </w:pPr>
          </w:p>
        </w:tc>
        <w:tc>
          <w:tcPr>
            <w:tcW w:w="6382" w:type="dxa"/>
            <w:vMerge w:val="continue"/>
            <w:vAlign w:val="center"/>
          </w:tcPr>
          <w:p>
            <w:pPr>
              <w:widowControl/>
              <w:jc w:val="left"/>
              <w:rPr>
                <w:rFonts w:ascii="宋体" w:hAnsi="宋体" w:cs="宋体"/>
                <w:color w:val="000000"/>
                <w:kern w:val="0"/>
                <w:szCs w:val="21"/>
              </w:rPr>
            </w:pPr>
          </w:p>
        </w:tc>
        <w:tc>
          <w:tcPr>
            <w:tcW w:w="919" w:type="dxa"/>
            <w:vMerge w:val="continue"/>
            <w:vAlign w:val="center"/>
          </w:tcPr>
          <w:p>
            <w:pPr>
              <w:widowControl/>
              <w:jc w:val="left"/>
              <w:rPr>
                <w:rFonts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8" w:type="dxa"/>
            <w:vMerge w:val="continue"/>
            <w:vAlign w:val="center"/>
          </w:tcPr>
          <w:p>
            <w:pPr>
              <w:widowControl/>
              <w:jc w:val="left"/>
              <w:rPr>
                <w:rFonts w:eastAsia="等线"/>
                <w:color w:val="000000"/>
                <w:kern w:val="0"/>
                <w:szCs w:val="21"/>
              </w:rPr>
            </w:pPr>
          </w:p>
        </w:tc>
        <w:tc>
          <w:tcPr>
            <w:tcW w:w="1505" w:type="dxa"/>
            <w:vMerge w:val="continue"/>
            <w:vAlign w:val="center"/>
          </w:tcPr>
          <w:p>
            <w:pPr>
              <w:widowControl/>
              <w:jc w:val="left"/>
              <w:rPr>
                <w:rFonts w:ascii="宋体" w:hAnsi="宋体" w:cs="宋体"/>
                <w:color w:val="000000"/>
                <w:kern w:val="0"/>
                <w:szCs w:val="21"/>
              </w:rPr>
            </w:pPr>
          </w:p>
        </w:tc>
        <w:tc>
          <w:tcPr>
            <w:tcW w:w="6382" w:type="dxa"/>
            <w:vMerge w:val="continue"/>
            <w:vAlign w:val="center"/>
          </w:tcPr>
          <w:p>
            <w:pPr>
              <w:widowControl/>
              <w:jc w:val="left"/>
              <w:rPr>
                <w:rFonts w:ascii="宋体" w:hAnsi="宋体" w:cs="宋体"/>
                <w:color w:val="000000"/>
                <w:kern w:val="0"/>
                <w:szCs w:val="21"/>
              </w:rPr>
            </w:pPr>
          </w:p>
        </w:tc>
        <w:tc>
          <w:tcPr>
            <w:tcW w:w="919" w:type="dxa"/>
            <w:vMerge w:val="continue"/>
            <w:vAlign w:val="center"/>
          </w:tcPr>
          <w:p>
            <w:pPr>
              <w:widowControl/>
              <w:jc w:val="left"/>
              <w:rPr>
                <w:rFonts w:eastAsia="等线"/>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38" w:type="dxa"/>
            <w:shd w:val="clear" w:color="auto" w:fill="auto"/>
            <w:vAlign w:val="center"/>
          </w:tcPr>
          <w:p>
            <w:pPr>
              <w:widowControl/>
              <w:jc w:val="center"/>
              <w:rPr>
                <w:rFonts w:hint="eastAsia" w:eastAsia="等线"/>
                <w:color w:val="000000"/>
                <w:kern w:val="0"/>
                <w:szCs w:val="21"/>
                <w:lang w:eastAsia="zh-CN"/>
              </w:rPr>
            </w:pPr>
            <w:r>
              <w:rPr>
                <w:rFonts w:hint="eastAsia" w:eastAsia="等线"/>
                <w:color w:val="000000"/>
                <w:kern w:val="0"/>
                <w:szCs w:val="21"/>
                <w:lang w:val="en-US" w:eastAsia="zh-CN"/>
              </w:rPr>
              <w:t>5</w:t>
            </w:r>
          </w:p>
        </w:tc>
        <w:tc>
          <w:tcPr>
            <w:tcW w:w="1505" w:type="dxa"/>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人员配置</w:t>
            </w:r>
          </w:p>
        </w:tc>
        <w:tc>
          <w:tcPr>
            <w:tcW w:w="6382" w:type="dxa"/>
            <w:shd w:val="clear" w:color="auto" w:fill="auto"/>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拟派项目经理1人具有PMP</w:t>
            </w:r>
            <w:r>
              <w:rPr>
                <w:rFonts w:hint="eastAsia" w:ascii="宋体" w:hAnsi="宋体" w:cs="宋体"/>
                <w:color w:val="000000"/>
                <w:kern w:val="0"/>
                <w:szCs w:val="21"/>
                <w:lang w:val="en-US" w:eastAsia="zh-CN"/>
              </w:rPr>
              <w:t>的</w:t>
            </w:r>
            <w:r>
              <w:rPr>
                <w:rFonts w:hint="eastAsia" w:ascii="宋体" w:hAnsi="宋体" w:cs="宋体"/>
                <w:color w:val="000000"/>
                <w:kern w:val="0"/>
                <w:szCs w:val="21"/>
              </w:rPr>
              <w:t>得</w:t>
            </w:r>
            <w:r>
              <w:rPr>
                <w:rFonts w:hint="eastAsia" w:ascii="宋体" w:hAnsi="宋体" w:cs="宋体"/>
                <w:color w:val="000000"/>
                <w:kern w:val="0"/>
                <w:szCs w:val="21"/>
                <w:lang w:val="en-US" w:eastAsia="zh-CN"/>
              </w:rPr>
              <w:t>2.5</w:t>
            </w:r>
            <w:r>
              <w:rPr>
                <w:rFonts w:hint="eastAsia" w:ascii="宋体" w:hAnsi="宋体" w:cs="宋体"/>
                <w:color w:val="000000"/>
                <w:kern w:val="0"/>
                <w:szCs w:val="21"/>
              </w:rPr>
              <w:t>分，没有的不得分，最高得</w:t>
            </w:r>
            <w:r>
              <w:rPr>
                <w:rFonts w:hint="eastAsia"/>
                <w:color w:val="000000"/>
                <w:kern w:val="0"/>
                <w:szCs w:val="21"/>
                <w:lang w:val="en-US" w:eastAsia="zh-CN"/>
              </w:rPr>
              <w:t>2.5</w:t>
            </w:r>
            <w:r>
              <w:rPr>
                <w:rFonts w:hint="eastAsia" w:ascii="宋体" w:hAnsi="宋体" w:cs="宋体"/>
                <w:color w:val="000000"/>
                <w:kern w:val="0"/>
                <w:szCs w:val="21"/>
              </w:rPr>
              <w:t>分。</w:t>
            </w:r>
          </w:p>
          <w:p>
            <w:pPr>
              <w:widowControl/>
              <w:jc w:val="left"/>
              <w:rPr>
                <w:rFonts w:ascii="宋体" w:hAnsi="宋体" w:cs="宋体"/>
                <w:color w:val="000000"/>
                <w:kern w:val="0"/>
                <w:szCs w:val="21"/>
              </w:rPr>
            </w:pPr>
            <w:r>
              <w:rPr>
                <w:rFonts w:hint="eastAsia" w:ascii="宋体" w:hAnsi="宋体" w:cs="宋体"/>
                <w:color w:val="000000"/>
                <w:kern w:val="0"/>
                <w:szCs w:val="21"/>
                <w:lang w:val="en-US" w:eastAsia="zh-CN"/>
              </w:rPr>
              <w:t>注：</w:t>
            </w:r>
            <w:r>
              <w:rPr>
                <w:rFonts w:hint="eastAsia" w:ascii="宋体" w:hAnsi="宋体" w:cs="宋体"/>
                <w:color w:val="000000"/>
                <w:kern w:val="0"/>
                <w:szCs w:val="21"/>
              </w:rPr>
              <w:t>须提供相关证书复印件及在项目开标日前</w:t>
            </w:r>
            <w:r>
              <w:rPr>
                <w:rFonts w:hint="eastAsia"/>
                <w:color w:val="000000"/>
                <w:kern w:val="0"/>
                <w:szCs w:val="21"/>
                <w:lang w:val="en-US" w:eastAsia="zh-CN"/>
              </w:rPr>
              <w:t>三个月</w:t>
            </w:r>
            <w:r>
              <w:rPr>
                <w:rFonts w:hint="eastAsia" w:ascii="宋体" w:hAnsi="宋体" w:cs="宋体"/>
                <w:color w:val="000000"/>
                <w:kern w:val="0"/>
                <w:szCs w:val="21"/>
              </w:rPr>
              <w:t>内的在职社保清单，未提供不得分。</w:t>
            </w:r>
          </w:p>
        </w:tc>
        <w:tc>
          <w:tcPr>
            <w:tcW w:w="919" w:type="dxa"/>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38" w:type="dxa"/>
            <w:shd w:val="clear" w:color="auto" w:fill="auto"/>
            <w:vAlign w:val="center"/>
          </w:tcPr>
          <w:p>
            <w:pPr>
              <w:widowControl/>
              <w:jc w:val="center"/>
              <w:rPr>
                <w:rFonts w:eastAsia="等线"/>
                <w:color w:val="000000"/>
                <w:kern w:val="0"/>
                <w:szCs w:val="21"/>
              </w:rPr>
            </w:pPr>
            <w:r>
              <w:rPr>
                <w:rFonts w:eastAsia="等线"/>
                <w:color w:val="000000"/>
                <w:kern w:val="0"/>
                <w:szCs w:val="21"/>
              </w:rPr>
              <w:t>6</w:t>
            </w:r>
          </w:p>
        </w:tc>
        <w:tc>
          <w:tcPr>
            <w:tcW w:w="1505" w:type="dxa"/>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售后服务</w:t>
            </w:r>
          </w:p>
        </w:tc>
        <w:tc>
          <w:tcPr>
            <w:tcW w:w="6382" w:type="dxa"/>
            <w:shd w:val="clear" w:color="auto" w:fill="auto"/>
            <w:vAlign w:val="center"/>
          </w:tcPr>
          <w:p>
            <w:pPr>
              <w:widowControl/>
              <w:numPr>
                <w:ilvl w:val="0"/>
                <w:numId w:val="9"/>
              </w:numPr>
              <w:jc w:val="left"/>
              <w:rPr>
                <w:rFonts w:hint="default"/>
                <w:lang w:val="en-US" w:eastAsia="zh-CN"/>
              </w:rPr>
            </w:pPr>
            <w:r>
              <w:rPr>
                <w:rFonts w:hint="eastAsia"/>
                <w:lang w:val="en-US" w:eastAsia="zh-CN"/>
              </w:rPr>
              <w:t>根据投标人提供的售后服务计划（含售后服务机构、售后服务人员、售后服务承诺、服务体系及措施、响应时间、售后维护方式、售后保障能力、定期巡检）等情况打分，最高得分不超过10分</w:t>
            </w:r>
          </w:p>
          <w:p>
            <w:pPr>
              <w:widowControl/>
              <w:numPr>
                <w:ilvl w:val="0"/>
                <w:numId w:val="9"/>
              </w:numPr>
              <w:jc w:val="left"/>
              <w:rPr>
                <w:rFonts w:hint="default"/>
                <w:lang w:val="en-US" w:eastAsia="zh-CN"/>
              </w:rPr>
            </w:pPr>
            <w:r>
              <w:rPr>
                <w:rFonts w:hint="eastAsia"/>
                <w:lang w:val="en-US" w:eastAsia="zh-CN"/>
              </w:rPr>
              <w:t>根据投标人具有本地化服务能力，在金华有常驻的售后服务机构，或在金华有分公司或办事处等作为常驻服务和技术支持机构的加3分，需提供工商注册资料以及服务网点情况表、售后服务机构地址、人员名单、联系方式等，未提供不得分。</w:t>
            </w:r>
          </w:p>
        </w:tc>
        <w:tc>
          <w:tcPr>
            <w:tcW w:w="919" w:type="dxa"/>
            <w:shd w:val="clear" w:color="auto" w:fill="auto"/>
            <w:vAlign w:val="center"/>
          </w:tcPr>
          <w:p>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444" w:type="dxa"/>
            <w:gridSpan w:val="4"/>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注：上述评分项目，以投标人在投标文件中做出的书面承诺、相关证书、证明材料复印件为准。所有外文版本的证明材料，须提供中文版本的翻译件。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444" w:type="dxa"/>
            <w:gridSpan w:val="4"/>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任何由于投标人原因导致书面及证明材料缺失、字迹模糊无法分辨、内容错漏的情形，均可能导致该投标人的评审项失分。</w:t>
            </w:r>
          </w:p>
        </w:tc>
      </w:tr>
    </w:tbl>
    <w:p>
      <w:pPr>
        <w:adjustRightInd w:val="0"/>
        <w:snapToGrid w:val="0"/>
        <w:spacing w:line="360" w:lineRule="auto"/>
        <w:ind w:firstLine="480" w:firstLineChars="200"/>
        <w:rPr>
          <w:rFonts w:ascii="宋体" w:hAnsi="宋体"/>
          <w:sz w:val="24"/>
          <w:szCs w:val="24"/>
        </w:rPr>
      </w:pPr>
    </w:p>
    <w:p>
      <w:pPr>
        <w:adjustRightInd w:val="0"/>
        <w:snapToGrid w:val="0"/>
        <w:spacing w:line="360" w:lineRule="auto"/>
        <w:rPr>
          <w:rFonts w:ascii="宋体" w:hAnsi="宋体"/>
          <w:b/>
          <w:sz w:val="24"/>
          <w:szCs w:val="24"/>
        </w:rPr>
      </w:pPr>
      <w:r>
        <w:rPr>
          <w:rFonts w:hint="eastAsia" w:ascii="宋体" w:hAnsi="宋体"/>
          <w:b/>
          <w:sz w:val="24"/>
          <w:szCs w:val="24"/>
        </w:rPr>
        <w:t>2、商务评审（总</w:t>
      </w:r>
      <w:r>
        <w:rPr>
          <w:rFonts w:hint="eastAsia" w:ascii="宋体" w:hAnsi="宋体"/>
          <w:b/>
          <w:color w:val="auto"/>
          <w:sz w:val="24"/>
          <w:szCs w:val="24"/>
        </w:rPr>
        <w:t>分</w:t>
      </w:r>
      <w:r>
        <w:rPr>
          <w:rFonts w:hint="eastAsia" w:ascii="宋体" w:hAnsi="宋体"/>
          <w:b/>
          <w:color w:val="auto"/>
          <w:sz w:val="24"/>
          <w:szCs w:val="24"/>
          <w:lang w:val="en-US" w:eastAsia="zh-CN"/>
        </w:rPr>
        <w:t>30</w:t>
      </w:r>
      <w:r>
        <w:rPr>
          <w:rFonts w:hint="eastAsia" w:ascii="宋体" w:hAnsi="宋体"/>
          <w:b/>
          <w:color w:val="auto"/>
          <w:sz w:val="24"/>
          <w:szCs w:val="24"/>
        </w:rPr>
        <w:t>分）</w:t>
      </w:r>
    </w:p>
    <w:p>
      <w:pPr>
        <w:adjustRightInd w:val="0"/>
        <w:snapToGrid w:val="0"/>
        <w:spacing w:line="360" w:lineRule="auto"/>
        <w:ind w:firstLine="480" w:firstLineChars="200"/>
        <w:rPr>
          <w:rFonts w:ascii="宋体" w:hAnsi="宋体"/>
          <w:sz w:val="24"/>
          <w:szCs w:val="24"/>
        </w:rPr>
      </w:pPr>
      <w:r>
        <w:rPr>
          <w:rFonts w:ascii="宋体" w:hAnsi="宋体"/>
          <w:sz w:val="24"/>
          <w:szCs w:val="24"/>
        </w:rPr>
        <w:t>评标基准价以满足招标文件要求且投标价格</w:t>
      </w:r>
      <w:bookmarkStart w:id="2" w:name="_GoBack"/>
      <w:bookmarkEnd w:id="2"/>
      <w:r>
        <w:rPr>
          <w:rFonts w:ascii="宋体" w:hAnsi="宋体"/>
          <w:sz w:val="24"/>
          <w:szCs w:val="24"/>
        </w:rPr>
        <w:t>最低的投标报价为评标基准价，其商务报价分</w:t>
      </w:r>
      <w:r>
        <w:rPr>
          <w:rFonts w:ascii="宋体" w:hAnsi="宋体"/>
          <w:color w:val="auto"/>
          <w:sz w:val="24"/>
          <w:szCs w:val="24"/>
        </w:rPr>
        <w:t>为</w:t>
      </w:r>
      <w:r>
        <w:rPr>
          <w:rFonts w:hint="eastAsia" w:ascii="宋体" w:hAnsi="宋体"/>
          <w:color w:val="auto"/>
          <w:sz w:val="24"/>
          <w:szCs w:val="24"/>
          <w:lang w:val="en-US" w:eastAsia="zh-CN"/>
        </w:rPr>
        <w:t>30</w:t>
      </w:r>
      <w:r>
        <w:rPr>
          <w:rFonts w:ascii="宋体" w:hAnsi="宋体"/>
          <w:color w:val="auto"/>
          <w:sz w:val="24"/>
          <w:szCs w:val="24"/>
        </w:rPr>
        <w:t>分</w:t>
      </w:r>
      <w:r>
        <w:rPr>
          <w:rFonts w:hint="eastAsia" w:ascii="宋体" w:hAnsi="宋体"/>
          <w:color w:val="auto"/>
          <w:sz w:val="24"/>
          <w:szCs w:val="24"/>
        </w:rPr>
        <w:t>。</w:t>
      </w:r>
    </w:p>
    <w:p>
      <w:pPr>
        <w:adjustRightInd w:val="0"/>
        <w:snapToGrid w:val="0"/>
        <w:spacing w:line="360" w:lineRule="auto"/>
        <w:ind w:firstLine="482" w:firstLineChars="200"/>
        <w:jc w:val="center"/>
        <w:rPr>
          <w:rFonts w:ascii="宋体" w:hAnsi="宋体"/>
          <w:b/>
          <w:sz w:val="24"/>
          <w:szCs w:val="24"/>
        </w:rPr>
      </w:pPr>
      <w:r>
        <w:rPr>
          <w:rFonts w:ascii="宋体" w:hAnsi="宋体"/>
          <w:b/>
          <w:sz w:val="24"/>
          <w:szCs w:val="24"/>
        </w:rPr>
        <w:t>商务得分=（评标基准价/投标报价）×</w:t>
      </w:r>
      <w:r>
        <w:rPr>
          <w:rFonts w:hint="eastAsia" w:ascii="宋体" w:hAnsi="宋体"/>
          <w:b/>
          <w:color w:val="auto"/>
          <w:sz w:val="24"/>
          <w:szCs w:val="24"/>
          <w:lang w:val="en-US" w:eastAsia="zh-CN"/>
        </w:rPr>
        <w:t>30</w:t>
      </w:r>
      <w:r>
        <w:rPr>
          <w:rFonts w:ascii="宋体" w:hAnsi="宋体"/>
          <w:b/>
          <w:color w:val="auto"/>
          <w:sz w:val="24"/>
          <w:szCs w:val="24"/>
        </w:rPr>
        <w:t>%×1</w:t>
      </w:r>
      <w:r>
        <w:rPr>
          <w:rFonts w:ascii="宋体" w:hAnsi="宋体"/>
          <w:b/>
          <w:sz w:val="24"/>
          <w:szCs w:val="24"/>
        </w:rPr>
        <w:t>00，保留小数2位</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sz w:val="24"/>
          <w:szCs w:val="24"/>
        </w:rPr>
      </w:pPr>
      <w:r>
        <w:rPr>
          <w:rFonts w:hint="eastAsia" w:ascii="宋体" w:hAnsi="宋体"/>
          <w:sz w:val="24"/>
          <w:szCs w:val="24"/>
        </w:rPr>
        <w:t>3、投标人的综合得分为以上两部分评分的总和。</w:t>
      </w:r>
    </w:p>
    <w:p>
      <w:pPr>
        <w:adjustRightInd w:val="0"/>
        <w:snapToGrid w:val="0"/>
        <w:spacing w:line="360" w:lineRule="auto"/>
        <w:rPr>
          <w:rFonts w:ascii="宋体" w:hAnsi="宋体" w:cs="Courier New"/>
          <w:b/>
          <w:bCs/>
          <w:sz w:val="24"/>
          <w:szCs w:val="24"/>
        </w:rPr>
      </w:pPr>
      <w:r>
        <w:rPr>
          <w:rFonts w:hint="eastAsia" w:ascii="宋体" w:hAnsi="宋体" w:cs="Courier New"/>
          <w:b/>
          <w:bCs/>
          <w:sz w:val="24"/>
          <w:szCs w:val="24"/>
        </w:rPr>
        <w:t xml:space="preserve">二、评标报告 </w:t>
      </w:r>
    </w:p>
    <w:p>
      <w:pPr>
        <w:adjustRightInd w:val="0"/>
        <w:snapToGrid w:val="0"/>
        <w:spacing w:line="360" w:lineRule="auto"/>
        <w:ind w:firstLine="435"/>
        <w:rPr>
          <w:rFonts w:ascii="宋体" w:hAnsi="宋体"/>
          <w:sz w:val="24"/>
          <w:szCs w:val="24"/>
        </w:rPr>
      </w:pPr>
      <w:r>
        <w:rPr>
          <w:rFonts w:hint="eastAsia" w:ascii="宋体" w:hAnsi="宋体"/>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hint="eastAsia" w:ascii="宋体" w:hAnsi="宋体"/>
          <w:sz w:val="24"/>
          <w:szCs w:val="24"/>
        </w:rPr>
      </w:pPr>
      <w:r>
        <w:rPr>
          <w:rFonts w:hint="eastAsia" w:ascii="宋体" w:hAnsi="宋体"/>
          <w:sz w:val="24"/>
          <w:szCs w:val="24"/>
        </w:rPr>
        <w:t>评标委员会应在评标报告中，由得分从高到低推荐前二名为中标候选人。得分相同时，投标价低者优先。若第一中标候选人在中标后30天内拒绝与采购人签订合同的，采购人可以与</w:t>
      </w:r>
      <w:r>
        <w:rPr>
          <w:rFonts w:hint="eastAsia" w:ascii="宋体" w:hAnsi="宋体"/>
          <w:color w:val="FF0000"/>
          <w:sz w:val="24"/>
          <w:szCs w:val="24"/>
        </w:rPr>
        <w:t>符合标的</w:t>
      </w:r>
      <w:r>
        <w:rPr>
          <w:rFonts w:hint="eastAsia" w:ascii="宋体" w:hAnsi="宋体"/>
          <w:sz w:val="24"/>
          <w:szCs w:val="24"/>
        </w:rPr>
        <w:t>的第二中标候选人签约采购货物；若第一中标候选人签订合同后未按合同及采购人要求进行产品设计制作的，采购人有权与其解除合同并与</w:t>
      </w:r>
      <w:r>
        <w:rPr>
          <w:rFonts w:hint="eastAsia" w:ascii="宋体" w:hAnsi="宋体"/>
          <w:color w:val="FF0000"/>
          <w:sz w:val="24"/>
          <w:szCs w:val="24"/>
        </w:rPr>
        <w:t>符合标的</w:t>
      </w:r>
      <w:r>
        <w:rPr>
          <w:rFonts w:hint="eastAsia" w:ascii="宋体" w:hAnsi="宋体"/>
          <w:sz w:val="24"/>
          <w:szCs w:val="24"/>
        </w:rPr>
        <w:t>的第二中标候选人签订采购合同。</w:t>
      </w:r>
    </w:p>
    <w:p>
      <w:pPr>
        <w:adjustRightInd w:val="0"/>
        <w:snapToGrid w:val="0"/>
        <w:spacing w:line="360" w:lineRule="auto"/>
        <w:ind w:firstLine="435"/>
        <w:rPr>
          <w:rFonts w:hint="eastAsia" w:ascii="宋体" w:hAnsi="宋体"/>
          <w:sz w:val="24"/>
          <w:szCs w:val="24"/>
        </w:rPr>
      </w:pPr>
    </w:p>
    <w:p>
      <w:pPr>
        <w:adjustRightInd w:val="0"/>
        <w:snapToGrid w:val="0"/>
        <w:spacing w:line="360" w:lineRule="auto"/>
        <w:ind w:firstLine="435"/>
        <w:rPr>
          <w:rFonts w:hint="eastAsia" w:ascii="宋体" w:hAnsi="宋体"/>
          <w:sz w:val="24"/>
          <w:szCs w:val="24"/>
        </w:rPr>
      </w:pPr>
    </w:p>
    <w:p>
      <w:pPr>
        <w:adjustRightInd w:val="0"/>
        <w:snapToGrid w:val="0"/>
        <w:spacing w:line="360" w:lineRule="auto"/>
        <w:ind w:firstLine="435"/>
        <w:rPr>
          <w:rFonts w:hint="eastAsia" w:ascii="宋体" w:hAnsi="宋体"/>
          <w:sz w:val="24"/>
          <w:szCs w:val="24"/>
        </w:rPr>
      </w:pPr>
    </w:p>
    <w:p>
      <w:pPr>
        <w:rPr>
          <w:rFonts w:hint="eastAsia" w:ascii="宋体" w:hAnsi="宋体"/>
          <w:sz w:val="24"/>
          <w:szCs w:val="24"/>
        </w:rPr>
      </w:pPr>
    </w:p>
    <w:p>
      <w:pPr>
        <w:spacing w:line="360" w:lineRule="auto"/>
        <w:jc w:val="center"/>
        <w:rPr>
          <w:rFonts w:ascii="宋体" w:hAnsi="宋体"/>
          <w:b/>
          <w:sz w:val="32"/>
          <w:szCs w:val="32"/>
        </w:rPr>
      </w:pPr>
      <w:r>
        <w:rPr>
          <w:rFonts w:hint="eastAsia" w:ascii="宋体" w:hAnsi="宋体"/>
          <w:b/>
          <w:sz w:val="32"/>
          <w:szCs w:val="32"/>
        </w:rPr>
        <w:t>第</w:t>
      </w:r>
      <w:r>
        <w:rPr>
          <w:rFonts w:hint="eastAsia" w:ascii="宋体" w:hAnsi="宋体"/>
          <w:b/>
          <w:sz w:val="32"/>
          <w:szCs w:val="32"/>
          <w:lang w:val="en-US" w:eastAsia="zh-CN"/>
        </w:rPr>
        <w:t>六</w:t>
      </w:r>
      <w:r>
        <w:rPr>
          <w:rFonts w:hint="eastAsia" w:ascii="宋体" w:hAnsi="宋体"/>
          <w:b/>
          <w:sz w:val="32"/>
          <w:szCs w:val="32"/>
        </w:rPr>
        <w:t>章</w:t>
      </w:r>
      <w:r>
        <w:rPr>
          <w:rFonts w:ascii="宋体" w:hAnsi="宋体"/>
          <w:b/>
          <w:sz w:val="32"/>
          <w:szCs w:val="32"/>
        </w:rPr>
        <w:t xml:space="preserve">  </w:t>
      </w:r>
      <w:r>
        <w:rPr>
          <w:rFonts w:hint="eastAsia" w:ascii="宋体" w:hAnsi="宋体"/>
          <w:b/>
          <w:sz w:val="32"/>
          <w:szCs w:val="32"/>
        </w:rPr>
        <w:t>投标相关文件格式</w:t>
      </w:r>
    </w:p>
    <w:p>
      <w:pPr>
        <w:widowControl/>
        <w:tabs>
          <w:tab w:val="left" w:pos="0"/>
        </w:tabs>
        <w:snapToGrid w:val="0"/>
        <w:spacing w:line="360" w:lineRule="auto"/>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rPr>
        <w:t>附件</w:t>
      </w:r>
      <w:r>
        <w:rPr>
          <w:rFonts w:hint="eastAsia" w:ascii="宋体" w:hAnsi="宋体"/>
          <w:b/>
          <w:bCs/>
          <w:kern w:val="0"/>
          <w:sz w:val="36"/>
          <w:szCs w:val="36"/>
        </w:rPr>
        <w:t>一</w:t>
      </w:r>
      <w:r>
        <w:rPr>
          <w:rFonts w:ascii="宋体" w:hAnsi="宋体"/>
          <w:b/>
          <w:bCs/>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before="150" w:after="150" w:line="480" w:lineRule="atLeast"/>
        <w:ind w:right="300"/>
        <w:jc w:val="left"/>
        <w:rPr>
          <w:rFonts w:ascii="宋体" w:hAnsi="宋体"/>
          <w:b/>
          <w:bCs/>
          <w:kern w:val="0"/>
          <w:sz w:val="32"/>
          <w:szCs w:val="32"/>
        </w:rPr>
      </w:pPr>
    </w:p>
    <w:p>
      <w:pPr>
        <w:widowControl/>
        <w:spacing w:before="150" w:after="150" w:line="480" w:lineRule="atLeast"/>
        <w:ind w:right="300"/>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 w:val="36"/>
          <w:szCs w:val="36"/>
        </w:rPr>
      </w:pPr>
      <w:bookmarkStart w:id="1" w:name="_Toc350938486"/>
    </w:p>
    <w:p>
      <w:pPr>
        <w:widowControl/>
        <w:spacing w:before="260" w:after="260" w:line="270" w:lineRule="atLeast"/>
        <w:ind w:left="-141" w:leftChars="-67"/>
        <w:jc w:val="left"/>
        <w:rPr>
          <w:rFonts w:ascii="宋体" w:hAnsi="宋体"/>
          <w:b/>
          <w:bCs/>
          <w:kern w:val="0"/>
          <w:sz w:val="36"/>
          <w:szCs w:val="36"/>
        </w:rPr>
      </w:pPr>
    </w:p>
    <w:p>
      <w:pPr>
        <w:widowControl/>
        <w:spacing w:before="260" w:after="260" w:line="270" w:lineRule="atLeast"/>
        <w:ind w:left="-141" w:leftChars="-67"/>
        <w:jc w:val="left"/>
        <w:rPr>
          <w:rFonts w:ascii="宋体" w:hAnsi="宋体"/>
          <w:b/>
          <w:bCs/>
          <w:kern w:val="0"/>
          <w:sz w:val="36"/>
          <w:szCs w:val="36"/>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rPr>
      </w:pPr>
      <w:r>
        <w:rPr>
          <w:rFonts w:ascii="宋体" w:hAnsi="宋体"/>
          <w:b/>
          <w:bCs/>
          <w:kern w:val="0"/>
          <w:sz w:val="36"/>
          <w:szCs w:val="36"/>
        </w:rPr>
        <w:t>附件</w:t>
      </w:r>
      <w:r>
        <w:rPr>
          <w:rFonts w:hint="eastAsia" w:ascii="宋体" w:hAnsi="宋体"/>
          <w:b/>
          <w:bCs/>
          <w:kern w:val="0"/>
          <w:sz w:val="36"/>
          <w:szCs w:val="36"/>
        </w:rPr>
        <w:t>二</w:t>
      </w:r>
      <w:r>
        <w:rPr>
          <w:rFonts w:ascii="宋体" w:hAnsi="宋体"/>
          <w:b/>
          <w:bCs/>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rPr>
          <w:rFonts w:ascii="宋体" w:hAnsi="宋体"/>
          <w:b/>
          <w:sz w:val="24"/>
        </w:rPr>
      </w:pPr>
    </w:p>
    <w:p>
      <w:pPr>
        <w:spacing w:line="360" w:lineRule="auto"/>
        <w:rPr>
          <w:rFonts w:ascii="宋体" w:hAnsi="宋体"/>
          <w:b/>
          <w:sz w:val="32"/>
          <w:szCs w:val="32"/>
        </w:rPr>
      </w:pPr>
    </w:p>
    <w:p>
      <w:pPr>
        <w:widowControl/>
        <w:spacing w:line="420" w:lineRule="atLeast"/>
        <w:rPr>
          <w:rFonts w:ascii="宋体" w:hAnsi="宋体" w:cs="宋体"/>
          <w:kern w:val="0"/>
          <w:sz w:val="28"/>
          <w:szCs w:val="28"/>
        </w:rPr>
      </w:pPr>
      <w:r>
        <w:rPr>
          <w:rFonts w:hint="eastAsia" w:ascii="宋体" w:hAnsi="宋体" w:cs="宋体"/>
          <w:kern w:val="0"/>
          <w:sz w:val="28"/>
          <w:szCs w:val="28"/>
        </w:rPr>
        <w:t>附件三：                 投标函（格式）</w:t>
      </w:r>
    </w:p>
    <w:p>
      <w:pPr>
        <w:pStyle w:val="2"/>
        <w:spacing w:line="400" w:lineRule="exact"/>
        <w:rPr>
          <w:rFonts w:hAnsi="宋体" w:cs="宋体"/>
          <w:kern w:val="0"/>
          <w:sz w:val="24"/>
          <w:szCs w:val="24"/>
        </w:rPr>
      </w:pPr>
    </w:p>
    <w:p>
      <w:pPr>
        <w:pStyle w:val="2"/>
        <w:spacing w:line="400" w:lineRule="exact"/>
        <w:rPr>
          <w:rFonts w:hAnsi="宋体" w:cs="宋体"/>
          <w:kern w:val="0"/>
          <w:sz w:val="24"/>
          <w:szCs w:val="24"/>
        </w:rPr>
      </w:pPr>
      <w:r>
        <w:rPr>
          <w:rFonts w:hint="eastAsia" w:hAnsi="宋体" w:cs="宋体"/>
          <w:kern w:val="0"/>
          <w:sz w:val="24"/>
          <w:szCs w:val="24"/>
        </w:rPr>
        <w:t xml:space="preserve">致：                  </w:t>
      </w:r>
    </w:p>
    <w:p>
      <w:pPr>
        <w:pStyle w:val="2"/>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1、技术标，正本一份，副本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2、商务标，正本一份，副本      份；</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3、其他：</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4、据此函，签字代表宣布同意如下：</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 xml:space="preserve">1）所附投标报价表中规定的应提供和支付的设备和服务投标总价为（人民币） </w:t>
      </w:r>
      <w:r>
        <w:rPr>
          <w:rFonts w:hint="eastAsia" w:ascii="宋体" w:hAnsi="宋体" w:cs="宋体"/>
          <w:kern w:val="0"/>
          <w:sz w:val="24"/>
          <w:szCs w:val="24"/>
          <w:u w:val="single"/>
        </w:rPr>
        <w:t>__   _</w:t>
      </w:r>
      <w:r>
        <w:rPr>
          <w:rFonts w:hint="eastAsia" w:ascii="宋体" w:hAnsi="宋体" w:cs="宋体"/>
          <w:kern w:val="0"/>
          <w:sz w:val="24"/>
          <w:szCs w:val="24"/>
        </w:rPr>
        <w:t xml:space="preserve">， 即 </w:t>
      </w:r>
      <w:r>
        <w:rPr>
          <w:rFonts w:hint="eastAsia" w:ascii="宋体" w:hAnsi="宋体" w:cs="宋体"/>
          <w:kern w:val="0"/>
          <w:sz w:val="24"/>
          <w:szCs w:val="24"/>
          <w:u w:val="single"/>
        </w:rPr>
        <w:t>___  ____</w:t>
      </w:r>
      <w:r>
        <w:rPr>
          <w:rFonts w:hint="eastAsia" w:ascii="宋体" w:hAnsi="宋体" w:cs="宋体"/>
          <w:kern w:val="0"/>
          <w:sz w:val="24"/>
          <w:szCs w:val="24"/>
        </w:rPr>
        <w:t>（大写）。（企业成本价为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3）投标人将按招标文件规定履行合同责任和义务。</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4）其投标自开标之日起有效期____个日历天。</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5）如果在规定的开标时间后，投标人不得在投标有效期内撤回投标。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7）投标文件中未明确的东西，一律按招标文件规定执行。</w:t>
      </w:r>
    </w:p>
    <w:p>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8）与本投标有关的一切正式往来通讯请寄：</w:t>
      </w:r>
    </w:p>
    <w:p>
      <w:pPr>
        <w:spacing w:line="600" w:lineRule="exact"/>
        <w:rPr>
          <w:rFonts w:ascii="宋体" w:hAnsi="宋体" w:cs="宋体"/>
          <w:kern w:val="0"/>
          <w:sz w:val="24"/>
          <w:szCs w:val="24"/>
        </w:rPr>
      </w:pPr>
      <w:r>
        <w:rPr>
          <w:rFonts w:hint="eastAsia" w:ascii="宋体" w:hAnsi="宋体" w:cs="宋体"/>
          <w:kern w:val="0"/>
          <w:sz w:val="24"/>
          <w:szCs w:val="24"/>
        </w:rPr>
        <w:t xml:space="preserve">地址：______________________             邮编：______________________  </w:t>
      </w:r>
    </w:p>
    <w:p>
      <w:pPr>
        <w:spacing w:line="600" w:lineRule="exact"/>
        <w:rPr>
          <w:rFonts w:ascii="宋体" w:hAnsi="宋体" w:cs="宋体"/>
          <w:kern w:val="0"/>
          <w:sz w:val="24"/>
          <w:szCs w:val="24"/>
        </w:rPr>
      </w:pPr>
      <w:r>
        <w:rPr>
          <w:rFonts w:hint="eastAsia" w:ascii="宋体" w:hAnsi="宋体" w:cs="宋体"/>
          <w:kern w:val="0"/>
          <w:sz w:val="24"/>
          <w:szCs w:val="24"/>
        </w:rPr>
        <w:t xml:space="preserve">电话：______________________            传真：______________________ </w:t>
      </w:r>
    </w:p>
    <w:p>
      <w:pPr>
        <w:spacing w:line="600" w:lineRule="exact"/>
        <w:rPr>
          <w:rFonts w:ascii="宋体" w:hAnsi="宋体" w:cs="宋体"/>
          <w:kern w:val="0"/>
          <w:sz w:val="24"/>
          <w:szCs w:val="24"/>
        </w:rPr>
      </w:pPr>
      <w:r>
        <w:rPr>
          <w:rFonts w:hint="eastAsia" w:ascii="宋体" w:hAnsi="宋体" w:cs="宋体"/>
          <w:kern w:val="0"/>
          <w:sz w:val="24"/>
          <w:szCs w:val="24"/>
        </w:rPr>
        <w:t>投标人名称：_____________ （公章）      全权代表签字： ____________</w:t>
      </w:r>
    </w:p>
    <w:p>
      <w:pPr>
        <w:spacing w:line="600" w:lineRule="exact"/>
        <w:rPr>
          <w:rFonts w:ascii="宋体" w:hAnsi="宋体" w:cs="宋体"/>
          <w:kern w:val="0"/>
          <w:sz w:val="24"/>
          <w:szCs w:val="24"/>
        </w:rPr>
      </w:pPr>
      <w:r>
        <w:rPr>
          <w:rFonts w:hint="eastAsia" w:ascii="宋体" w:hAnsi="宋体" w:cs="宋体"/>
          <w:kern w:val="0"/>
          <w:sz w:val="24"/>
          <w:szCs w:val="24"/>
        </w:rPr>
        <w:t>投标人代表职务： ______________________</w:t>
      </w:r>
    </w:p>
    <w:p>
      <w:pPr>
        <w:spacing w:line="600" w:lineRule="exact"/>
        <w:rPr>
          <w:rFonts w:ascii="宋体" w:hAnsi="宋体" w:cs="宋体"/>
          <w:kern w:val="0"/>
          <w:sz w:val="24"/>
          <w:szCs w:val="24"/>
        </w:rPr>
      </w:pPr>
      <w:r>
        <w:rPr>
          <w:rFonts w:hint="eastAsia" w:ascii="宋体" w:hAnsi="宋体" w:cs="宋体"/>
          <w:kern w:val="0"/>
          <w:sz w:val="24"/>
          <w:szCs w:val="24"/>
        </w:rPr>
        <w:t xml:space="preserve">投标日期： _______年____月____日      </w:t>
      </w:r>
    </w:p>
    <w:p>
      <w:pPr>
        <w:widowControl/>
        <w:spacing w:line="420" w:lineRule="atLeast"/>
        <w:ind w:firstLine="480"/>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widowControl/>
        <w:spacing w:line="420" w:lineRule="atLeast"/>
        <w:rPr>
          <w:rFonts w:ascii="宋体" w:hAnsi="宋体" w:cs="宋体"/>
          <w:kern w:val="0"/>
          <w:sz w:val="24"/>
          <w:szCs w:val="24"/>
        </w:rPr>
      </w:pPr>
    </w:p>
    <w:p>
      <w:pPr>
        <w:rPr>
          <w:rFonts w:ascii="宋体" w:hAnsi="宋体"/>
          <w:b/>
          <w:bCs/>
          <w:sz w:val="36"/>
          <w:szCs w:val="36"/>
        </w:rPr>
      </w:pPr>
    </w:p>
    <w:p>
      <w:pPr>
        <w:rPr>
          <w:rFonts w:ascii="宋体" w:hAnsi="宋体" w:cs="宋体"/>
          <w:b/>
          <w:bCs/>
          <w:kern w:val="0"/>
          <w:sz w:val="28"/>
          <w:szCs w:val="28"/>
        </w:rPr>
      </w:pP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项目名称：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日    期：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致：（采购人名称）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u w:val="single"/>
          <w:lang w:val="zh-CN"/>
        </w:rPr>
      </w:pPr>
      <w:r>
        <w:rPr>
          <w:rFonts w:hint="eastAsia" w:ascii="宋体" w:hAnsi="宋体" w:cs="宋体"/>
          <w:kern w:val="0"/>
          <w:sz w:val="24"/>
          <w:szCs w:val="24"/>
          <w:lang w:val="zh-CN"/>
        </w:rPr>
        <w:t>注册于</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（注册地址）的</w:t>
      </w:r>
      <w:r>
        <w:rPr>
          <w:rFonts w:hint="eastAsia" w:ascii="宋体" w:hAnsi="宋体" w:cs="宋体"/>
          <w:kern w:val="0"/>
          <w:sz w:val="24"/>
          <w:szCs w:val="24"/>
          <w:u w:val="single"/>
          <w:lang w:val="zh-CN"/>
        </w:rPr>
        <w:t xml:space="preserve">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（投标人名称），系中华人民共和国合法企业；本人</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（授权人姓名）系该公司的法定代表人。现特授权本单位的（被授权人姓名）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为我公司合法代理人，全权代表我公司办理就</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我公司对被授权人的签名负全部责任。</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被授权人身份证复印件：</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投标人公章：</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授权人签名：                       职        务：                </w:t>
      </w: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 xml:space="preserve">被授权人签名：                     </w:t>
      </w:r>
    </w:p>
    <w:p>
      <w:pPr>
        <w:spacing w:line="400" w:lineRule="exact"/>
        <w:ind w:firstLine="480" w:firstLineChars="200"/>
        <w:rPr>
          <w:rFonts w:ascii="宋体" w:hAnsi="宋体" w:cs="宋体"/>
          <w:kern w:val="0"/>
          <w:sz w:val="24"/>
          <w:szCs w:val="24"/>
          <w:lang w:val="zh-CN"/>
        </w:rPr>
      </w:pPr>
    </w:p>
    <w:p>
      <w:pPr>
        <w:spacing w:line="4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注：投标人法定代表人参加投标的，提供法定代表人证明书和身份证明即可。</w:t>
      </w:r>
    </w:p>
    <w:p>
      <w:pPr>
        <w:spacing w:line="400" w:lineRule="exact"/>
        <w:rPr>
          <w:rFonts w:ascii="宋体" w:hAnsi="宋体" w:cs="宋体"/>
          <w:kern w:val="0"/>
          <w:sz w:val="24"/>
          <w:szCs w:val="2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napToGrid w:val="0"/>
        <w:spacing w:before="50" w:after="50"/>
        <w:rPr>
          <w:rFonts w:ascii="宋体" w:hAnsi="宋体"/>
          <w:b/>
          <w:sz w:val="24"/>
          <w:szCs w:val="24"/>
        </w:rPr>
      </w:pPr>
      <w:r>
        <w:rPr>
          <w:rFonts w:hint="eastAsia" w:ascii="宋体" w:hAnsi="宋体"/>
          <w:b/>
          <w:sz w:val="24"/>
          <w:szCs w:val="24"/>
        </w:rPr>
        <w:t>附件五、报价一览表</w:t>
      </w:r>
    </w:p>
    <w:p>
      <w:pPr>
        <w:snapToGrid w:val="0"/>
        <w:spacing w:before="50" w:after="50"/>
        <w:jc w:val="center"/>
        <w:rPr>
          <w:rFonts w:ascii="宋体" w:hAnsi="宋体"/>
          <w:b/>
          <w:sz w:val="24"/>
          <w:szCs w:val="24"/>
        </w:rPr>
      </w:pPr>
      <w:r>
        <w:rPr>
          <w:rFonts w:hint="eastAsia" w:ascii="宋体" w:hAnsi="宋体"/>
          <w:b/>
          <w:sz w:val="24"/>
          <w:szCs w:val="24"/>
        </w:rPr>
        <w:t>报价一览表</w:t>
      </w:r>
    </w:p>
    <w:p>
      <w:pPr>
        <w:snapToGrid w:val="0"/>
        <w:spacing w:before="50" w:after="50"/>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rPr>
        <w:t>投标人名称：</w:t>
      </w:r>
      <w:r>
        <w:rPr>
          <w:rFonts w:ascii="宋体" w:hAnsi="宋体"/>
          <w:sz w:val="24"/>
          <w:szCs w:val="24"/>
          <w:u w:val="single"/>
        </w:rPr>
        <w:t xml:space="preserve">                    </w:t>
      </w:r>
      <w:r>
        <w:rPr>
          <w:rFonts w:hint="eastAsia" w:ascii="宋体" w:hAnsi="宋体"/>
          <w:sz w:val="24"/>
          <w:szCs w:val="24"/>
        </w:rPr>
        <w:t>单位：元</w:t>
      </w:r>
      <w:r>
        <w:rPr>
          <w:rFonts w:ascii="宋体" w:hAnsi="宋体"/>
          <w:sz w:val="24"/>
          <w:szCs w:val="24"/>
        </w:rPr>
        <w:t xml:space="preserve">                        </w:t>
      </w:r>
    </w:p>
    <w:tbl>
      <w:tblPr>
        <w:tblStyle w:val="1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rPr>
            </w:pPr>
            <w:r>
              <w:rPr>
                <w:rFonts w:hint="eastAsia" w:ascii="宋体" w:hAnsi="宋体"/>
                <w:b/>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ascii="宋体" w:hAnsi="宋体"/>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lang w:val="en-US" w:eastAsia="zh-CN"/>
              </w:rPr>
              <w:t>浙江大学医学院附属第四医院南门停车系统建设项目</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r>
              <w:rPr>
                <w:rFonts w:hint="eastAsia" w:ascii="宋体" w:hAnsi="宋体"/>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szCs w:val="24"/>
                <w:lang w:val="en-US" w:eastAsia="zh-CN"/>
              </w:rPr>
            </w:pPr>
            <w:r>
              <w:rPr>
                <w:rFonts w:hint="eastAsia" w:ascii="宋体" w:hAnsi="宋体"/>
                <w:sz w:val="24"/>
                <w:szCs w:val="24"/>
                <w:lang w:val="en-US" w:eastAsia="zh-CN"/>
              </w:rPr>
              <w:t>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rPr>
            </w:pPr>
            <w:r>
              <w:rPr>
                <w:rFonts w:hint="eastAsia" w:ascii="宋体" w:hAnsi="宋体"/>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rPr>
            </w:pPr>
            <w:r>
              <w:rPr>
                <w:rFonts w:hint="eastAsia" w:ascii="宋体" w:hAnsi="宋体"/>
                <w:sz w:val="24"/>
                <w:szCs w:val="24"/>
              </w:rPr>
              <w:t>合计金额大写：                                     ￥</w:t>
            </w:r>
            <w:r>
              <w:rPr>
                <w:rFonts w:ascii="宋体" w:hAnsi="宋体"/>
                <w:sz w:val="24"/>
                <w:szCs w:val="24"/>
                <w:u w:val="single"/>
              </w:rPr>
              <w:t xml:space="preserve">            </w:t>
            </w:r>
          </w:p>
          <w:p>
            <w:pPr>
              <w:snapToGrid w:val="0"/>
              <w:spacing w:before="50" w:after="5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tc>
      </w:tr>
    </w:tbl>
    <w:p>
      <w:pPr>
        <w:snapToGrid w:val="0"/>
        <w:spacing w:before="50" w:after="50" w:line="420" w:lineRule="exact"/>
        <w:jc w:val="left"/>
        <w:rPr>
          <w:rFonts w:ascii="宋体" w:hAnsi="宋体"/>
          <w:sz w:val="24"/>
          <w:szCs w:val="24"/>
        </w:rPr>
      </w:pPr>
      <w:r>
        <w:rPr>
          <w:rFonts w:hint="eastAsia" w:ascii="宋体" w:hAnsi="宋体"/>
          <w:sz w:val="24"/>
          <w:szCs w:val="24"/>
        </w:rPr>
        <w:t>注</w:t>
      </w:r>
      <w:r>
        <w:rPr>
          <w:rFonts w:ascii="宋体" w:hAnsi="宋体"/>
          <w:sz w:val="24"/>
          <w:szCs w:val="24"/>
        </w:rPr>
        <w:t>: 1</w:t>
      </w:r>
      <w:r>
        <w:rPr>
          <w:rFonts w:hint="eastAsia" w:ascii="宋体" w:hAnsi="宋体"/>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法定代表人或授权代表（签字或盖章）：</w:t>
      </w:r>
      <w:r>
        <w:rPr>
          <w:rFonts w:ascii="宋体" w:hAnsi="宋体"/>
          <w:sz w:val="24"/>
          <w:szCs w:val="24"/>
        </w:rPr>
        <w:t xml:space="preserve">                    </w:t>
      </w: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p>
    <w:p>
      <w:pPr>
        <w:snapToGrid w:val="0"/>
        <w:spacing w:before="50" w:after="50"/>
        <w:ind w:left="-3" w:leftChars="-72" w:right="-817" w:rightChars="-389" w:hanging="148" w:hangingChars="62"/>
        <w:rPr>
          <w:rFonts w:ascii="宋体" w:hAnsi="宋体"/>
          <w:sz w:val="24"/>
          <w:szCs w:val="24"/>
        </w:rPr>
      </w:pP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pStyle w:val="2"/>
        <w:snapToGrid w:val="0"/>
        <w:spacing w:before="295" w:after="295"/>
        <w:rPr>
          <w:rFonts w:hAnsi="宋体"/>
          <w:b/>
        </w:rPr>
      </w:pPr>
    </w:p>
    <w:p>
      <w:pPr>
        <w:pStyle w:val="2"/>
        <w:snapToGrid w:val="0"/>
        <w:spacing w:before="295" w:after="295"/>
        <w:rPr>
          <w:rFonts w:hAnsi="宋体"/>
          <w:b/>
        </w:rPr>
      </w:pPr>
    </w:p>
    <w:p>
      <w:pPr>
        <w:pStyle w:val="2"/>
        <w:snapToGrid w:val="0"/>
        <w:spacing w:before="295" w:after="295"/>
        <w:rPr>
          <w:rFonts w:hAnsi="宋体"/>
          <w:b/>
        </w:rPr>
      </w:pPr>
    </w:p>
    <w:p>
      <w:pPr>
        <w:pStyle w:val="2"/>
        <w:snapToGrid w:val="0"/>
        <w:spacing w:before="295" w:after="295"/>
        <w:rPr>
          <w:rFonts w:hAnsi="宋体"/>
          <w:b/>
        </w:rPr>
      </w:pPr>
    </w:p>
    <w:p>
      <w:pPr>
        <w:pStyle w:val="2"/>
        <w:snapToGrid w:val="0"/>
        <w:spacing w:before="295" w:after="295"/>
        <w:rPr>
          <w:rFonts w:hAnsi="宋体"/>
          <w:b/>
        </w:rPr>
      </w:pPr>
    </w:p>
    <w:p>
      <w:pPr>
        <w:pStyle w:val="2"/>
        <w:snapToGrid w:val="0"/>
        <w:spacing w:before="295" w:after="295"/>
        <w:rPr>
          <w:rFonts w:hAnsi="宋体"/>
          <w:b/>
        </w:rPr>
      </w:pPr>
    </w:p>
    <w:p>
      <w:pPr>
        <w:pStyle w:val="2"/>
        <w:snapToGrid w:val="0"/>
        <w:spacing w:before="295" w:after="295"/>
        <w:rPr>
          <w:rFonts w:hAnsi="宋体"/>
          <w:b/>
        </w:rPr>
      </w:pPr>
    </w:p>
    <w:p>
      <w:pPr>
        <w:pStyle w:val="2"/>
        <w:snapToGrid w:val="0"/>
        <w:spacing w:before="295" w:after="295"/>
        <w:rPr>
          <w:rFonts w:hAnsi="宋体"/>
          <w:b/>
        </w:rPr>
      </w:pPr>
    </w:p>
    <w:p>
      <w:pPr>
        <w:pStyle w:val="2"/>
        <w:snapToGrid w:val="0"/>
        <w:spacing w:before="295" w:after="295"/>
        <w:rPr>
          <w:rFonts w:hAnsi="宋体"/>
          <w:b/>
          <w:sz w:val="24"/>
          <w:szCs w:val="24"/>
        </w:rPr>
      </w:pPr>
      <w:r>
        <w:rPr>
          <w:rFonts w:hint="eastAsia" w:hAnsi="宋体"/>
          <w:b/>
          <w:sz w:val="24"/>
          <w:szCs w:val="24"/>
        </w:rPr>
        <w:t xml:space="preserve">附件六 </w:t>
      </w:r>
      <w:r>
        <w:rPr>
          <w:rFonts w:hAnsi="宋体"/>
          <w:b/>
          <w:sz w:val="24"/>
          <w:szCs w:val="24"/>
        </w:rPr>
        <w:t xml:space="preserve">投标报价明细表格式：       </w:t>
      </w:r>
    </w:p>
    <w:p>
      <w:pPr>
        <w:pStyle w:val="2"/>
        <w:snapToGrid w:val="0"/>
        <w:spacing w:before="295" w:after="295"/>
        <w:jc w:val="center"/>
        <w:rPr>
          <w:rFonts w:hAnsi="宋体"/>
          <w:sz w:val="24"/>
          <w:szCs w:val="24"/>
        </w:rPr>
      </w:pPr>
      <w:r>
        <w:rPr>
          <w:rFonts w:hAnsi="宋体"/>
          <w:sz w:val="24"/>
          <w:szCs w:val="24"/>
        </w:rPr>
        <w:t>投标报价明细表</w:t>
      </w:r>
    </w:p>
    <w:p>
      <w:pPr>
        <w:pStyle w:val="2"/>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50" w:after="50" w:line="240" w:lineRule="auto"/>
              <w:rPr>
                <w:rFonts w:ascii="宋体" w:hAnsi="宋体" w:eastAsia="宋体"/>
                <w:sz w:val="21"/>
                <w:szCs w:val="21"/>
              </w:rPr>
            </w:pPr>
            <w:r>
              <w:rPr>
                <w:rFonts w:hint="eastAsia" w:ascii="宋体" w:hAnsi="宋体" w:eastAsia="宋体"/>
                <w:sz w:val="21"/>
                <w:szCs w:val="21"/>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数字道闸</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地感处理器</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车牌识别控制机</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出口控制终端</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ETC网关</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数字道闸</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地感处理器</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val="en-US" w:eastAsia="zh-CN"/>
              </w:rPr>
            </w:pPr>
            <w:r>
              <w:rPr>
                <w:rFonts w:hint="eastAsia" w:ascii="宋体" w:hAnsi="宋体"/>
                <w:spacing w:val="20"/>
                <w:szCs w:val="21"/>
                <w:lang w:val="en-US" w:eastAsia="zh-CN"/>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spacing w:val="20"/>
                <w:szCs w:val="21"/>
              </w:rPr>
            </w:pPr>
            <w:r>
              <w:rPr>
                <w:rFonts w:hint="eastAsia" w:ascii="宋体" w:hAnsi="宋体" w:eastAsia="宋体" w:cs="宋体"/>
                <w:i w:val="0"/>
                <w:iCs w:val="0"/>
                <w:color w:val="000000"/>
                <w:kern w:val="0"/>
                <w:sz w:val="20"/>
                <w:szCs w:val="20"/>
                <w:u w:val="none"/>
                <w:lang w:val="en-US" w:eastAsia="zh-CN" w:bidi="ar"/>
              </w:rPr>
              <w:t>车牌识别控制机</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ascii="宋体" w:hAnsi="宋体"/>
                <w:spacing w:val="20"/>
                <w:szCs w:val="21"/>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szCs w:val="24"/>
          <w:u w:val="single"/>
        </w:rPr>
      </w:pPr>
    </w:p>
    <w:p>
      <w:pPr>
        <w:snapToGrid w:val="0"/>
        <w:spacing w:before="50" w:after="50"/>
        <w:rPr>
          <w:rFonts w:ascii="宋体" w:hAnsi="宋体"/>
          <w:spacing w:val="20"/>
          <w:sz w:val="24"/>
          <w:szCs w:val="24"/>
          <w:u w:val="single"/>
        </w:rPr>
      </w:pPr>
      <w:r>
        <w:rPr>
          <w:rFonts w:hint="eastAsia" w:ascii="宋体" w:hAnsi="宋体"/>
          <w:spacing w:val="20"/>
          <w:sz w:val="24"/>
          <w:szCs w:val="24"/>
        </w:rPr>
        <w:t>授权代表签名：</w:t>
      </w:r>
      <w:r>
        <w:rPr>
          <w:rFonts w:ascii="宋体" w:hAnsi="宋体"/>
          <w:spacing w:val="20"/>
          <w:sz w:val="24"/>
          <w:szCs w:val="24"/>
          <w:u w:val="single"/>
        </w:rPr>
        <w:t xml:space="preserve">     </w:t>
      </w:r>
      <w:r>
        <w:rPr>
          <w:rFonts w:hint="eastAsia" w:ascii="宋体" w:hAnsi="宋体"/>
          <w:spacing w:val="20"/>
          <w:sz w:val="24"/>
          <w:szCs w:val="24"/>
          <w:u w:val="single"/>
        </w:rPr>
        <w:t xml:space="preserve">   </w:t>
      </w:r>
      <w:r>
        <w:rPr>
          <w:rFonts w:ascii="宋体" w:hAnsi="宋体"/>
          <w:spacing w:val="20"/>
          <w:sz w:val="24"/>
          <w:szCs w:val="24"/>
          <w:u w:val="single"/>
        </w:rPr>
        <w:t xml:space="preserve">     </w:t>
      </w: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rPr>
      </w:pPr>
    </w:p>
    <w:p>
      <w:pPr>
        <w:snapToGrid w:val="0"/>
        <w:spacing w:before="50" w:after="50"/>
        <w:rPr>
          <w:rFonts w:ascii="宋体" w:hAnsi="宋体"/>
          <w:spacing w:val="20"/>
          <w:sz w:val="24"/>
          <w:szCs w:val="24"/>
          <w:u w:val="single"/>
        </w:rPr>
      </w:pPr>
      <w:r>
        <w:rPr>
          <w:rFonts w:hint="eastAsia" w:ascii="宋体" w:hAnsi="宋体"/>
          <w:spacing w:val="20"/>
          <w:sz w:val="24"/>
          <w:szCs w:val="24"/>
        </w:rPr>
        <w:t>投标人盖章：</w:t>
      </w:r>
      <w:r>
        <w:rPr>
          <w:rFonts w:ascii="宋体" w:hAnsi="宋体"/>
          <w:spacing w:val="20"/>
          <w:sz w:val="24"/>
          <w:szCs w:val="24"/>
          <w:u w:val="single"/>
        </w:rPr>
        <w:t xml:space="preserve">               </w:t>
      </w:r>
      <w:r>
        <w:rPr>
          <w:rFonts w:ascii="宋体" w:hAnsi="宋体"/>
          <w:spacing w:val="20"/>
          <w:sz w:val="24"/>
          <w:szCs w:val="24"/>
        </w:rPr>
        <w:t xml:space="preserve">           </w:t>
      </w:r>
      <w:r>
        <w:rPr>
          <w:rFonts w:hint="eastAsia" w:ascii="宋体" w:hAnsi="宋体"/>
          <w:spacing w:val="20"/>
          <w:sz w:val="24"/>
          <w:szCs w:val="24"/>
        </w:rPr>
        <w:t>日</w:t>
      </w:r>
      <w:r>
        <w:rPr>
          <w:rFonts w:ascii="宋体" w:hAnsi="宋体"/>
          <w:spacing w:val="20"/>
          <w:sz w:val="24"/>
          <w:szCs w:val="24"/>
        </w:rPr>
        <w:t xml:space="preserve">  </w:t>
      </w:r>
      <w:r>
        <w:rPr>
          <w:rFonts w:hint="eastAsia" w:ascii="宋体" w:hAnsi="宋体"/>
          <w:spacing w:val="20"/>
          <w:sz w:val="24"/>
          <w:szCs w:val="24"/>
        </w:rPr>
        <w:t>期：</w:t>
      </w:r>
      <w:r>
        <w:rPr>
          <w:rFonts w:ascii="宋体" w:hAnsi="宋体"/>
          <w:spacing w:val="20"/>
          <w:sz w:val="24"/>
          <w:szCs w:val="24"/>
          <w:u w:val="single"/>
        </w:rPr>
        <w:t xml:space="preserve">         </w:t>
      </w:r>
    </w:p>
    <w:p>
      <w:pPr>
        <w:pStyle w:val="2"/>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FF0000"/>
          <w:sz w:val="24"/>
          <w:szCs w:val="24"/>
        </w:rPr>
      </w:pPr>
      <w:r>
        <w:rPr>
          <w:rFonts w:hint="eastAsia" w:ascii="宋体" w:hAnsi="宋体"/>
          <w:sz w:val="24"/>
          <w:szCs w:val="24"/>
        </w:rPr>
        <w:t>2、以上</w:t>
      </w:r>
      <w:r>
        <w:rPr>
          <w:rFonts w:hint="eastAsia" w:ascii="宋体" w:hAnsi="宋体"/>
          <w:color w:val="FF0000"/>
          <w:sz w:val="24"/>
          <w:szCs w:val="24"/>
        </w:rPr>
        <w:t>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szCs w:val="24"/>
        </w:rPr>
      </w:pPr>
      <w:r>
        <w:rPr>
          <w:rFonts w:hint="eastAsia" w:ascii="宋体" w:hAnsi="宋体"/>
          <w:sz w:val="24"/>
          <w:szCs w:val="24"/>
        </w:rPr>
        <w:t>附件七 技术规格偏离表格式</w:t>
      </w:r>
    </w:p>
    <w:p>
      <w:pPr>
        <w:spacing w:line="360" w:lineRule="auto"/>
        <w:jc w:val="center"/>
        <w:rPr>
          <w:rFonts w:ascii="宋体" w:hAnsi="宋体"/>
          <w:b/>
          <w:sz w:val="24"/>
          <w:szCs w:val="24"/>
        </w:rPr>
      </w:pPr>
      <w:r>
        <w:rPr>
          <w:rFonts w:hint="eastAsia" w:ascii="宋体" w:hAnsi="宋体"/>
          <w:b/>
          <w:sz w:val="24"/>
          <w:szCs w:val="24"/>
        </w:rPr>
        <w:t>技术规格偏离表</w:t>
      </w: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1440" w:type="dxa"/>
            <w:vAlign w:val="center"/>
          </w:tcPr>
          <w:p>
            <w:pPr>
              <w:spacing w:line="360" w:lineRule="auto"/>
              <w:jc w:val="center"/>
              <w:rPr>
                <w:rFonts w:ascii="宋体" w:hAnsi="宋体"/>
                <w:sz w:val="24"/>
                <w:szCs w:val="24"/>
              </w:rPr>
            </w:pPr>
            <w:r>
              <w:rPr>
                <w:rFonts w:hint="eastAsia" w:ascii="宋体" w:hAnsi="宋体"/>
                <w:sz w:val="24"/>
                <w:szCs w:val="24"/>
              </w:rPr>
              <w:t>招标要求</w:t>
            </w:r>
          </w:p>
        </w:tc>
        <w:tc>
          <w:tcPr>
            <w:tcW w:w="1980" w:type="dxa"/>
            <w:vAlign w:val="center"/>
          </w:tcPr>
          <w:p>
            <w:pPr>
              <w:spacing w:line="360" w:lineRule="auto"/>
              <w:jc w:val="center"/>
              <w:rPr>
                <w:rFonts w:ascii="宋体" w:hAnsi="宋体"/>
                <w:sz w:val="24"/>
                <w:szCs w:val="24"/>
              </w:rPr>
            </w:pPr>
            <w:r>
              <w:rPr>
                <w:rFonts w:hint="eastAsia" w:ascii="宋体" w:hAnsi="宋体"/>
                <w:sz w:val="24"/>
                <w:szCs w:val="24"/>
              </w:rPr>
              <w:t>投标响应情况</w:t>
            </w:r>
          </w:p>
        </w:tc>
        <w:tc>
          <w:tcPr>
            <w:tcW w:w="882" w:type="dxa"/>
            <w:vAlign w:val="center"/>
          </w:tcPr>
          <w:p>
            <w:pPr>
              <w:spacing w:line="360" w:lineRule="auto"/>
              <w:jc w:val="center"/>
              <w:rPr>
                <w:rFonts w:ascii="宋体" w:hAnsi="宋体"/>
                <w:sz w:val="24"/>
                <w:szCs w:val="24"/>
              </w:rPr>
            </w:pPr>
            <w:r>
              <w:rPr>
                <w:rFonts w:hint="eastAsia" w:ascii="宋体" w:hAnsi="宋体"/>
                <w:sz w:val="24"/>
                <w:szCs w:val="24"/>
              </w:rPr>
              <w:t>偏离</w:t>
            </w:r>
          </w:p>
        </w:tc>
        <w:tc>
          <w:tcPr>
            <w:tcW w:w="1638"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1440" w:type="dxa"/>
          </w:tcPr>
          <w:p>
            <w:pPr>
              <w:spacing w:line="360" w:lineRule="auto"/>
              <w:rPr>
                <w:rFonts w:ascii="宋体" w:hAnsi="宋体"/>
                <w:sz w:val="24"/>
                <w:szCs w:val="24"/>
              </w:rPr>
            </w:pPr>
          </w:p>
        </w:tc>
        <w:tc>
          <w:tcPr>
            <w:tcW w:w="1980" w:type="dxa"/>
          </w:tcPr>
          <w:p>
            <w:pPr>
              <w:spacing w:line="360" w:lineRule="auto"/>
              <w:rPr>
                <w:rFonts w:ascii="宋体" w:hAnsi="宋体"/>
                <w:sz w:val="24"/>
                <w:szCs w:val="24"/>
              </w:rPr>
            </w:pPr>
          </w:p>
        </w:tc>
        <w:tc>
          <w:tcPr>
            <w:tcW w:w="882" w:type="dxa"/>
          </w:tcPr>
          <w:p>
            <w:pPr>
              <w:spacing w:line="360" w:lineRule="auto"/>
              <w:rPr>
                <w:rFonts w:ascii="宋体" w:hAnsi="宋体"/>
                <w:sz w:val="24"/>
                <w:szCs w:val="24"/>
              </w:rPr>
            </w:pPr>
          </w:p>
        </w:tc>
        <w:tc>
          <w:tcPr>
            <w:tcW w:w="163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adjustRightInd w:val="0"/>
        <w:snapToGrid w:val="0"/>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rPr>
        <w:br w:type="page"/>
      </w:r>
      <w:r>
        <w:rPr>
          <w:rFonts w:hint="eastAsia" w:ascii="宋体" w:hAnsi="宋体"/>
          <w:sz w:val="24"/>
          <w:szCs w:val="24"/>
        </w:rPr>
        <w:t>附件八 商务条款偏离表</w:t>
      </w:r>
    </w:p>
    <w:p>
      <w:pPr>
        <w:spacing w:line="360" w:lineRule="auto"/>
        <w:rPr>
          <w:rFonts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商务条款偏离表</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招标编号：</w:t>
      </w:r>
      <w:r>
        <w:rPr>
          <w:rFonts w:ascii="宋体" w:hAnsi="宋体"/>
          <w:sz w:val="24"/>
          <w:szCs w:val="24"/>
          <w:u w:val="single"/>
        </w:rPr>
        <w:t xml:space="preserve">             </w:t>
      </w:r>
      <w:r>
        <w:rPr>
          <w:rFonts w:hint="eastAsia" w:ascii="宋体" w:hAnsi="宋体"/>
          <w:sz w:val="24"/>
          <w:szCs w:val="24"/>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szCs w:val="24"/>
              </w:rPr>
            </w:pPr>
            <w:r>
              <w:rPr>
                <w:rFonts w:hint="eastAsia" w:ascii="宋体" w:hAnsi="宋体"/>
                <w:sz w:val="24"/>
                <w:szCs w:val="24"/>
              </w:rPr>
              <w:t>序号</w:t>
            </w:r>
          </w:p>
        </w:tc>
        <w:tc>
          <w:tcPr>
            <w:tcW w:w="2250" w:type="dxa"/>
            <w:vAlign w:val="center"/>
          </w:tcPr>
          <w:p>
            <w:pPr>
              <w:spacing w:line="360" w:lineRule="auto"/>
              <w:jc w:val="center"/>
              <w:rPr>
                <w:rFonts w:ascii="宋体" w:hAnsi="宋体"/>
                <w:sz w:val="24"/>
                <w:szCs w:val="24"/>
              </w:rPr>
            </w:pPr>
            <w:r>
              <w:rPr>
                <w:rFonts w:hint="eastAsia" w:ascii="宋体" w:hAnsi="宋体"/>
                <w:sz w:val="24"/>
                <w:szCs w:val="24"/>
              </w:rPr>
              <w:t>招标文件条目号</w:t>
            </w:r>
          </w:p>
        </w:tc>
        <w:tc>
          <w:tcPr>
            <w:tcW w:w="2160" w:type="dxa"/>
            <w:vAlign w:val="center"/>
          </w:tcPr>
          <w:p>
            <w:pPr>
              <w:spacing w:line="360" w:lineRule="auto"/>
              <w:jc w:val="center"/>
              <w:rPr>
                <w:rFonts w:ascii="宋体" w:hAnsi="宋体"/>
                <w:sz w:val="24"/>
                <w:szCs w:val="24"/>
              </w:rPr>
            </w:pPr>
            <w:r>
              <w:rPr>
                <w:rFonts w:hint="eastAsia" w:ascii="宋体" w:hAnsi="宋体"/>
                <w:sz w:val="24"/>
                <w:szCs w:val="24"/>
              </w:rPr>
              <w:t>招标文件的商务条款</w:t>
            </w:r>
          </w:p>
        </w:tc>
        <w:tc>
          <w:tcPr>
            <w:tcW w:w="2730" w:type="dxa"/>
            <w:vAlign w:val="center"/>
          </w:tcPr>
          <w:p>
            <w:pPr>
              <w:spacing w:line="360" w:lineRule="auto"/>
              <w:jc w:val="center"/>
              <w:rPr>
                <w:rFonts w:ascii="宋体" w:hAnsi="宋体"/>
                <w:sz w:val="24"/>
                <w:szCs w:val="24"/>
              </w:rPr>
            </w:pPr>
            <w:r>
              <w:rPr>
                <w:rFonts w:hint="eastAsia" w:ascii="宋体" w:hAnsi="宋体"/>
                <w:sz w:val="24"/>
                <w:szCs w:val="24"/>
              </w:rPr>
              <w:t>投标文件的商务条款</w:t>
            </w:r>
          </w:p>
        </w:tc>
        <w:tc>
          <w:tcPr>
            <w:tcW w:w="945" w:type="dxa"/>
            <w:vAlign w:val="center"/>
          </w:tcPr>
          <w:p>
            <w:pPr>
              <w:spacing w:line="360" w:lineRule="auto"/>
              <w:jc w:val="center"/>
              <w:rPr>
                <w:rFonts w:ascii="宋体" w:hAnsi="宋体"/>
                <w:sz w:val="24"/>
                <w:szCs w:val="24"/>
              </w:rPr>
            </w:pPr>
            <w:r>
              <w:rPr>
                <w:rFonts w:hint="eastAsia" w:ascii="宋体" w:hAnsi="宋体"/>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szCs w:val="24"/>
              </w:rPr>
            </w:pPr>
          </w:p>
        </w:tc>
        <w:tc>
          <w:tcPr>
            <w:tcW w:w="2250" w:type="dxa"/>
          </w:tcPr>
          <w:p>
            <w:pPr>
              <w:spacing w:line="360" w:lineRule="auto"/>
              <w:rPr>
                <w:rFonts w:ascii="宋体" w:hAnsi="宋体"/>
                <w:sz w:val="24"/>
                <w:szCs w:val="24"/>
              </w:rPr>
            </w:pPr>
          </w:p>
        </w:tc>
        <w:tc>
          <w:tcPr>
            <w:tcW w:w="2160" w:type="dxa"/>
          </w:tcPr>
          <w:p>
            <w:pPr>
              <w:spacing w:line="360" w:lineRule="auto"/>
              <w:rPr>
                <w:rFonts w:ascii="宋体" w:hAnsi="宋体"/>
                <w:sz w:val="24"/>
                <w:szCs w:val="24"/>
              </w:rPr>
            </w:pPr>
          </w:p>
        </w:tc>
        <w:tc>
          <w:tcPr>
            <w:tcW w:w="2730" w:type="dxa"/>
          </w:tcPr>
          <w:p>
            <w:pPr>
              <w:spacing w:line="360" w:lineRule="auto"/>
              <w:rPr>
                <w:rFonts w:ascii="宋体" w:hAnsi="宋体"/>
                <w:sz w:val="24"/>
                <w:szCs w:val="24"/>
              </w:rPr>
            </w:pPr>
          </w:p>
        </w:tc>
        <w:tc>
          <w:tcPr>
            <w:tcW w:w="94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b/>
          <w:sz w:val="24"/>
          <w:szCs w:val="24"/>
        </w:rPr>
        <w:t>备注：本表不填写或未填写的内容，视作完全响应招标文件的要求。</w:t>
      </w:r>
    </w:p>
    <w:p>
      <w:pPr>
        <w:spacing w:line="360" w:lineRule="auto"/>
        <w:rPr>
          <w:rFonts w:ascii="宋体" w:hAnsi="宋体"/>
          <w:sz w:val="24"/>
          <w:szCs w:val="24"/>
        </w:rPr>
      </w:pPr>
    </w:p>
    <w:p>
      <w:pPr>
        <w:adjustRightInd w:val="0"/>
        <w:snapToGrid w:val="0"/>
        <w:spacing w:line="360" w:lineRule="auto"/>
        <w:rPr>
          <w:rFonts w:ascii="宋体" w:hAnsi="宋体"/>
          <w:sz w:val="24"/>
          <w:szCs w:val="24"/>
        </w:rPr>
      </w:pPr>
      <w:r>
        <w:rPr>
          <w:rFonts w:hint="eastAsia" w:ascii="宋体" w:hAnsi="宋体"/>
          <w:sz w:val="24"/>
          <w:szCs w:val="24"/>
        </w:rPr>
        <w:t xml:space="preserve">投标人：（盖章）       </w:t>
      </w:r>
    </w:p>
    <w:p>
      <w:pPr>
        <w:adjustRightInd w:val="0"/>
        <w:snapToGrid w:val="0"/>
        <w:spacing w:line="360" w:lineRule="auto"/>
        <w:rPr>
          <w:rFonts w:ascii="宋体" w:hAnsi="宋体"/>
          <w:sz w:val="24"/>
          <w:szCs w:val="24"/>
        </w:rPr>
      </w:pPr>
      <w:r>
        <w:rPr>
          <w:rFonts w:hint="eastAsia" w:ascii="宋体" w:hAnsi="宋体"/>
          <w:sz w:val="24"/>
          <w:szCs w:val="24"/>
        </w:rPr>
        <w:t>法定代表人或授权代表人：（签字或盖章）</w:t>
      </w:r>
    </w:p>
    <w:p>
      <w:pPr>
        <w:spacing w:line="360" w:lineRule="auto"/>
        <w:rPr>
          <w:rFonts w:ascii="宋体" w:hAnsi="宋体"/>
          <w:sz w:val="24"/>
          <w:szCs w:val="24"/>
        </w:rPr>
      </w:pPr>
      <w:r>
        <w:rPr>
          <w:rFonts w:hint="eastAsia" w:ascii="宋体" w:hAnsi="宋体"/>
          <w:sz w:val="24"/>
          <w:szCs w:val="24"/>
        </w:rPr>
        <w:t>日期：</w:t>
      </w:r>
    </w:p>
    <w:p>
      <w:pPr>
        <w:spacing w:line="360" w:lineRule="auto"/>
        <w:rPr>
          <w:rFonts w:ascii="宋体" w:hAnsi="宋体"/>
          <w:color w:val="FF0000"/>
          <w:sz w:val="24"/>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2C195"/>
    <w:multiLevelType w:val="singleLevel"/>
    <w:tmpl w:val="A312C195"/>
    <w:lvl w:ilvl="0" w:tentative="0">
      <w:start w:val="1"/>
      <w:numFmt w:val="decimal"/>
      <w:suff w:val="nothing"/>
      <w:lvlText w:val="%1、"/>
      <w:lvlJc w:val="left"/>
    </w:lvl>
  </w:abstractNum>
  <w:abstractNum w:abstractNumId="1">
    <w:nsid w:val="D547962A"/>
    <w:multiLevelType w:val="singleLevel"/>
    <w:tmpl w:val="D547962A"/>
    <w:lvl w:ilvl="0" w:tentative="0">
      <w:start w:val="21"/>
      <w:numFmt w:val="decimal"/>
      <w:suff w:val="nothing"/>
      <w:lvlText w:val="%1、"/>
      <w:lvlJc w:val="left"/>
    </w:lvl>
  </w:abstractNum>
  <w:abstractNum w:abstractNumId="2">
    <w:nsid w:val="E182D594"/>
    <w:multiLevelType w:val="singleLevel"/>
    <w:tmpl w:val="E182D594"/>
    <w:lvl w:ilvl="0" w:tentative="0">
      <w:start w:val="1"/>
      <w:numFmt w:val="decimal"/>
      <w:suff w:val="nothing"/>
      <w:lvlText w:val="%1、"/>
      <w:lvlJc w:val="left"/>
    </w:lvl>
  </w:abstractNum>
  <w:abstractNum w:abstractNumId="3">
    <w:nsid w:val="0CFFD3F5"/>
    <w:multiLevelType w:val="singleLevel"/>
    <w:tmpl w:val="0CFFD3F5"/>
    <w:lvl w:ilvl="0" w:tentative="0">
      <w:start w:val="1"/>
      <w:numFmt w:val="decimal"/>
      <w:suff w:val="nothing"/>
      <w:lvlText w:val="%1、"/>
      <w:lvlJc w:val="left"/>
    </w:lvl>
  </w:abstractNum>
  <w:abstractNum w:abstractNumId="4">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D06436A"/>
    <w:multiLevelType w:val="singleLevel"/>
    <w:tmpl w:val="3D06436A"/>
    <w:lvl w:ilvl="0" w:tentative="0">
      <w:start w:val="1"/>
      <w:numFmt w:val="decimal"/>
      <w:suff w:val="nothing"/>
      <w:lvlText w:val="%1、"/>
      <w:lvlJc w:val="left"/>
    </w:lvl>
  </w:abstractNum>
  <w:abstractNum w:abstractNumId="6">
    <w:nsid w:val="5480A0A5"/>
    <w:multiLevelType w:val="singleLevel"/>
    <w:tmpl w:val="5480A0A5"/>
    <w:lvl w:ilvl="0" w:tentative="0">
      <w:start w:val="1"/>
      <w:numFmt w:val="decimal"/>
      <w:suff w:val="nothing"/>
      <w:lvlText w:val="%1、"/>
      <w:lvlJc w:val="left"/>
    </w:lvl>
  </w:abstractNum>
  <w:abstractNum w:abstractNumId="7">
    <w:nsid w:val="6FB1E527"/>
    <w:multiLevelType w:val="singleLevel"/>
    <w:tmpl w:val="6FB1E527"/>
    <w:lvl w:ilvl="0" w:tentative="0">
      <w:start w:val="2"/>
      <w:numFmt w:val="chineseCounting"/>
      <w:suff w:val="nothing"/>
      <w:lvlText w:val="%1、"/>
      <w:lvlJc w:val="left"/>
      <w:rPr>
        <w:rFonts w:hint="eastAsia"/>
      </w:rPr>
    </w:lvl>
  </w:abstractNum>
  <w:abstractNum w:abstractNumId="8">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
  </w:num>
  <w:num w:numId="3">
    <w:abstractNumId w:val="7"/>
  </w:num>
  <w:num w:numId="4">
    <w:abstractNumId w:val="0"/>
  </w:num>
  <w:num w:numId="5">
    <w:abstractNumId w:val="6"/>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OWFjNzU3MmI3MTc3ZTMzNTAxNzE1ZmI2ZDg0OWE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13E61E2"/>
    <w:rsid w:val="02EC12E0"/>
    <w:rsid w:val="04BD1B14"/>
    <w:rsid w:val="064249C6"/>
    <w:rsid w:val="09E162A4"/>
    <w:rsid w:val="0C10430F"/>
    <w:rsid w:val="0C240E8C"/>
    <w:rsid w:val="14425E15"/>
    <w:rsid w:val="154A4FB3"/>
    <w:rsid w:val="16ED396B"/>
    <w:rsid w:val="1A1D4688"/>
    <w:rsid w:val="1BB51EC1"/>
    <w:rsid w:val="1DA31427"/>
    <w:rsid w:val="1FE25784"/>
    <w:rsid w:val="22F17100"/>
    <w:rsid w:val="261C718E"/>
    <w:rsid w:val="26AD78C3"/>
    <w:rsid w:val="26ED5B19"/>
    <w:rsid w:val="270A69E3"/>
    <w:rsid w:val="275F0078"/>
    <w:rsid w:val="27E21206"/>
    <w:rsid w:val="282737C4"/>
    <w:rsid w:val="2CCA36F7"/>
    <w:rsid w:val="2E8C6971"/>
    <w:rsid w:val="2ECC4AEA"/>
    <w:rsid w:val="30637A5C"/>
    <w:rsid w:val="30843CEB"/>
    <w:rsid w:val="30FA3624"/>
    <w:rsid w:val="32EA622D"/>
    <w:rsid w:val="32F26FC1"/>
    <w:rsid w:val="33E83C08"/>
    <w:rsid w:val="364906FA"/>
    <w:rsid w:val="37CD285C"/>
    <w:rsid w:val="3BA022C3"/>
    <w:rsid w:val="3E943AD3"/>
    <w:rsid w:val="3FB660EB"/>
    <w:rsid w:val="3FF85EE3"/>
    <w:rsid w:val="40AD06B3"/>
    <w:rsid w:val="40DF262D"/>
    <w:rsid w:val="412918AF"/>
    <w:rsid w:val="42307258"/>
    <w:rsid w:val="45E456E5"/>
    <w:rsid w:val="46515FBA"/>
    <w:rsid w:val="4AC3086E"/>
    <w:rsid w:val="4AEB1425"/>
    <w:rsid w:val="4BB161EC"/>
    <w:rsid w:val="4C9B1F8D"/>
    <w:rsid w:val="4F4028E5"/>
    <w:rsid w:val="501F0559"/>
    <w:rsid w:val="51E01838"/>
    <w:rsid w:val="52E36D03"/>
    <w:rsid w:val="532C56D6"/>
    <w:rsid w:val="544B407B"/>
    <w:rsid w:val="55CF6B0A"/>
    <w:rsid w:val="571373A8"/>
    <w:rsid w:val="5C587526"/>
    <w:rsid w:val="5D7C523D"/>
    <w:rsid w:val="61C12377"/>
    <w:rsid w:val="636724EC"/>
    <w:rsid w:val="643620DE"/>
    <w:rsid w:val="645C01BB"/>
    <w:rsid w:val="6478146A"/>
    <w:rsid w:val="64EC0EFA"/>
    <w:rsid w:val="66F842DD"/>
    <w:rsid w:val="673F5550"/>
    <w:rsid w:val="6861368C"/>
    <w:rsid w:val="68B83154"/>
    <w:rsid w:val="694F7CAA"/>
    <w:rsid w:val="69891F2C"/>
    <w:rsid w:val="69C7242D"/>
    <w:rsid w:val="6B751D58"/>
    <w:rsid w:val="6BBE438D"/>
    <w:rsid w:val="6C876472"/>
    <w:rsid w:val="6FBB727A"/>
    <w:rsid w:val="6FD007C0"/>
    <w:rsid w:val="70E1117B"/>
    <w:rsid w:val="71940950"/>
    <w:rsid w:val="72035AD5"/>
    <w:rsid w:val="729D1163"/>
    <w:rsid w:val="77233A1A"/>
    <w:rsid w:val="77530965"/>
    <w:rsid w:val="7BD72BB4"/>
    <w:rsid w:val="7D911873"/>
    <w:rsid w:val="7F44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5"/>
    <w:unhideWhenUsed/>
    <w:qFormat/>
    <w:uiPriority w:val="0"/>
    <w:rPr>
      <w:rFonts w:ascii="宋体" w:hAnsi="Courier New" w:cs="Courier New"/>
      <w:szCs w:val="21"/>
    </w:rPr>
  </w:style>
  <w:style w:type="paragraph" w:styleId="4">
    <w:name w:val="Normal Indent"/>
    <w:basedOn w:val="1"/>
    <w:qFormat/>
    <w:uiPriority w:val="0"/>
    <w:pPr>
      <w:ind w:firstLine="420"/>
    </w:pPr>
    <w:rPr>
      <w:rFonts w:eastAsia="仿宋_GB2312"/>
      <w:sz w:val="32"/>
    </w:rPr>
  </w:style>
  <w:style w:type="paragraph" w:styleId="5">
    <w:name w:val="annotation text"/>
    <w:basedOn w:val="1"/>
    <w:semiHidden/>
    <w:unhideWhenUsed/>
    <w:qFormat/>
    <w:uiPriority w:val="99"/>
    <w:pPr>
      <w:jc w:val="left"/>
    </w:pPr>
  </w:style>
  <w:style w:type="paragraph" w:styleId="6">
    <w:name w:val="Body Text"/>
    <w:basedOn w:val="1"/>
    <w:link w:val="104"/>
    <w:semiHidden/>
    <w:unhideWhenUsed/>
    <w:qFormat/>
    <w:uiPriority w:val="99"/>
    <w:pPr>
      <w:spacing w:after="120"/>
    </w:pPr>
  </w:style>
  <w:style w:type="paragraph" w:styleId="7">
    <w:name w:val="Date"/>
    <w:basedOn w:val="1"/>
    <w:next w:val="1"/>
    <w:link w:val="30"/>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6"/>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8"/>
    <w:qFormat/>
    <w:uiPriority w:val="0"/>
    <w:pPr>
      <w:spacing w:after="120" w:line="480" w:lineRule="auto"/>
    </w:pPr>
    <w:rPr>
      <w:szCs w:val="24"/>
    </w:rPr>
  </w:style>
  <w:style w:type="paragraph" w:styleId="13">
    <w:name w:val="HTML Preformatted"/>
    <w:basedOn w:val="1"/>
    <w:link w:val="24"/>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character" w:customStyle="1" w:styleId="22">
    <w:name w:val="页眉 Char"/>
    <w:basedOn w:val="16"/>
    <w:link w:val="11"/>
    <w:qFormat/>
    <w:uiPriority w:val="99"/>
    <w:rPr>
      <w:sz w:val="18"/>
      <w:szCs w:val="18"/>
    </w:rPr>
  </w:style>
  <w:style w:type="character" w:customStyle="1" w:styleId="23">
    <w:name w:val="页脚 Char"/>
    <w:basedOn w:val="16"/>
    <w:link w:val="10"/>
    <w:qFormat/>
    <w:uiPriority w:val="99"/>
    <w:rPr>
      <w:sz w:val="18"/>
      <w:szCs w:val="18"/>
    </w:rPr>
  </w:style>
  <w:style w:type="character" w:customStyle="1" w:styleId="24">
    <w:name w:val="HTML 预设格式 Char"/>
    <w:link w:val="13"/>
    <w:qFormat/>
    <w:uiPriority w:val="99"/>
    <w:rPr>
      <w:rFonts w:ascii="Courier New" w:hAnsi="Courier New" w:cs="Courier New"/>
    </w:rPr>
  </w:style>
  <w:style w:type="character" w:customStyle="1" w:styleId="25">
    <w:name w:val="纯文本 Char"/>
    <w:basedOn w:val="16"/>
    <w:link w:val="2"/>
    <w:qFormat/>
    <w:uiPriority w:val="6"/>
    <w:rPr>
      <w:rFonts w:ascii="宋体" w:hAnsi="Courier New" w:eastAsia="宋体" w:cs="Courier New"/>
      <w:szCs w:val="21"/>
    </w:rPr>
  </w:style>
  <w:style w:type="character" w:customStyle="1" w:styleId="26">
    <w:name w:val="HTML 预设格式 Char1"/>
    <w:basedOn w:val="16"/>
    <w:semiHidden/>
    <w:qFormat/>
    <w:uiPriority w:val="99"/>
    <w:rPr>
      <w:rFonts w:ascii="Courier New" w:hAnsi="Courier New" w:eastAsia="宋体" w:cs="Courier New"/>
      <w:sz w:val="20"/>
      <w:szCs w:val="20"/>
    </w:rPr>
  </w:style>
  <w:style w:type="character" w:customStyle="1" w:styleId="27">
    <w:name w:val="正文文本缩进 2 Char"/>
    <w:basedOn w:val="16"/>
    <w:link w:val="8"/>
    <w:semiHidden/>
    <w:qFormat/>
    <w:uiPriority w:val="0"/>
    <w:rPr>
      <w:rFonts w:ascii="仿宋_GB2312" w:hAnsi="Times New Roman" w:eastAsia="仿宋_GB2312" w:cs="Times New Roman"/>
      <w:kern w:val="0"/>
      <w:sz w:val="28"/>
      <w:szCs w:val="20"/>
    </w:rPr>
  </w:style>
  <w:style w:type="paragraph" w:styleId="28">
    <w:name w:val="List Paragraph"/>
    <w:basedOn w:val="1"/>
    <w:qFormat/>
    <w:uiPriority w:val="34"/>
    <w:pPr>
      <w:ind w:firstLine="420" w:firstLineChars="200"/>
    </w:pPr>
  </w:style>
  <w:style w:type="character" w:customStyle="1" w:styleId="29">
    <w:name w:val="tpc_content1"/>
    <w:basedOn w:val="16"/>
    <w:qFormat/>
    <w:uiPriority w:val="0"/>
    <w:rPr>
      <w:sz w:val="20"/>
      <w:szCs w:val="20"/>
    </w:rPr>
  </w:style>
  <w:style w:type="character" w:customStyle="1" w:styleId="30">
    <w:name w:val="日期 Char"/>
    <w:basedOn w:val="16"/>
    <w:link w:val="7"/>
    <w:semiHidden/>
    <w:qFormat/>
    <w:uiPriority w:val="0"/>
    <w:rPr>
      <w:rFonts w:ascii="仿宋_GB2312" w:hAnsi="Times New Roman" w:eastAsia="仿宋_GB2312" w:cs="Times New Roman"/>
      <w:kern w:val="0"/>
      <w:sz w:val="28"/>
      <w:szCs w:val="20"/>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5">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font10"/>
    <w:basedOn w:val="1"/>
    <w:qFormat/>
    <w:uiPriority w:val="0"/>
    <w:pPr>
      <w:widowControl/>
      <w:spacing w:before="100" w:beforeAutospacing="1" w:after="100" w:afterAutospacing="1"/>
      <w:jc w:val="left"/>
    </w:pPr>
    <w:rPr>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5">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1">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0">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2">
    <w:name w:val="纯文本 Char1"/>
    <w:qFormat/>
    <w:uiPriority w:val="0"/>
    <w:rPr>
      <w:rFonts w:ascii="宋体" w:hAnsi="Courier New" w:eastAsia="宋体"/>
      <w:kern w:val="2"/>
      <w:sz w:val="24"/>
      <w:szCs w:val="24"/>
      <w:lang w:val="en-US" w:eastAsia="zh-CN" w:bidi="ar-SA"/>
    </w:rPr>
  </w:style>
  <w:style w:type="paragraph" w:customStyle="1" w:styleId="10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4">
    <w:name w:val="正文文本 Char"/>
    <w:basedOn w:val="16"/>
    <w:link w:val="6"/>
    <w:semiHidden/>
    <w:qFormat/>
    <w:uiPriority w:val="99"/>
    <w:rPr>
      <w:rFonts w:ascii="Times New Roman" w:hAnsi="Times New Roman" w:eastAsia="宋体" w:cs="Times New Roman"/>
      <w:szCs w:val="20"/>
    </w:rPr>
  </w:style>
  <w:style w:type="paragraph" w:customStyle="1" w:styleId="105">
    <w:name w:val="默认段落字体 Para Char Char Char Char Char Char Char Char Char1 Char Char Char Char"/>
    <w:basedOn w:val="1"/>
    <w:qFormat/>
    <w:uiPriority w:val="0"/>
    <w:rPr>
      <w:rFonts w:ascii="Tahoma" w:hAnsi="Tahoma"/>
      <w:sz w:val="24"/>
    </w:rPr>
  </w:style>
  <w:style w:type="character" w:customStyle="1" w:styleId="106">
    <w:name w:val="批注框文本 Char"/>
    <w:basedOn w:val="16"/>
    <w:link w:val="9"/>
    <w:semiHidden/>
    <w:qFormat/>
    <w:uiPriority w:val="99"/>
    <w:rPr>
      <w:rFonts w:ascii="Times New Roman" w:hAnsi="Times New Roman" w:eastAsia="宋体" w:cs="Times New Roman"/>
      <w:sz w:val="18"/>
      <w:szCs w:val="18"/>
    </w:rPr>
  </w:style>
  <w:style w:type="character" w:customStyle="1" w:styleId="107">
    <w:name w:val="标题 2 Char"/>
    <w:basedOn w:val="16"/>
    <w:link w:val="3"/>
    <w:qFormat/>
    <w:uiPriority w:val="0"/>
    <w:rPr>
      <w:rFonts w:ascii="Arial" w:hAnsi="Arial" w:eastAsia="黑体" w:cs="Times New Roman"/>
      <w:b/>
      <w:bCs/>
      <w:sz w:val="32"/>
      <w:szCs w:val="32"/>
    </w:rPr>
  </w:style>
  <w:style w:type="character" w:customStyle="1" w:styleId="108">
    <w:name w:val="正文文本 2 Char"/>
    <w:basedOn w:val="16"/>
    <w:link w:val="12"/>
    <w:qFormat/>
    <w:uiPriority w:val="0"/>
    <w:rPr>
      <w:rFonts w:ascii="Times New Roman" w:hAnsi="Times New Roman" w:eastAsia="宋体" w:cs="Times New Roman"/>
      <w:szCs w:val="24"/>
    </w:rPr>
  </w:style>
  <w:style w:type="character" w:customStyle="1" w:styleId="109">
    <w:name w:val="纯文本 Char2"/>
    <w:qFormat/>
    <w:uiPriority w:val="99"/>
    <w:rPr>
      <w:rFonts w:ascii="宋体" w:hAnsi="Courier New" w:eastAsia="宋体"/>
      <w:kern w:val="2"/>
      <w:sz w:val="21"/>
      <w:lang w:val="en-US" w:eastAsia="zh-CN" w:bidi="ar-SA"/>
    </w:rPr>
  </w:style>
  <w:style w:type="character" w:customStyle="1" w:styleId="110">
    <w:name w:val="NormalCharacter"/>
    <w:qFormat/>
    <w:uiPriority w:val="0"/>
  </w:style>
  <w:style w:type="paragraph" w:customStyle="1" w:styleId="111">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14347</Words>
  <Characters>15335</Characters>
  <Lines>91</Lines>
  <Paragraphs>25</Paragraphs>
  <TotalTime>9</TotalTime>
  <ScaleCrop>false</ScaleCrop>
  <LinksUpToDate>false</LinksUpToDate>
  <CharactersWithSpaces>16625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ZJU4H</cp:lastModifiedBy>
  <cp:lastPrinted>2015-07-08T07:44:00Z</cp:lastPrinted>
  <dcterms:modified xsi:type="dcterms:W3CDTF">2023-09-08T07:26:14Z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FB80F060811E4E5DB4AE527FBDABA680_13</vt:lpwstr>
  </property>
</Properties>
</file>